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i w:val="1"/>
          <w:iCs w:val="1"/>
          <w:color w:val="auto"/>
        </w:rPr>
        <w:t>Filed Pursuant to Rule 433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Registration No. 333-220882</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Issuer Free Writing Prospectus dated July 10, 2019</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i w:val="1"/>
          <w:iCs w:val="1"/>
          <w:color w:val="auto"/>
        </w:rPr>
        <w:t>Relating to Preliminary Prospectus Supplement dated July 10, 2019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JULY 10,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280035</wp:posOffset>
            </wp:positionV>
            <wp:extent cx="129476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4.185% SENIOR NOTES DUE 2027</w:t>
      </w:r>
    </w:p>
    <w:p>
      <w:pPr>
        <w:spacing w:after="0" w:line="27"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4.663% SENIOR NOTES DUE 2030</w:t>
      </w:r>
    </w:p>
    <w:p>
      <w:pPr>
        <w:spacing w:after="0" w:line="211" w:lineRule="exact"/>
        <w:rPr>
          <w:sz w:val="24"/>
          <w:szCs w:val="24"/>
          <w:color w:val="auto"/>
        </w:rPr>
      </w:pPr>
    </w:p>
    <w:p>
      <w:pPr>
        <w:ind w:right="320" w:firstLine="648"/>
        <w:spacing w:after="0" w:line="259" w:lineRule="auto"/>
        <w:rPr>
          <w:sz w:val="20"/>
          <w:szCs w:val="20"/>
          <w:color w:val="auto"/>
        </w:rPr>
      </w:pPr>
      <w:r>
        <w:rPr>
          <w:rFonts w:ascii="Arial" w:cs="Arial" w:eastAsia="Arial" w:hAnsi="Arial"/>
          <w:sz w:val="18"/>
          <w:szCs w:val="18"/>
          <w:color w:val="auto"/>
        </w:rPr>
        <w:t>The information in this pricing term sheet supplements Micron Technology, Inc.’s (“Micron”) preliminary prospectus supplement, dated July 10, 2019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240" w:type="dxa"/>
            <w:vAlign w:val="bottom"/>
          </w:tcPr>
          <w:p>
            <w:pPr>
              <w:ind w:left="1360"/>
              <w:spacing w:after="0"/>
              <w:rPr>
                <w:sz w:val="20"/>
                <w:szCs w:val="20"/>
                <w:color w:val="auto"/>
              </w:rPr>
            </w:pPr>
            <w:r>
              <w:rPr>
                <w:rFonts w:ascii="Arial" w:cs="Arial" w:eastAsia="Arial" w:hAnsi="Arial"/>
                <w:sz w:val="18"/>
                <w:szCs w:val="18"/>
                <w:color w:val="auto"/>
              </w:rPr>
              <w:t>Micron Technology, Inc. (NASDAQ: MU)</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8240" w:type="dxa"/>
            <w:vAlign w:val="bottom"/>
          </w:tcPr>
          <w:p>
            <w:pPr>
              <w:ind w:left="1360"/>
              <w:spacing w:after="0"/>
              <w:rPr>
                <w:sz w:val="20"/>
                <w:szCs w:val="20"/>
                <w:color w:val="auto"/>
              </w:rPr>
            </w:pPr>
            <w:r>
              <w:rPr>
                <w:rFonts w:ascii="Arial" w:cs="Arial" w:eastAsia="Arial" w:hAnsi="Arial"/>
                <w:sz w:val="18"/>
                <w:szCs w:val="18"/>
                <w:color w:val="auto"/>
                <w:w w:val="92"/>
              </w:rPr>
              <w:t>$900 million aggregate principal amount of 4.185% Senior Notes due 2027 (the “2027 notes”)</w:t>
            </w:r>
          </w:p>
        </w:tc>
      </w:tr>
      <w:tr>
        <w:trPr>
          <w:trHeight w:val="216"/>
        </w:trPr>
        <w:tc>
          <w:tcPr>
            <w:tcW w:w="3220" w:type="dxa"/>
            <w:vAlign w:val="bottom"/>
          </w:tcPr>
          <w:p>
            <w:pPr>
              <w:spacing w:after="0"/>
              <w:rPr>
                <w:sz w:val="18"/>
                <w:szCs w:val="18"/>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w w:val="93"/>
              </w:rPr>
              <w:t>$850 million aggregate principal amount of 4.663% Senior Notes due 2030 (the “2030 notes”</w:t>
            </w:r>
          </w:p>
        </w:tc>
      </w:tr>
      <w:tr>
        <w:trPr>
          <w:trHeight w:val="230"/>
        </w:trPr>
        <w:tc>
          <w:tcPr>
            <w:tcW w:w="3220" w:type="dxa"/>
            <w:vAlign w:val="bottom"/>
          </w:tcPr>
          <w:p>
            <w:pPr>
              <w:spacing w:after="0"/>
              <w:rPr>
                <w:sz w:val="20"/>
                <w:szCs w:val="20"/>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and, together with the 2027 notes, the “notes”)</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Maturity Date:</w:t>
            </w:r>
          </w:p>
        </w:tc>
        <w:tc>
          <w:tcPr>
            <w:tcW w:w="8240" w:type="dxa"/>
            <w:vAlign w:val="bottom"/>
          </w:tcPr>
          <w:p>
            <w:pPr>
              <w:ind w:left="1360"/>
              <w:spacing w:after="0"/>
              <w:rPr>
                <w:sz w:val="20"/>
                <w:szCs w:val="20"/>
                <w:color w:val="auto"/>
              </w:rPr>
            </w:pPr>
            <w:r>
              <w:rPr>
                <w:rFonts w:ascii="Arial" w:cs="Arial" w:eastAsia="Arial" w:hAnsi="Arial"/>
                <w:sz w:val="18"/>
                <w:szCs w:val="18"/>
                <w:color w:val="auto"/>
              </w:rPr>
              <w:t>February 15, 2027 in respect of the 2027 notes</w:t>
            </w:r>
          </w:p>
        </w:tc>
      </w:tr>
      <w:tr>
        <w:trPr>
          <w:trHeight w:val="230"/>
        </w:trPr>
        <w:tc>
          <w:tcPr>
            <w:tcW w:w="3220" w:type="dxa"/>
            <w:vAlign w:val="bottom"/>
          </w:tcPr>
          <w:p>
            <w:pPr>
              <w:spacing w:after="0"/>
              <w:rPr>
                <w:sz w:val="20"/>
                <w:szCs w:val="20"/>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February 15, 2030 in respect of the 2030 notes</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240" w:type="dxa"/>
            <w:vAlign w:val="bottom"/>
          </w:tcPr>
          <w:p>
            <w:pPr>
              <w:ind w:left="1360"/>
              <w:spacing w:after="0"/>
              <w:rPr>
                <w:sz w:val="20"/>
                <w:szCs w:val="20"/>
                <w:color w:val="auto"/>
              </w:rPr>
            </w:pPr>
            <w:r>
              <w:rPr>
                <w:rFonts w:ascii="Arial" w:cs="Arial" w:eastAsia="Arial" w:hAnsi="Arial"/>
                <w:sz w:val="18"/>
                <w:szCs w:val="18"/>
                <w:color w:val="auto"/>
              </w:rPr>
              <w:t>4.185% per year on the principal amount of 2027 notes</w:t>
            </w:r>
          </w:p>
        </w:tc>
      </w:tr>
      <w:tr>
        <w:trPr>
          <w:trHeight w:val="230"/>
        </w:trPr>
        <w:tc>
          <w:tcPr>
            <w:tcW w:w="3220" w:type="dxa"/>
            <w:vAlign w:val="bottom"/>
          </w:tcPr>
          <w:p>
            <w:pPr>
              <w:spacing w:after="0"/>
              <w:rPr>
                <w:sz w:val="20"/>
                <w:szCs w:val="20"/>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4.663% per year on the principal amount of 2030 notes</w:t>
            </w: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color w:val="auto"/>
              </w:rPr>
              <w:t>Interest Payment Dates:</w:t>
            </w:r>
          </w:p>
        </w:tc>
        <w:tc>
          <w:tcPr>
            <w:tcW w:w="8240" w:type="dxa"/>
            <w:vAlign w:val="bottom"/>
          </w:tcPr>
          <w:p>
            <w:pPr>
              <w:ind w:left="1360"/>
              <w:spacing w:after="0"/>
              <w:rPr>
                <w:sz w:val="20"/>
                <w:szCs w:val="20"/>
                <w:color w:val="auto"/>
              </w:rPr>
            </w:pPr>
            <w:r>
              <w:rPr>
                <w:rFonts w:ascii="Arial" w:cs="Arial" w:eastAsia="Arial" w:hAnsi="Arial"/>
                <w:sz w:val="18"/>
                <w:szCs w:val="18"/>
                <w:color w:val="auto"/>
                <w:w w:val="99"/>
              </w:rPr>
              <w:t>February 15 and August 15, beginning February 15, 2020, accruing from July 12, 2019</w:t>
            </w:r>
          </w:p>
        </w:tc>
      </w:tr>
      <w:tr>
        <w:trPr>
          <w:trHeight w:val="432"/>
        </w:trPr>
        <w:tc>
          <w:tcPr>
            <w:tcW w:w="3220" w:type="dxa"/>
            <w:vAlign w:val="bottom"/>
          </w:tcPr>
          <w:p>
            <w:pPr>
              <w:spacing w:after="0"/>
              <w:rPr>
                <w:sz w:val="20"/>
                <w:szCs w:val="20"/>
                <w:color w:val="auto"/>
              </w:rPr>
            </w:pPr>
            <w:r>
              <w:rPr>
                <w:rFonts w:ascii="Arial" w:cs="Arial" w:eastAsia="Arial" w:hAnsi="Arial"/>
                <w:sz w:val="18"/>
                <w:szCs w:val="18"/>
                <w:b w:val="1"/>
                <w:bCs w:val="1"/>
                <w:color w:val="auto"/>
              </w:rPr>
              <w:t>Record Dates:</w:t>
            </w:r>
          </w:p>
        </w:tc>
        <w:tc>
          <w:tcPr>
            <w:tcW w:w="8240" w:type="dxa"/>
            <w:vAlign w:val="bottom"/>
          </w:tcPr>
          <w:p>
            <w:pPr>
              <w:ind w:left="1360"/>
              <w:spacing w:after="0"/>
              <w:rPr>
                <w:sz w:val="20"/>
                <w:szCs w:val="20"/>
                <w:color w:val="auto"/>
              </w:rPr>
            </w:pPr>
            <w:r>
              <w:rPr>
                <w:rFonts w:ascii="Arial" w:cs="Arial" w:eastAsia="Arial" w:hAnsi="Arial"/>
                <w:sz w:val="18"/>
                <w:szCs w:val="18"/>
                <w:color w:val="auto"/>
              </w:rPr>
              <w:t>January 31 and July 31</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Price to Public:</w:t>
            </w:r>
          </w:p>
        </w:tc>
        <w:tc>
          <w:tcPr>
            <w:tcW w:w="8240" w:type="dxa"/>
            <w:vAlign w:val="bottom"/>
          </w:tcPr>
          <w:p>
            <w:pPr>
              <w:ind w:left="1360"/>
              <w:spacing w:after="0"/>
              <w:rPr>
                <w:sz w:val="20"/>
                <w:szCs w:val="20"/>
                <w:color w:val="auto"/>
              </w:rPr>
            </w:pPr>
            <w:r>
              <w:rPr>
                <w:rFonts w:ascii="Arial" w:cs="Arial" w:eastAsia="Arial" w:hAnsi="Arial"/>
                <w:sz w:val="18"/>
                <w:szCs w:val="18"/>
                <w:color w:val="auto"/>
              </w:rPr>
              <w:t>99.995% for the 2027 notes</w:t>
            </w:r>
          </w:p>
        </w:tc>
      </w:tr>
      <w:tr>
        <w:trPr>
          <w:trHeight w:val="230"/>
        </w:trPr>
        <w:tc>
          <w:tcPr>
            <w:tcW w:w="3220" w:type="dxa"/>
            <w:vAlign w:val="bottom"/>
          </w:tcPr>
          <w:p>
            <w:pPr>
              <w:spacing w:after="0"/>
              <w:rPr>
                <w:sz w:val="20"/>
                <w:szCs w:val="20"/>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99.994% for the 2030 notes</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Underwriting Discount:</w:t>
            </w:r>
          </w:p>
        </w:tc>
        <w:tc>
          <w:tcPr>
            <w:tcW w:w="8240" w:type="dxa"/>
            <w:vAlign w:val="bottom"/>
          </w:tcPr>
          <w:p>
            <w:pPr>
              <w:ind w:left="1360"/>
              <w:spacing w:after="0"/>
              <w:rPr>
                <w:sz w:val="20"/>
                <w:szCs w:val="20"/>
                <w:color w:val="auto"/>
              </w:rPr>
            </w:pPr>
            <w:r>
              <w:rPr>
                <w:rFonts w:ascii="Arial" w:cs="Arial" w:eastAsia="Arial" w:hAnsi="Arial"/>
                <w:sz w:val="18"/>
                <w:szCs w:val="18"/>
                <w:color w:val="auto"/>
              </w:rPr>
              <w:t>.400% per 2027 note</w:t>
            </w:r>
          </w:p>
        </w:tc>
      </w:tr>
      <w:tr>
        <w:trPr>
          <w:trHeight w:val="230"/>
        </w:trPr>
        <w:tc>
          <w:tcPr>
            <w:tcW w:w="3220" w:type="dxa"/>
            <w:vAlign w:val="bottom"/>
          </w:tcPr>
          <w:p>
            <w:pPr>
              <w:spacing w:after="0"/>
              <w:rPr>
                <w:sz w:val="20"/>
                <w:szCs w:val="20"/>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.450% per 2030 note</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Spread to Treasury:</w:t>
            </w:r>
          </w:p>
        </w:tc>
        <w:tc>
          <w:tcPr>
            <w:tcW w:w="8240" w:type="dxa"/>
            <w:vAlign w:val="bottom"/>
          </w:tcPr>
          <w:p>
            <w:pPr>
              <w:ind w:left="1360"/>
              <w:spacing w:after="0"/>
              <w:rPr>
                <w:sz w:val="20"/>
                <w:szCs w:val="20"/>
                <w:color w:val="auto"/>
              </w:rPr>
            </w:pPr>
            <w:r>
              <w:rPr>
                <w:rFonts w:ascii="Arial" w:cs="Arial" w:eastAsia="Arial" w:hAnsi="Arial"/>
                <w:sz w:val="18"/>
                <w:szCs w:val="18"/>
                <w:color w:val="auto"/>
              </w:rPr>
              <w:t>+225 basis points for the 2027 notes</w:t>
            </w:r>
          </w:p>
        </w:tc>
      </w:tr>
      <w:tr>
        <w:trPr>
          <w:trHeight w:val="230"/>
        </w:trPr>
        <w:tc>
          <w:tcPr>
            <w:tcW w:w="3220" w:type="dxa"/>
            <w:vAlign w:val="bottom"/>
          </w:tcPr>
          <w:p>
            <w:pPr>
              <w:spacing w:after="0"/>
              <w:rPr>
                <w:sz w:val="20"/>
                <w:szCs w:val="20"/>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+260 basis points for the 2030 notes</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Benchmark:</w:t>
            </w:r>
          </w:p>
        </w:tc>
        <w:tc>
          <w:tcPr>
            <w:tcW w:w="8240" w:type="dxa"/>
            <w:vAlign w:val="bottom"/>
          </w:tcPr>
          <w:p>
            <w:pPr>
              <w:ind w:left="1360"/>
              <w:spacing w:after="0"/>
              <w:rPr>
                <w:sz w:val="20"/>
                <w:szCs w:val="20"/>
                <w:color w:val="auto"/>
              </w:rPr>
            </w:pPr>
            <w:r>
              <w:rPr>
                <w:rFonts w:ascii="Arial" w:cs="Arial" w:eastAsia="Arial" w:hAnsi="Arial"/>
                <w:sz w:val="18"/>
                <w:szCs w:val="18"/>
                <w:color w:val="auto"/>
              </w:rPr>
              <w:t>UST 1.875% due June 30, 2026 (yielding: 1.935%) for the 2027 notes</w:t>
            </w:r>
          </w:p>
        </w:tc>
      </w:tr>
      <w:tr>
        <w:trPr>
          <w:trHeight w:val="230"/>
        </w:trPr>
        <w:tc>
          <w:tcPr>
            <w:tcW w:w="3220" w:type="dxa"/>
            <w:vAlign w:val="bottom"/>
          </w:tcPr>
          <w:p>
            <w:pPr>
              <w:spacing w:after="0"/>
              <w:rPr>
                <w:sz w:val="20"/>
                <w:szCs w:val="20"/>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UST 2.375% due May 15, 2029 (yielding: 2.063%) for the 2030 notes</w:t>
            </w:r>
          </w:p>
        </w:tc>
      </w:tr>
      <w:tr>
        <w:trPr>
          <w:trHeight w:val="418"/>
        </w:trPr>
        <w:tc>
          <w:tcPr>
            <w:tcW w:w="3220" w:type="dxa"/>
            <w:vAlign w:val="bottom"/>
          </w:tcPr>
          <w:p>
            <w:pPr>
              <w:spacing w:after="0"/>
              <w:rPr>
                <w:sz w:val="20"/>
                <w:szCs w:val="20"/>
                <w:color w:val="auto"/>
              </w:rPr>
            </w:pPr>
            <w:r>
              <w:rPr>
                <w:rFonts w:ascii="Arial" w:cs="Arial" w:eastAsia="Arial" w:hAnsi="Arial"/>
                <w:sz w:val="18"/>
                <w:szCs w:val="18"/>
                <w:b w:val="1"/>
                <w:bCs w:val="1"/>
                <w:color w:val="auto"/>
              </w:rPr>
              <w:t>Ratings:*</w:t>
            </w:r>
          </w:p>
        </w:tc>
        <w:tc>
          <w:tcPr>
            <w:tcW w:w="8240" w:type="dxa"/>
            <w:vAlign w:val="bottom"/>
          </w:tcPr>
          <w:p>
            <w:pPr>
              <w:ind w:left="1360"/>
              <w:spacing w:after="0"/>
              <w:rPr>
                <w:sz w:val="20"/>
                <w:szCs w:val="20"/>
                <w:color w:val="auto"/>
              </w:rPr>
            </w:pPr>
            <w:r>
              <w:rPr>
                <w:rFonts w:ascii="Arial" w:cs="Arial" w:eastAsia="Arial" w:hAnsi="Arial"/>
                <w:sz w:val="18"/>
                <w:szCs w:val="18"/>
                <w:color w:val="auto"/>
              </w:rPr>
              <w:t>Baa3 (Stable) (Moody’s Investors Service, Inc.)</w:t>
            </w:r>
          </w:p>
        </w:tc>
      </w:tr>
      <w:tr>
        <w:trPr>
          <w:trHeight w:val="216"/>
        </w:trPr>
        <w:tc>
          <w:tcPr>
            <w:tcW w:w="3220" w:type="dxa"/>
            <w:vAlign w:val="bottom"/>
          </w:tcPr>
          <w:p>
            <w:pPr>
              <w:spacing w:after="0"/>
              <w:rPr>
                <w:sz w:val="18"/>
                <w:szCs w:val="18"/>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BBB- (Stable) (Fitch Ratings Inc.)</w:t>
            </w:r>
          </w:p>
        </w:tc>
      </w:tr>
      <w:tr>
        <w:trPr>
          <w:trHeight w:val="230"/>
        </w:trPr>
        <w:tc>
          <w:tcPr>
            <w:tcW w:w="3220" w:type="dxa"/>
            <w:vAlign w:val="bottom"/>
          </w:tcPr>
          <w:p>
            <w:pPr>
              <w:spacing w:after="0"/>
              <w:rPr>
                <w:sz w:val="20"/>
                <w:szCs w:val="20"/>
                <w:color w:val="auto"/>
              </w:rPr>
            </w:pPr>
          </w:p>
        </w:tc>
        <w:tc>
          <w:tcPr>
            <w:tcW w:w="8240" w:type="dxa"/>
            <w:vAlign w:val="bottom"/>
          </w:tcPr>
          <w:p>
            <w:pPr>
              <w:ind w:left="1360"/>
              <w:spacing w:after="0"/>
              <w:rPr>
                <w:sz w:val="20"/>
                <w:szCs w:val="20"/>
                <w:color w:val="auto"/>
              </w:rPr>
            </w:pPr>
            <w:r>
              <w:rPr>
                <w:rFonts w:ascii="Arial" w:cs="Arial" w:eastAsia="Arial" w:hAnsi="Arial"/>
                <w:sz w:val="18"/>
                <w:szCs w:val="18"/>
                <w:color w:val="auto"/>
              </w:rPr>
              <w:t>BB+ (Positive) (Standard &amp; Poor’s Ratings Services)</w:t>
            </w:r>
          </w:p>
        </w:tc>
      </w:tr>
      <w:tr>
        <w:trPr>
          <w:trHeight w:val="432"/>
        </w:trPr>
        <w:tc>
          <w:tcPr>
            <w:tcW w:w="3220" w:type="dxa"/>
            <w:vAlign w:val="bottom"/>
          </w:tcPr>
          <w:p>
            <w:pPr>
              <w:spacing w:after="0"/>
              <w:rPr>
                <w:sz w:val="24"/>
                <w:szCs w:val="24"/>
                <w:color w:val="auto"/>
              </w:rPr>
            </w:pPr>
          </w:p>
        </w:tc>
        <w:tc>
          <w:tcPr>
            <w:tcW w:w="8240" w:type="dxa"/>
            <w:vAlign w:val="bottom"/>
          </w:tcPr>
          <w:p>
            <w:pPr>
              <w:ind w:left="2440"/>
              <w:spacing w:after="0"/>
              <w:rPr>
                <w:sz w:val="20"/>
                <w:szCs w:val="20"/>
                <w:color w:val="auto"/>
              </w:rPr>
            </w:pPr>
            <w:r>
              <w:rPr>
                <w:rFonts w:ascii="Arial" w:cs="Arial" w:eastAsia="Arial" w:hAnsi="Arial"/>
                <w:sz w:val="18"/>
                <w:szCs w:val="18"/>
                <w:color w:val="auto"/>
              </w:rPr>
              <w:t>1</w:t>
            </w:r>
          </w:p>
        </w:tc>
      </w:tr>
      <w:tr>
        <w:trPr>
          <w:trHeight w:val="132"/>
        </w:trPr>
        <w:tc>
          <w:tcPr>
            <w:tcW w:w="3220" w:type="dxa"/>
            <w:vAlign w:val="bottom"/>
            <w:tcBorders>
              <w:bottom w:val="single" w:sz="8" w:color="808080"/>
            </w:tcBorders>
          </w:tcPr>
          <w:p>
            <w:pPr>
              <w:spacing w:after="0"/>
              <w:rPr>
                <w:sz w:val="11"/>
                <w:szCs w:val="11"/>
                <w:color w:val="auto"/>
              </w:rPr>
            </w:pPr>
          </w:p>
        </w:tc>
        <w:tc>
          <w:tcPr>
            <w:tcW w:w="82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9"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Pricing Date:</w:t>
            </w:r>
          </w:p>
        </w:tc>
        <w:tc>
          <w:tcPr>
            <w:tcW w:w="7920" w:type="dxa"/>
            <w:vAlign w:val="bottom"/>
          </w:tcPr>
          <w:p>
            <w:pPr>
              <w:ind w:left="1040"/>
              <w:spacing w:after="0"/>
              <w:rPr>
                <w:sz w:val="20"/>
                <w:szCs w:val="20"/>
                <w:color w:val="auto"/>
              </w:rPr>
            </w:pPr>
            <w:r>
              <w:rPr>
                <w:rFonts w:ascii="Arial" w:cs="Arial" w:eastAsia="Arial" w:hAnsi="Arial"/>
                <w:sz w:val="18"/>
                <w:szCs w:val="18"/>
                <w:color w:val="auto"/>
              </w:rPr>
              <w:t>July 10, 2019</w:t>
            </w:r>
          </w:p>
        </w:tc>
      </w:tr>
      <w:tr>
        <w:trPr>
          <w:trHeight w:val="432"/>
        </w:trPr>
        <w:tc>
          <w:tcPr>
            <w:tcW w:w="354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7920" w:type="dxa"/>
            <w:vAlign w:val="bottom"/>
          </w:tcPr>
          <w:p>
            <w:pPr>
              <w:ind w:left="1040"/>
              <w:spacing w:after="0"/>
              <w:rPr>
                <w:sz w:val="20"/>
                <w:szCs w:val="20"/>
                <w:color w:val="auto"/>
              </w:rPr>
            </w:pPr>
            <w:r>
              <w:rPr>
                <w:rFonts w:ascii="Arial" w:cs="Arial" w:eastAsia="Arial" w:hAnsi="Arial"/>
                <w:sz w:val="18"/>
                <w:szCs w:val="18"/>
                <w:color w:val="auto"/>
              </w:rPr>
              <w:t>July 12, 2019</w:t>
            </w:r>
          </w:p>
        </w:tc>
      </w:tr>
      <w:tr>
        <w:trPr>
          <w:trHeight w:val="418"/>
        </w:trPr>
        <w:tc>
          <w:tcPr>
            <w:tcW w:w="3540" w:type="dxa"/>
            <w:vAlign w:val="bottom"/>
          </w:tcPr>
          <w:p>
            <w:pPr>
              <w:spacing w:after="0"/>
              <w:rPr>
                <w:sz w:val="20"/>
                <w:szCs w:val="20"/>
                <w:color w:val="auto"/>
              </w:rPr>
            </w:pPr>
            <w:r>
              <w:rPr>
                <w:rFonts w:ascii="Arial" w:cs="Arial" w:eastAsia="Arial" w:hAnsi="Arial"/>
                <w:sz w:val="18"/>
                <w:szCs w:val="18"/>
                <w:b w:val="1"/>
                <w:bCs w:val="1"/>
                <w:color w:val="auto"/>
              </w:rPr>
              <w:t>CUSIP Numbers:</w:t>
            </w:r>
          </w:p>
        </w:tc>
        <w:tc>
          <w:tcPr>
            <w:tcW w:w="7920" w:type="dxa"/>
            <w:vAlign w:val="bottom"/>
          </w:tcPr>
          <w:p>
            <w:pPr>
              <w:ind w:left="1040"/>
              <w:spacing w:after="0"/>
              <w:rPr>
                <w:sz w:val="20"/>
                <w:szCs w:val="20"/>
                <w:color w:val="auto"/>
              </w:rPr>
            </w:pPr>
            <w:r>
              <w:rPr>
                <w:rFonts w:ascii="Arial" w:cs="Arial" w:eastAsia="Arial" w:hAnsi="Arial"/>
                <w:sz w:val="18"/>
                <w:szCs w:val="18"/>
                <w:color w:val="auto"/>
              </w:rPr>
              <w:t>595112BP7 for the 2027 notes</w:t>
            </w:r>
          </w:p>
        </w:tc>
      </w:tr>
      <w:tr>
        <w:trPr>
          <w:trHeight w:val="230"/>
        </w:trPr>
        <w:tc>
          <w:tcPr>
            <w:tcW w:w="3540" w:type="dxa"/>
            <w:vAlign w:val="bottom"/>
          </w:tcPr>
          <w:p>
            <w:pPr>
              <w:spacing w:after="0"/>
              <w:rPr>
                <w:sz w:val="20"/>
                <w:szCs w:val="20"/>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595112BQ5 for the 2030 notes</w:t>
            </w:r>
          </w:p>
        </w:tc>
      </w:tr>
      <w:tr>
        <w:trPr>
          <w:trHeight w:val="418"/>
        </w:trPr>
        <w:tc>
          <w:tcPr>
            <w:tcW w:w="3540" w:type="dxa"/>
            <w:vAlign w:val="bottom"/>
          </w:tcPr>
          <w:p>
            <w:pPr>
              <w:spacing w:after="0"/>
              <w:rPr>
                <w:sz w:val="20"/>
                <w:szCs w:val="20"/>
                <w:color w:val="auto"/>
              </w:rPr>
            </w:pPr>
            <w:r>
              <w:rPr>
                <w:rFonts w:ascii="Arial" w:cs="Arial" w:eastAsia="Arial" w:hAnsi="Arial"/>
                <w:sz w:val="18"/>
                <w:szCs w:val="18"/>
                <w:b w:val="1"/>
                <w:bCs w:val="1"/>
                <w:color w:val="auto"/>
              </w:rPr>
              <w:t>ISIN Numbers:</w:t>
            </w:r>
          </w:p>
        </w:tc>
        <w:tc>
          <w:tcPr>
            <w:tcW w:w="7920" w:type="dxa"/>
            <w:vAlign w:val="bottom"/>
          </w:tcPr>
          <w:p>
            <w:pPr>
              <w:ind w:left="1040"/>
              <w:spacing w:after="0"/>
              <w:rPr>
                <w:sz w:val="20"/>
                <w:szCs w:val="20"/>
                <w:color w:val="auto"/>
              </w:rPr>
            </w:pPr>
            <w:r>
              <w:rPr>
                <w:rFonts w:ascii="Arial" w:cs="Arial" w:eastAsia="Arial" w:hAnsi="Arial"/>
                <w:sz w:val="18"/>
                <w:szCs w:val="18"/>
                <w:color w:val="auto"/>
              </w:rPr>
              <w:t>US595112BP79 for the 2027 notes</w:t>
            </w:r>
          </w:p>
        </w:tc>
      </w:tr>
      <w:tr>
        <w:trPr>
          <w:trHeight w:val="230"/>
        </w:trPr>
        <w:tc>
          <w:tcPr>
            <w:tcW w:w="3540" w:type="dxa"/>
            <w:vAlign w:val="bottom"/>
          </w:tcPr>
          <w:p>
            <w:pPr>
              <w:spacing w:after="0"/>
              <w:rPr>
                <w:sz w:val="20"/>
                <w:szCs w:val="20"/>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US595112BQ52 for the 2030 notes</w:t>
            </w:r>
          </w:p>
        </w:tc>
      </w:tr>
      <w:tr>
        <w:trPr>
          <w:trHeight w:val="432"/>
        </w:trPr>
        <w:tc>
          <w:tcPr>
            <w:tcW w:w="3540" w:type="dxa"/>
            <w:vAlign w:val="bottom"/>
          </w:tcPr>
          <w:p>
            <w:pPr>
              <w:spacing w:after="0"/>
              <w:rPr>
                <w:sz w:val="20"/>
                <w:szCs w:val="20"/>
                <w:color w:val="auto"/>
              </w:rPr>
            </w:pPr>
            <w:r>
              <w:rPr>
                <w:rFonts w:ascii="Arial" w:cs="Arial" w:eastAsia="Arial" w:hAnsi="Arial"/>
                <w:sz w:val="18"/>
                <w:szCs w:val="18"/>
                <w:b w:val="1"/>
                <w:bCs w:val="1"/>
                <w:color w:val="auto"/>
              </w:rPr>
              <w:t>Denominations:</w:t>
            </w:r>
          </w:p>
        </w:tc>
        <w:tc>
          <w:tcPr>
            <w:tcW w:w="7920" w:type="dxa"/>
            <w:vAlign w:val="bottom"/>
          </w:tcPr>
          <w:p>
            <w:pPr>
              <w:ind w:left="1040"/>
              <w:spacing w:after="0"/>
              <w:rPr>
                <w:sz w:val="20"/>
                <w:szCs w:val="20"/>
                <w:color w:val="auto"/>
              </w:rPr>
            </w:pPr>
            <w:r>
              <w:rPr>
                <w:rFonts w:ascii="Arial" w:cs="Arial" w:eastAsia="Arial" w:hAnsi="Arial"/>
                <w:sz w:val="18"/>
                <w:szCs w:val="18"/>
                <w:color w:val="auto"/>
              </w:rPr>
              <w:t>$2,000 and multiples of $1,000 in excess thereof</w:t>
            </w:r>
          </w:p>
        </w:tc>
      </w:tr>
      <w:tr>
        <w:trPr>
          <w:trHeight w:val="418"/>
        </w:trPr>
        <w:tc>
          <w:tcPr>
            <w:tcW w:w="3540" w:type="dxa"/>
            <w:vAlign w:val="bottom"/>
          </w:tcPr>
          <w:p>
            <w:pPr>
              <w:spacing w:after="0"/>
              <w:rPr>
                <w:sz w:val="20"/>
                <w:szCs w:val="20"/>
                <w:color w:val="auto"/>
              </w:rPr>
            </w:pPr>
            <w:r>
              <w:rPr>
                <w:rFonts w:ascii="Arial" w:cs="Arial" w:eastAsia="Arial" w:hAnsi="Arial"/>
                <w:sz w:val="18"/>
                <w:szCs w:val="18"/>
                <w:b w:val="1"/>
                <w:bCs w:val="1"/>
                <w:color w:val="auto"/>
              </w:rPr>
              <w:t>Joint Book-Running Managers:</w:t>
            </w:r>
          </w:p>
        </w:tc>
        <w:tc>
          <w:tcPr>
            <w:tcW w:w="7920" w:type="dxa"/>
            <w:vAlign w:val="bottom"/>
          </w:tcPr>
          <w:p>
            <w:pPr>
              <w:ind w:left="1040"/>
              <w:spacing w:after="0"/>
              <w:rPr>
                <w:sz w:val="20"/>
                <w:szCs w:val="20"/>
                <w:color w:val="auto"/>
              </w:rPr>
            </w:pPr>
            <w:r>
              <w:rPr>
                <w:rFonts w:ascii="Arial" w:cs="Arial" w:eastAsia="Arial" w:hAnsi="Arial"/>
                <w:sz w:val="18"/>
                <w:szCs w:val="18"/>
                <w:color w:val="auto"/>
              </w:rPr>
              <w:t>Goldman Sachs &amp; Co. LLC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J.P. Morgan Securities LLC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Wells Fargo Securities, LLC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ANZ Securities, Inc.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Credit Agricole Securities (USA) Inc.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HSBC Securities (USA) Inc.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ICBC Standard Bank Plc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Mizuho Securities USA LLC</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MUFG Securities Americas Inc.</w:t>
            </w:r>
          </w:p>
        </w:tc>
      </w:tr>
      <w:tr>
        <w:trPr>
          <w:trHeight w:val="230"/>
        </w:trPr>
        <w:tc>
          <w:tcPr>
            <w:tcW w:w="3540" w:type="dxa"/>
            <w:vAlign w:val="bottom"/>
          </w:tcPr>
          <w:p>
            <w:pPr>
              <w:spacing w:after="0"/>
              <w:rPr>
                <w:sz w:val="20"/>
                <w:szCs w:val="20"/>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Morgan Stanley &amp; Co. LLC</w:t>
            </w:r>
          </w:p>
        </w:tc>
      </w:tr>
      <w:tr>
        <w:trPr>
          <w:trHeight w:val="418"/>
        </w:trPr>
        <w:tc>
          <w:tcPr>
            <w:tcW w:w="354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7920" w:type="dxa"/>
            <w:vAlign w:val="bottom"/>
          </w:tcPr>
          <w:p>
            <w:pPr>
              <w:ind w:left="1040"/>
              <w:spacing w:after="0"/>
              <w:rPr>
                <w:sz w:val="20"/>
                <w:szCs w:val="20"/>
                <w:color w:val="auto"/>
              </w:rPr>
            </w:pPr>
            <w:r>
              <w:rPr>
                <w:rFonts w:ascii="Arial" w:cs="Arial" w:eastAsia="Arial" w:hAnsi="Arial"/>
                <w:sz w:val="18"/>
                <w:szCs w:val="18"/>
                <w:color w:val="auto"/>
              </w:rPr>
              <w:t>Academy Securities, Inc.</w:t>
            </w:r>
          </w:p>
        </w:tc>
      </w:tr>
      <w:tr>
        <w:trPr>
          <w:trHeight w:val="230"/>
        </w:trPr>
        <w:tc>
          <w:tcPr>
            <w:tcW w:w="3540" w:type="dxa"/>
            <w:vAlign w:val="bottom"/>
          </w:tcPr>
          <w:p>
            <w:pPr>
              <w:spacing w:after="0"/>
              <w:rPr>
                <w:sz w:val="20"/>
                <w:szCs w:val="20"/>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The Williams Capital Group, L.P.</w:t>
            </w:r>
          </w:p>
        </w:tc>
      </w:tr>
      <w:tr>
        <w:trPr>
          <w:trHeight w:val="418"/>
        </w:trPr>
        <w:tc>
          <w:tcPr>
            <w:tcW w:w="3540" w:type="dxa"/>
            <w:vAlign w:val="bottom"/>
          </w:tcPr>
          <w:p>
            <w:pPr>
              <w:spacing w:after="0"/>
              <w:rPr>
                <w:sz w:val="20"/>
                <w:szCs w:val="20"/>
                <w:color w:val="auto"/>
              </w:rPr>
            </w:pPr>
            <w:r>
              <w:rPr>
                <w:rFonts w:ascii="Arial" w:cs="Arial" w:eastAsia="Arial" w:hAnsi="Arial"/>
                <w:sz w:val="18"/>
                <w:szCs w:val="18"/>
                <w:b w:val="1"/>
                <w:bCs w:val="1"/>
                <w:color w:val="auto"/>
              </w:rPr>
              <w:t>Net Proceeds:</w:t>
            </w:r>
          </w:p>
        </w:tc>
        <w:tc>
          <w:tcPr>
            <w:tcW w:w="7920" w:type="dxa"/>
            <w:vAlign w:val="bottom"/>
          </w:tcPr>
          <w:p>
            <w:pPr>
              <w:ind w:left="1040"/>
              <w:spacing w:after="0"/>
              <w:rPr>
                <w:sz w:val="20"/>
                <w:szCs w:val="20"/>
                <w:color w:val="auto"/>
              </w:rPr>
            </w:pPr>
            <w:r>
              <w:rPr>
                <w:rFonts w:ascii="Arial" w:cs="Arial" w:eastAsia="Arial" w:hAnsi="Arial"/>
                <w:sz w:val="18"/>
                <w:szCs w:val="18"/>
                <w:color w:val="auto"/>
              </w:rPr>
              <w:t>Micron estimates that the net proceeds from the offering, after deducting underwriting</w:t>
            </w:r>
          </w:p>
        </w:tc>
      </w:tr>
      <w:tr>
        <w:trPr>
          <w:trHeight w:val="230"/>
        </w:trPr>
        <w:tc>
          <w:tcPr>
            <w:tcW w:w="3540" w:type="dxa"/>
            <w:vAlign w:val="bottom"/>
          </w:tcPr>
          <w:p>
            <w:pPr>
              <w:spacing w:after="0"/>
              <w:rPr>
                <w:sz w:val="20"/>
                <w:szCs w:val="20"/>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6"/>
              </w:rPr>
              <w:t>discounts and estimated offering fees and expenses, will be approximately $1.739 billion.</w:t>
            </w:r>
          </w:p>
        </w:tc>
      </w:tr>
      <w:tr>
        <w:trPr>
          <w:trHeight w:val="418"/>
        </w:trPr>
        <w:tc>
          <w:tcPr>
            <w:tcW w:w="3540" w:type="dxa"/>
            <w:vAlign w:val="bottom"/>
          </w:tcPr>
          <w:p>
            <w:pPr>
              <w:spacing w:after="0"/>
              <w:rPr>
                <w:sz w:val="20"/>
                <w:szCs w:val="20"/>
                <w:color w:val="auto"/>
              </w:rPr>
            </w:pPr>
            <w:r>
              <w:rPr>
                <w:rFonts w:ascii="Arial" w:cs="Arial" w:eastAsia="Arial" w:hAnsi="Arial"/>
                <w:sz w:val="18"/>
                <w:szCs w:val="18"/>
                <w:b w:val="1"/>
                <w:bCs w:val="1"/>
                <w:color w:val="auto"/>
              </w:rPr>
              <w:t>Redemption at Micron’s Option:</w:t>
            </w:r>
          </w:p>
        </w:tc>
        <w:tc>
          <w:tcPr>
            <w:tcW w:w="7920" w:type="dxa"/>
            <w:vAlign w:val="bottom"/>
          </w:tcPr>
          <w:p>
            <w:pPr>
              <w:ind w:left="1040"/>
              <w:spacing w:after="0"/>
              <w:rPr>
                <w:sz w:val="20"/>
                <w:szCs w:val="20"/>
                <w:color w:val="auto"/>
              </w:rPr>
            </w:pPr>
            <w:r>
              <w:rPr>
                <w:rFonts w:ascii="Arial" w:cs="Arial" w:eastAsia="Arial" w:hAnsi="Arial"/>
                <w:sz w:val="18"/>
                <w:szCs w:val="18"/>
                <w:color w:val="auto"/>
                <w:w w:val="94"/>
              </w:rPr>
              <w:t>Micron may redeem some or all of the notes of each series, at any time or from time to time</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3"/>
              </w:rPr>
              <w:t>prior to the applicable Par Call Date, at a redemption price equal to the greater of (i) 100% of</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2"/>
              </w:rPr>
              <w:t>the principal amount of the notes of that series to be redeemed and (ii) the sum of the present</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4"/>
              </w:rPr>
              <w:t>values of the remaining scheduled payments of principal and interest thereon that would be</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3"/>
              </w:rPr>
              <w:t>due if the notes of such series matured on the applicable Par Call Date (exclusive of interest</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5"/>
              </w:rPr>
              <w:t>accrued to the date of redemption), discounted to the date of redemption on a semi-annual</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8"/>
              </w:rPr>
              <w:t>basis (assuming a 360-day year consisting of twelve 30-day months) at the then current</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2"/>
              </w:rPr>
              <w:t>Treasury Rate plus 35 basis points for the 2027 notes and 40 basis points for the 2030 notes,</w:t>
            </w:r>
          </w:p>
        </w:tc>
      </w:tr>
      <w:tr>
        <w:trPr>
          <w:trHeight w:val="216"/>
        </w:trPr>
        <w:tc>
          <w:tcPr>
            <w:tcW w:w="3540" w:type="dxa"/>
            <w:vAlign w:val="bottom"/>
          </w:tcPr>
          <w:p>
            <w:pPr>
              <w:spacing w:after="0"/>
              <w:rPr>
                <w:sz w:val="18"/>
                <w:szCs w:val="18"/>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2"/>
              </w:rPr>
              <w:t>plus, in each case, accrued and unpaid interest, if any, on the amount being redeemed to, but</w:t>
            </w:r>
          </w:p>
        </w:tc>
      </w:tr>
      <w:tr>
        <w:trPr>
          <w:trHeight w:val="230"/>
        </w:trPr>
        <w:tc>
          <w:tcPr>
            <w:tcW w:w="3540" w:type="dxa"/>
            <w:vAlign w:val="bottom"/>
          </w:tcPr>
          <w:p>
            <w:pPr>
              <w:spacing w:after="0"/>
              <w:rPr>
                <w:sz w:val="20"/>
                <w:szCs w:val="20"/>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excluding, the date of redemption.</w:t>
            </w:r>
          </w:p>
        </w:tc>
      </w:tr>
      <w:tr>
        <w:trPr>
          <w:trHeight w:val="418"/>
        </w:trPr>
        <w:tc>
          <w:tcPr>
            <w:tcW w:w="3540" w:type="dxa"/>
            <w:vAlign w:val="bottom"/>
          </w:tcPr>
          <w:p>
            <w:pPr>
              <w:spacing w:after="0"/>
              <w:rPr>
                <w:sz w:val="24"/>
                <w:szCs w:val="24"/>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w w:val="93"/>
              </w:rPr>
              <w:t>In addition, Micron may redeem any 2027 notes or 2030 notes on or after the applicable Par</w:t>
            </w:r>
          </w:p>
        </w:tc>
      </w:tr>
      <w:tr>
        <w:trPr>
          <w:trHeight w:val="230"/>
        </w:trPr>
        <w:tc>
          <w:tcPr>
            <w:tcW w:w="3540" w:type="dxa"/>
            <w:vAlign w:val="bottom"/>
          </w:tcPr>
          <w:p>
            <w:pPr>
              <w:spacing w:after="0"/>
              <w:rPr>
                <w:sz w:val="20"/>
                <w:szCs w:val="20"/>
                <w:color w:val="auto"/>
              </w:rPr>
            </w:pPr>
          </w:p>
        </w:tc>
        <w:tc>
          <w:tcPr>
            <w:tcW w:w="7920" w:type="dxa"/>
            <w:vAlign w:val="bottom"/>
          </w:tcPr>
          <w:p>
            <w:pPr>
              <w:ind w:left="1040"/>
              <w:spacing w:after="0"/>
              <w:rPr>
                <w:sz w:val="20"/>
                <w:szCs w:val="20"/>
                <w:color w:val="auto"/>
              </w:rPr>
            </w:pPr>
            <w:r>
              <w:rPr>
                <w:rFonts w:ascii="Arial" w:cs="Arial" w:eastAsia="Arial" w:hAnsi="Arial"/>
                <w:sz w:val="18"/>
                <w:szCs w:val="18"/>
                <w:color w:val="auto"/>
              </w:rPr>
              <w:t>Call Date at a redemption price</w:t>
            </w:r>
          </w:p>
        </w:tc>
      </w:tr>
      <w:tr>
        <w:trPr>
          <w:trHeight w:val="432"/>
        </w:trPr>
        <w:tc>
          <w:tcPr>
            <w:tcW w:w="3540" w:type="dxa"/>
            <w:vAlign w:val="bottom"/>
          </w:tcPr>
          <w:p>
            <w:pPr>
              <w:spacing w:after="0"/>
              <w:rPr>
                <w:sz w:val="24"/>
                <w:szCs w:val="24"/>
                <w:color w:val="auto"/>
              </w:rPr>
            </w:pPr>
          </w:p>
        </w:tc>
        <w:tc>
          <w:tcPr>
            <w:tcW w:w="7920" w:type="dxa"/>
            <w:vAlign w:val="bottom"/>
          </w:tcPr>
          <w:p>
            <w:pPr>
              <w:ind w:left="2120"/>
              <w:spacing w:after="0"/>
              <w:rPr>
                <w:sz w:val="20"/>
                <w:szCs w:val="20"/>
                <w:color w:val="auto"/>
              </w:rPr>
            </w:pPr>
            <w:r>
              <w:rPr>
                <w:rFonts w:ascii="Arial" w:cs="Arial" w:eastAsia="Arial" w:hAnsi="Arial"/>
                <w:sz w:val="18"/>
                <w:szCs w:val="18"/>
                <w:color w:val="auto"/>
              </w:rPr>
              <w:t>2</w:t>
            </w:r>
          </w:p>
        </w:tc>
      </w:tr>
      <w:tr>
        <w:trPr>
          <w:trHeight w:val="132"/>
        </w:trPr>
        <w:tc>
          <w:tcPr>
            <w:tcW w:w="3540" w:type="dxa"/>
            <w:vAlign w:val="bottom"/>
            <w:tcBorders>
              <w:bottom w:val="single" w:sz="8" w:color="808080"/>
            </w:tcBorders>
          </w:tcPr>
          <w:p>
            <w:pPr>
              <w:spacing w:after="0"/>
              <w:rPr>
                <w:sz w:val="11"/>
                <w:szCs w:val="11"/>
                <w:color w:val="auto"/>
              </w:rPr>
            </w:pPr>
          </w:p>
        </w:tc>
        <w:tc>
          <w:tcPr>
            <w:tcW w:w="79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ind w:left="4580" w:right="540"/>
        <w:spacing w:after="0" w:line="277" w:lineRule="auto"/>
        <w:rPr>
          <w:sz w:val="20"/>
          <w:szCs w:val="20"/>
          <w:color w:val="auto"/>
        </w:rPr>
      </w:pPr>
      <w:r>
        <w:rPr>
          <w:rFonts w:ascii="Arial" w:cs="Arial" w:eastAsia="Arial" w:hAnsi="Arial"/>
          <w:sz w:val="18"/>
          <w:szCs w:val="18"/>
          <w:color w:val="auto"/>
        </w:rPr>
        <w:t>equal to 100% of the principal amount of the notes redeemed, plus accrued and unpaid interest, if any, to, but excluding, the date of redemption.</w:t>
      </w:r>
    </w:p>
    <w:p>
      <w:pPr>
        <w:spacing w:after="0" w:line="170" w:lineRule="exact"/>
        <w:rPr>
          <w:sz w:val="20"/>
          <w:szCs w:val="20"/>
          <w:color w:val="auto"/>
        </w:rPr>
      </w:pPr>
    </w:p>
    <w:p>
      <w:pPr>
        <w:ind w:left="4580" w:right="160"/>
        <w:spacing w:after="0" w:line="286" w:lineRule="auto"/>
        <w:rPr>
          <w:sz w:val="20"/>
          <w:szCs w:val="20"/>
          <w:color w:val="auto"/>
        </w:rPr>
      </w:pPr>
      <w:r>
        <w:rPr>
          <w:rFonts w:ascii="Arial" w:cs="Arial" w:eastAsia="Arial" w:hAnsi="Arial"/>
          <w:sz w:val="17"/>
          <w:szCs w:val="17"/>
          <w:color w:val="auto"/>
        </w:rPr>
        <w:t>“Par Call Date” means (i) December 15, 2026 with respect to any 2027 notes (two months prior to the maturity date of the 2027 notes) and (ii) November 15, 2029 with respect to any 2030 notes (three months prior to the maturity date of the 2030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Note: A securities rating is not a recommendation to buy, sell or hold securities and may be subject to revision or withdrawal at any time.</w:t>
      </w:r>
    </w:p>
    <w:p>
      <w:pPr>
        <w:spacing w:after="0" w:line="248"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Goldman Sachs &amp; Co. LLC toll free at 1-866-471-2526, J.P. Morgan Securities LLC at 212-834-4533 or Wells Fargo Securities, LLC toll free at 1-800-645-3751.</w:t>
      </w:r>
    </w:p>
    <w:p>
      <w:pPr>
        <w:spacing w:after="0" w:line="189"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3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2019-12-01T01:54:57Z</dcterms:created>
  <dcterms:modified xsi:type="dcterms:W3CDTF">2019-12-01T01:54:57Z</dcterms:modified>
</cp:coreProperties>
</file>