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36195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Deboer Scott J</w:t>
        </w:r>
      </w:hyperlink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MS 1-372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MU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Technology &amp; Products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40" w:space="58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4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40" w:type="dxa"/>
            <w:vAlign w:val="bottom"/>
            <w:gridSpan w:val="1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59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11/06/2020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17,640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17.41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198,808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11/06/2020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17,640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55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181,168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11/06/2020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10,000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55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171,168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 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36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17.41</w:t>
            </w:r>
          </w:p>
        </w:tc>
        <w:tc>
          <w:tcPr>
            <w:tcW w:w="9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11/06/2020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17,640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10/19/2024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17,640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31,320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56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sales reported on this Form 4 were effected pursuant to a Rule 10b5-1 trading plan adopted by the reporting person on May 13, 2020.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3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8"/>
              </w:rPr>
              <w:t>2. The options vest in equal increments on October 16, 2017, 2018, 2019, and 2020.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 Beard, Attorney-in-fact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11/10/2020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** Signature of Reporting 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-4528185</wp:posOffset>
            </wp:positionV>
            <wp:extent cx="7033895" cy="36112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3611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68238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2020-11-10T18:47:03Z</dcterms:created>
  <dcterms:modified xsi:type="dcterms:W3CDTF">2020-11-10T18:47:03Z</dcterms:modified>
</cp:coreProperties>
</file>