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16,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On October 16, 2018, the Board of Directors of Micron Technology, Inc. (the “Company”) appointed Ms. Mary Pat McCarthy and Mr. Steve Gomo as members of the Company’s Board of Directors. Ms. McCarthy and Mr. Gomo have also been appointed to the Audit Committee of the Board of Directors. The full text of the press release issued in connection with their appointment to the Board of Directors is attached as Exhibit 99.1 to this report.</w:t>
      </w:r>
    </w:p>
    <w:p>
      <w:pPr>
        <w:spacing w:after="0" w:line="305"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 to Articles of Incorporation or Bylaws; Change in Fiscal Year</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October 16, 2018, the Board of Directors of the Company amended and restated the Company's bylaws (the “Amended and Restated Bylaws”) to implement proxy access and increase the size of the Board of Directors from seven to nine.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Specifically, new Article II, Section 11(c) implements proxy access with the following key provisions: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Ownership threshold</w:t>
      </w:r>
      <w:r>
        <w:rPr>
          <w:rFonts w:ascii="Arial" w:cs="Arial" w:eastAsia="Arial" w:hAnsi="Arial"/>
          <w:sz w:val="18"/>
          <w:szCs w:val="18"/>
          <w:color w:val="auto"/>
        </w:rPr>
        <w:t>: at least 3% of the Company’s outstanding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Holding period</w:t>
      </w:r>
      <w:r>
        <w:rPr>
          <w:rFonts w:ascii="Arial" w:cs="Arial" w:eastAsia="Arial" w:hAnsi="Arial"/>
          <w:sz w:val="18"/>
          <w:szCs w:val="18"/>
          <w:color w:val="auto"/>
        </w:rPr>
        <w:t>: continuously for 3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Number of nominees</w:t>
      </w:r>
      <w:r>
        <w:rPr>
          <w:rFonts w:ascii="Arial" w:cs="Arial" w:eastAsia="Arial" w:hAnsi="Arial"/>
          <w:sz w:val="18"/>
          <w:szCs w:val="18"/>
          <w:color w:val="auto"/>
        </w:rPr>
        <w:t>: the greater of 2 and 20% of the existing size of the Board (rounded down to the nearest whole number);</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Nominating group size</w:t>
      </w:r>
      <w:r>
        <w:rPr>
          <w:rFonts w:ascii="Arial" w:cs="Arial" w:eastAsia="Arial" w:hAnsi="Arial"/>
          <w:sz w:val="18"/>
          <w:szCs w:val="18"/>
          <w:color w:val="auto"/>
        </w:rPr>
        <w:t>: up to 20 shareholders, each of whom meets the requirements of the bylaws, may be aggregated to reach the 3% ownership threshold; and</w:t>
      </w:r>
    </w:p>
    <w:p>
      <w:pPr>
        <w:ind w:left="660" w:right="32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Single shareholder definition</w:t>
      </w:r>
      <w:r>
        <w:rPr>
          <w:rFonts w:ascii="Arial" w:cs="Arial" w:eastAsia="Arial" w:hAnsi="Arial"/>
          <w:sz w:val="18"/>
          <w:szCs w:val="18"/>
          <w:color w:val="auto"/>
        </w:rPr>
        <w:t>: includes (i) funds under common management and investment control; (ii) funds under common management and funded primarily by the same employer; and (iii) a “group of investment companies” as defined in Section 12(d)(1)(G)(ii) of the Investment Company Act of 1940, as amended.</w:t>
      </w:r>
    </w:p>
    <w:p>
      <w:pPr>
        <w:spacing w:after="0" w:line="19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 change to Article III, Section 1 of the Amended and Restated Bylaws increases the size of the Board from seven to nine. The Amended and Restated Bylaws also make clarifications, updates and other changes to the qualifications required of Board nominees.</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This description of the amendments to the Company's bylaws is qualified in its entirety by reference to the text of the Amended and Restated Bylaws filed as Exhibit 99.2 to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40" w:type="dxa"/>
            <w:vAlign w:val="bottom"/>
            <w:gridSpan w:val="6"/>
          </w:tcPr>
          <w:p>
            <w:pPr>
              <w:ind w:left="100"/>
              <w:spacing w:after="0"/>
              <w:rPr>
                <w:sz w:val="20"/>
                <w:szCs w:val="20"/>
                <w:color w:val="auto"/>
              </w:rPr>
            </w:pPr>
            <w:r>
              <w:rPr>
                <w:rFonts w:ascii="Arial" w:cs="Arial" w:eastAsia="Arial" w:hAnsi="Arial"/>
                <w:sz w:val="18"/>
                <w:szCs w:val="18"/>
                <w:color w:val="auto"/>
              </w:rPr>
              <w:t>(d) Exhibits.</w:t>
            </w:r>
          </w:p>
        </w:tc>
      </w:tr>
      <w:tr>
        <w:trPr>
          <w:trHeight w:val="621"/>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issued on October 16, 2018</w:t>
              </w:r>
            </w:hyperlink>
          </w:p>
        </w:tc>
        <w:tc>
          <w:tcPr>
            <w:tcW w:w="6720" w:type="dxa"/>
            <w:vAlign w:val="bottom"/>
            <w:gridSpan w:val="2"/>
          </w:tcPr>
          <w:p>
            <w:pPr>
              <w:spacing w:after="0"/>
              <w:rPr>
                <w:sz w:val="17"/>
                <w:szCs w:val="17"/>
                <w:color w:val="auto"/>
              </w:rPr>
            </w:pPr>
          </w:p>
        </w:tc>
      </w:tr>
      <w:tr>
        <w:trPr>
          <w:trHeight w:val="250"/>
        </w:trPr>
        <w:tc>
          <w:tcPr>
            <w:tcW w:w="1020" w:type="dxa"/>
            <w:vAlign w:val="bottom"/>
          </w:tcPr>
          <w:p>
            <w:pPr>
              <w:jc w:val="right"/>
              <w:ind w:right="90"/>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Amended and Restated Bylaws as of October 16, 2016</w:t>
              </w:r>
            </w:hyperlink>
          </w:p>
        </w:tc>
        <w:tc>
          <w:tcPr>
            <w:tcW w:w="5780" w:type="dxa"/>
            <w:vAlign w:val="bottom"/>
          </w:tcPr>
          <w:p>
            <w:pPr>
              <w:spacing w:after="0"/>
              <w:rPr>
                <w:sz w:val="21"/>
                <w:szCs w:val="21"/>
                <w:color w:val="auto"/>
              </w:rPr>
            </w:pPr>
          </w:p>
        </w:tc>
      </w:tr>
    </w:tbl>
    <w:p>
      <w:pPr>
        <w:sectPr>
          <w:pgSz w:w="11900" w:h="16838" w:orient="portrait"/>
          <w:cols w:equalWidth="0" w:num="1">
            <w:col w:w="11360"/>
          </w:cols>
          <w:pgMar w:left="240" w:top="742" w:right="29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4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80"/>
              <w:spacing w:after="0"/>
              <w:rPr>
                <w:sz w:val="20"/>
                <w:szCs w:val="20"/>
                <w:color w:val="auto"/>
              </w:rPr>
            </w:pPr>
            <w:r>
              <w:rPr>
                <w:rFonts w:ascii="Arial" w:cs="Arial" w:eastAsia="Arial" w:hAnsi="Arial"/>
                <w:sz w:val="18"/>
                <w:szCs w:val="18"/>
                <w:color w:val="auto"/>
              </w:rPr>
              <w:t>October 17, 2018</w:t>
            </w:r>
          </w:p>
        </w:tc>
        <w:tc>
          <w:tcPr>
            <w:tcW w:w="2700" w:type="dxa"/>
            <w:vAlign w:val="bottom"/>
          </w:tcPr>
          <w:p>
            <w:pPr>
              <w:ind w:left="17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70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700" w:type="dxa"/>
            <w:vAlign w:val="bottom"/>
          </w:tcPr>
          <w:p>
            <w:pPr>
              <w:ind w:left="17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760" w:type="dxa"/>
            <w:vAlign w:val="bottom"/>
            <w:tcBorders>
              <w:bottom w:val="single" w:sz="8" w:color="auto"/>
            </w:tcBorders>
          </w:tcPr>
          <w:p>
            <w:pPr>
              <w:spacing w:after="0"/>
              <w:rPr>
                <w:sz w:val="4"/>
                <w:szCs w:val="4"/>
                <w:color w:val="auto"/>
              </w:rPr>
            </w:pPr>
          </w:p>
        </w:tc>
      </w:tr>
      <w:tr>
        <w:trPr>
          <w:trHeight w:val="237"/>
        </w:trPr>
        <w:tc>
          <w:tcPr>
            <w:tcW w:w="13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Press release issued on October 16, 2018.</w:t>
            </w:r>
          </w:p>
        </w:tc>
      </w:tr>
      <w:tr>
        <w:trPr>
          <w:trHeight w:val="297"/>
        </w:trPr>
        <w:tc>
          <w:tcPr>
            <w:tcW w:w="13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4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Amended and Restated Bylaws as of October 16, 2016.</w:t>
            </w:r>
          </w:p>
        </w:tc>
      </w:tr>
    </w:tbl>
    <w:p>
      <w:pPr>
        <w:sectPr>
          <w:pgSz w:w="11900" w:h="16838" w:orient="portrait"/>
          <w:cols w:equalWidth="0" w:num="1">
            <w:col w:w="11360"/>
          </w:cols>
          <w:pgMar w:left="300" w:top="60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26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Erica Pompen</w:t>
            </w:r>
          </w:p>
        </w:tc>
      </w:tr>
      <w:tr>
        <w:trPr>
          <w:trHeight w:val="270"/>
        </w:trPr>
        <w:tc>
          <w:tcPr>
            <w:tcW w:w="1260" w:type="dxa"/>
            <w:vAlign w:val="bottom"/>
          </w:tcPr>
          <w:p>
            <w:pPr>
              <w:spacing w:after="0"/>
              <w:rPr>
                <w:sz w:val="23"/>
                <w:szCs w:val="23"/>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Media Relations</w:t>
            </w:r>
          </w:p>
        </w:tc>
      </w:tr>
      <w:tr>
        <w:trPr>
          <w:trHeight w:val="230"/>
        </w:trPr>
        <w:tc>
          <w:tcPr>
            <w:tcW w:w="1260" w:type="dxa"/>
            <w:vAlign w:val="bottom"/>
          </w:tcPr>
          <w:p>
            <w:pPr>
              <w:spacing w:after="0"/>
              <w:rPr>
                <w:sz w:val="19"/>
                <w:szCs w:val="19"/>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farhanahmad@micron.com</w:t>
            </w:r>
          </w:p>
        </w:tc>
        <w:tc>
          <w:tcPr>
            <w:tcW w:w="1980" w:type="dxa"/>
            <w:vAlign w:val="bottom"/>
            <w:gridSpan w:val="2"/>
          </w:tcPr>
          <w:p>
            <w:pPr>
              <w:ind w:left="280"/>
              <w:spacing w:after="0"/>
              <w:rPr>
                <w:sz w:val="20"/>
                <w:szCs w:val="20"/>
                <w:color w:val="auto"/>
              </w:rPr>
            </w:pPr>
            <w:r>
              <w:rPr>
                <w:rFonts w:ascii="Arial" w:cs="Arial" w:eastAsia="Arial" w:hAnsi="Arial"/>
                <w:sz w:val="18"/>
                <w:szCs w:val="18"/>
                <w:color w:val="0000FF"/>
                <w:w w:val="90"/>
              </w:rPr>
              <w:t>epompen@micron.com</w:t>
            </w:r>
          </w:p>
        </w:tc>
      </w:tr>
      <w:tr>
        <w:trPr>
          <w:trHeight w:val="291"/>
        </w:trPr>
        <w:tc>
          <w:tcPr>
            <w:tcW w:w="1260" w:type="dxa"/>
            <w:vAlign w:val="bottom"/>
          </w:tcPr>
          <w:p>
            <w:pPr>
              <w:spacing w:after="0"/>
              <w:rPr>
                <w:sz w:val="24"/>
                <w:szCs w:val="24"/>
                <w:color w:val="auto"/>
              </w:rPr>
            </w:pPr>
          </w:p>
        </w:tc>
        <w:tc>
          <w:tcPr>
            <w:tcW w:w="19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834-1927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 834-1873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2222"/>
        </w:rPr>
        <w:t>Mary Pat McCarthy and Steve Gomo Appointed to Micron’s Board of Directors</w:t>
      </w:r>
    </w:p>
    <w:p>
      <w:pPr>
        <w:spacing w:after="0" w:line="21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222222"/>
        </w:rPr>
        <w:t xml:space="preserve">BOISE, Idaho, Oct. 16, 2018 - </w:t>
      </w:r>
      <w:r>
        <w:rPr>
          <w:rFonts w:ascii="Arial" w:cs="Arial" w:eastAsia="Arial" w:hAnsi="Arial"/>
          <w:sz w:val="18"/>
          <w:szCs w:val="18"/>
          <w:color w:val="222222"/>
        </w:rPr>
        <w:t>Micron Technology, Inc., (NASDAQ: MU) today announced it has appointed two distinguished finance and technology</w:t>
      </w:r>
      <w:r>
        <w:rPr>
          <w:rFonts w:ascii="Arial" w:cs="Arial" w:eastAsia="Arial" w:hAnsi="Arial"/>
          <w:sz w:val="18"/>
          <w:szCs w:val="18"/>
          <w:b w:val="1"/>
          <w:bCs w:val="1"/>
          <w:color w:val="222222"/>
        </w:rPr>
        <w:t xml:space="preserve"> </w:t>
      </w:r>
      <w:r>
        <w:rPr>
          <w:rFonts w:ascii="Arial" w:cs="Arial" w:eastAsia="Arial" w:hAnsi="Arial"/>
          <w:sz w:val="18"/>
          <w:szCs w:val="18"/>
          <w:color w:val="222222"/>
        </w:rPr>
        <w:t>industry leaders, Mary Pat McCarthy and Steve Gomo, to its board of directors and audit committee.</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22222"/>
        </w:rPr>
        <w:t xml:space="preserve">McCarthy is a veteran of KPMG, a world-leading audit, tax and advisory firm, where she led the international practice serving software, electronics, communications and media companies. </w:t>
      </w:r>
      <w:r>
        <w:rPr>
          <w:rFonts w:ascii="Arial" w:cs="Arial" w:eastAsia="Arial" w:hAnsi="Arial"/>
          <w:sz w:val="16"/>
          <w:szCs w:val="16"/>
          <w:color w:val="212121"/>
        </w:rPr>
        <w:t>McCarthy has extensive experience in the technology space through client engagements with many leading</w:t>
      </w:r>
      <w:r>
        <w:rPr>
          <w:rFonts w:ascii="Arial" w:cs="Arial" w:eastAsia="Arial" w:hAnsi="Arial"/>
          <w:sz w:val="16"/>
          <w:szCs w:val="16"/>
          <w:color w:val="222222"/>
        </w:rPr>
        <w:t xml:space="preserve"> </w:t>
      </w:r>
      <w:r>
        <w:rPr>
          <w:rFonts w:ascii="Arial" w:cs="Arial" w:eastAsia="Arial" w:hAnsi="Arial"/>
          <w:sz w:val="16"/>
          <w:szCs w:val="16"/>
          <w:color w:val="212121"/>
        </w:rPr>
        <w:t xml:space="preserve">companies. </w:t>
      </w:r>
      <w:r>
        <w:rPr>
          <w:rFonts w:ascii="Arial" w:cs="Arial" w:eastAsia="Arial" w:hAnsi="Arial"/>
          <w:sz w:val="16"/>
          <w:szCs w:val="16"/>
          <w:color w:val="222222"/>
        </w:rPr>
        <w:t>As U.S. Vice Chair, McCarthy focused on growing KPMG’s global business and developing partners’ skills. She also held the position of</w:t>
      </w:r>
      <w:r>
        <w:rPr>
          <w:rFonts w:ascii="Arial" w:cs="Arial" w:eastAsia="Arial" w:hAnsi="Arial"/>
          <w:sz w:val="16"/>
          <w:szCs w:val="16"/>
          <w:color w:val="212121"/>
        </w:rPr>
        <w:t xml:space="preserve"> </w:t>
      </w:r>
      <w:r>
        <w:rPr>
          <w:rFonts w:ascii="Arial" w:cs="Arial" w:eastAsia="Arial" w:hAnsi="Arial"/>
          <w:sz w:val="16"/>
          <w:szCs w:val="16"/>
          <w:color w:val="222222"/>
        </w:rPr>
        <w:t xml:space="preserve">Executive Director of KPMG’s Audit Committee Institute and has deep boardroom experience, along with hands-on involvement with corporate governance, IPOs, mergers and acquisitions, and the SEC. </w:t>
      </w:r>
      <w:r>
        <w:rPr>
          <w:rFonts w:ascii="Arial" w:cs="Arial" w:eastAsia="Arial" w:hAnsi="Arial"/>
          <w:sz w:val="16"/>
          <w:szCs w:val="16"/>
          <w:color w:val="000000"/>
        </w:rPr>
        <w:t>McCarthy currently serves on the boards of Palo Alto Networks Inc. and most recently Andeavor and Mutual of</w:t>
      </w:r>
      <w:r>
        <w:rPr>
          <w:rFonts w:ascii="Arial" w:cs="Arial" w:eastAsia="Arial" w:hAnsi="Arial"/>
          <w:sz w:val="16"/>
          <w:szCs w:val="16"/>
          <w:color w:val="222222"/>
        </w:rPr>
        <w:t xml:space="preserve"> </w:t>
      </w:r>
      <w:r>
        <w:rPr>
          <w:rFonts w:ascii="Arial" w:cs="Arial" w:eastAsia="Arial" w:hAnsi="Arial"/>
          <w:sz w:val="16"/>
          <w:szCs w:val="16"/>
          <w:color w:val="000000"/>
        </w:rPr>
        <w:t>Omaha. She is a Certified Public Accountant and received her Bachelor of Science in Business Administration from the Creighton University in 1977.</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22222"/>
        </w:rPr>
        <w:t xml:space="preserve">Gomo has more than 40 years of global financial and management experience, most recently having served as Executive Vice President and Chief Financial Officer at NetApp from 2002 to 2011, where he oversaw finance, legal, workplace resources and investor relations functions. During Gomo’s tenure, NetApp, a leading provider of innovative storage and data management solutions, experienced exponential business growth, expanding to more than 130 offices worldwide, increasing revenues more than fivefold, and achieving a threefold rise in market cap. </w:t>
      </w:r>
      <w:r>
        <w:rPr>
          <w:rFonts w:ascii="Arial" w:cs="Arial" w:eastAsia="Arial" w:hAnsi="Arial"/>
          <w:sz w:val="17"/>
          <w:szCs w:val="17"/>
          <w:color w:val="000000"/>
        </w:rPr>
        <w:t>Gomo currently serves on the boards of Nutanix, Inc. and</w:t>
      </w:r>
      <w:r>
        <w:rPr>
          <w:rFonts w:ascii="Arial" w:cs="Arial" w:eastAsia="Arial" w:hAnsi="Arial"/>
          <w:sz w:val="17"/>
          <w:szCs w:val="17"/>
          <w:color w:val="222222"/>
        </w:rPr>
        <w:t xml:space="preserve"> </w:t>
      </w:r>
      <w:r>
        <w:rPr>
          <w:rFonts w:ascii="Arial" w:cs="Arial" w:eastAsia="Arial" w:hAnsi="Arial"/>
          <w:sz w:val="17"/>
          <w:szCs w:val="17"/>
          <w:color w:val="000000"/>
        </w:rPr>
        <w:t>Enphase Energy, Inc. He received his Bachelor of Science in Business Administration from the Oregon State University in 1974, and a Master of Business Administration in Finance from the Santa Clara University in 1977.</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222222"/>
        </w:rPr>
        <w:t>“I am honored that Mary Pat and Steve will add their exceptional talents and experience to our board of directors,” said Micron President and CEO Sanjay Mehrotra. “In her tenure at KPMG, Mary Pat served as a senior audit partner to major clients advising countless iconic Silicon Valley companies. Steve’s visionary management at NetApp helped drive exponential company growth. We certainly will benefit from their advice and insights as our business evolves, and as memory and storage solutions play an increasingly central role in advancing areas like artificial intelligence and machine learning.”</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“Mary Pat and Steve are distinguished leaders with deep expertise and significant public-company board experience,” said Micron Chairman Robert Switz. “Their backgrounds will bring additional strength to our board, and I am confident they are going to provide valuable perspectives as Micron continues to grow.”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Micron Technology, Inc.</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22222"/>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7"/>
          <w:szCs w:val="17"/>
          <w:u w:val="single" w:color="auto"/>
          <w:color w:val="016ABE"/>
        </w:rPr>
        <w:t>www.micron.com</w:t>
      </w:r>
      <w:r>
        <w:rPr>
          <w:rFonts w:ascii="Arial" w:cs="Arial" w:eastAsia="Arial" w:hAnsi="Arial"/>
          <w:sz w:val="17"/>
          <w:szCs w:val="17"/>
          <w:color w:val="222222"/>
        </w:rPr>
        <w:t>.</w:t>
      </w:r>
    </w:p>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October 16,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6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7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140"/>
        <w:spacing w:after="0" w:line="279" w:lineRule="auto"/>
        <w:rPr>
          <w:sz w:val="20"/>
          <w:szCs w:val="20"/>
          <w:color w:val="auto"/>
        </w:rPr>
      </w:pPr>
      <w:r>
        <w:rPr>
          <w:rFonts w:ascii="Arial" w:cs="Arial" w:eastAsia="Arial" w:hAnsi="Arial"/>
          <w:sz w:val="17"/>
          <w:szCs w:val="17"/>
          <w:color w:val="auto"/>
        </w:rPr>
        <w:t>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6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ind w:firstLine="656"/>
        <w:spacing w:after="0" w:line="286" w:lineRule="auto"/>
        <w:tabs>
          <w:tab w:leader="none" w:pos="1028" w:val="left"/>
        </w:tabs>
        <w:numPr>
          <w:ilvl w:val="0"/>
          <w:numId w:val="3"/>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74" w:lineRule="exact"/>
        <w:rPr>
          <w:rFonts w:ascii="Arial" w:cs="Arial" w:eastAsia="Arial" w:hAnsi="Arial"/>
          <w:sz w:val="16"/>
          <w:szCs w:val="16"/>
          <w:color w:val="auto"/>
        </w:rPr>
      </w:pPr>
    </w:p>
    <w:p>
      <w:pPr>
        <w:ind w:right="200" w:firstLine="656"/>
        <w:spacing w:after="0" w:line="264" w:lineRule="auto"/>
        <w:tabs>
          <w:tab w:leader="none" w:pos="1038"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84"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7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t>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229" w:lineRule="exact"/>
        <w:rPr>
          <w:sz w:val="20"/>
          <w:szCs w:val="20"/>
          <w:color w:val="auto"/>
        </w:rPr>
      </w:pPr>
    </w:p>
    <w:p>
      <w:pPr>
        <w:ind w:firstLine="656"/>
        <w:spacing w:after="0" w:line="288" w:lineRule="auto"/>
        <w:tabs>
          <w:tab w:leader="none" w:pos="102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9" w:lineRule="exact"/>
        <w:rPr>
          <w:rFonts w:ascii="Arial" w:cs="Arial" w:eastAsia="Arial" w:hAnsi="Arial"/>
          <w:sz w:val="16"/>
          <w:szCs w:val="16"/>
          <w:color w:val="auto"/>
        </w:rPr>
      </w:pPr>
    </w:p>
    <w:p>
      <w:pPr>
        <w:ind w:right="20" w:firstLine="656"/>
        <w:spacing w:after="0" w:line="268" w:lineRule="auto"/>
        <w:tabs>
          <w:tab w:leader="none" w:pos="1038"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83" w:lineRule="exact"/>
        <w:rPr>
          <w:rFonts w:ascii="Arial" w:cs="Arial" w:eastAsia="Arial" w:hAnsi="Arial"/>
          <w:sz w:val="17"/>
          <w:szCs w:val="17"/>
          <w:color w:val="auto"/>
        </w:rPr>
      </w:pPr>
    </w:p>
    <w:p>
      <w:pPr>
        <w:ind w:right="40" w:firstLine="656"/>
        <w:spacing w:after="0" w:line="288" w:lineRule="auto"/>
        <w:tabs>
          <w:tab w:leader="none" w:pos="1028"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69" w:lineRule="exact"/>
        <w:rPr>
          <w:rFonts w:ascii="Arial" w:cs="Arial" w:eastAsia="Arial" w:hAnsi="Arial"/>
          <w:sz w:val="16"/>
          <w:szCs w:val="16"/>
          <w:color w:val="auto"/>
        </w:rPr>
      </w:pPr>
    </w:p>
    <w:p>
      <w:pPr>
        <w:ind w:right="60" w:firstLine="656"/>
        <w:spacing w:after="0" w:line="264" w:lineRule="auto"/>
        <w:tabs>
          <w:tab w:leader="none" w:pos="103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Every written consent shall bear the date of signature of each stockholder who signs the consent and no written consent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to take the corporate action referred to therein unless, within sixty (60) days after the earliest dated written consent delivered in the manner prescribed in this Article II, Section 10 to the corporation,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ind w:right="500"/>
        <w:spacing w:after="0" w:line="277" w:lineRule="auto"/>
        <w:rPr>
          <w:sz w:val="20"/>
          <w:szCs w:val="20"/>
          <w:color w:val="auto"/>
        </w:rPr>
      </w:pPr>
      <w:r>
        <w:rPr>
          <w:rFonts w:ascii="Arial" w:cs="Arial" w:eastAsia="Arial" w:hAnsi="Arial"/>
          <w:sz w:val="18"/>
          <w:szCs w:val="18"/>
          <w:color w:val="auto"/>
        </w:rPr>
        <w:t>written consents signed by a sufficient number of holders to take such action are delivered to the corporation in the manner prescribed in this Article II, Section 10 and applicable law, and not revoked.</w:t>
      </w:r>
    </w:p>
    <w:p>
      <w:pPr>
        <w:spacing w:after="0" w:line="16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Proxy Access and Stockholder Business.</w:t>
      </w:r>
    </w:p>
    <w:p>
      <w:pPr>
        <w:spacing w:after="0" w:line="229" w:lineRule="exact"/>
        <w:rPr>
          <w:sz w:val="20"/>
          <w:szCs w:val="20"/>
          <w:color w:val="auto"/>
        </w:rPr>
      </w:pPr>
    </w:p>
    <w:p>
      <w:pPr>
        <w:ind w:right="180" w:firstLine="656"/>
        <w:spacing w:after="0" w:line="342" w:lineRule="auto"/>
        <w:tabs>
          <w:tab w:leader="none" w:pos="1018"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23" w:lineRule="exact"/>
        <w:rPr>
          <w:rFonts w:ascii="Arial" w:cs="Arial" w:eastAsia="Arial" w:hAnsi="Arial"/>
          <w:sz w:val="16"/>
          <w:szCs w:val="16"/>
          <w:color w:val="auto"/>
        </w:rPr>
      </w:pPr>
    </w:p>
    <w:p>
      <w:pPr>
        <w:ind w:left="1520" w:hanging="215"/>
        <w:spacing w:after="0"/>
        <w:tabs>
          <w:tab w:leader="none" w:pos="1520" w:val="left"/>
        </w:tabs>
        <w:numPr>
          <w:ilvl w:val="1"/>
          <w:numId w:val="5"/>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25"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5"/>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Only persons who are nominated in accordance with the procedures set forth in Article II, Section 11(b) and (c) shall be eligible for election as directors.</w:t>
      </w:r>
    </w:p>
    <w:p>
      <w:pPr>
        <w:spacing w:after="0" w:line="237" w:lineRule="exact"/>
        <w:rPr>
          <w:sz w:val="20"/>
          <w:szCs w:val="20"/>
          <w:color w:val="auto"/>
        </w:rPr>
      </w:pPr>
    </w:p>
    <w:p>
      <w:pPr>
        <w:ind w:right="20" w:firstLine="656"/>
        <w:spacing w:after="0" w:line="255" w:lineRule="auto"/>
        <w:tabs>
          <w:tab w:leader="none" w:pos="103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193" w:lineRule="exact"/>
        <w:rPr>
          <w:rFonts w:ascii="Arial" w:cs="Arial" w:eastAsia="Arial" w:hAnsi="Arial"/>
          <w:sz w:val="18"/>
          <w:szCs w:val="18"/>
          <w:color w:val="auto"/>
        </w:rPr>
      </w:pPr>
    </w:p>
    <w:p>
      <w:pPr>
        <w:ind w:left="1520" w:hanging="215"/>
        <w:spacing w:after="0"/>
        <w:tabs>
          <w:tab w:leader="none" w:pos="1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25" w:lineRule="exact"/>
        <w:rPr>
          <w:rFonts w:ascii="Arial" w:cs="Arial" w:eastAsia="Arial" w:hAnsi="Arial"/>
          <w:sz w:val="18"/>
          <w:szCs w:val="18"/>
          <w:color w:val="auto"/>
        </w:rPr>
      </w:pPr>
    </w:p>
    <w:p>
      <w:pPr>
        <w:ind w:left="660" w:right="20" w:firstLine="645"/>
        <w:spacing w:after="0" w:line="286" w:lineRule="auto"/>
        <w:tabs>
          <w:tab w:leader="none" w:pos="1623" w:val="left"/>
        </w:tabs>
        <w:numPr>
          <w:ilvl w:val="1"/>
          <w:numId w:val="6"/>
        </w:numPr>
        <w:rPr>
          <w:rFonts w:ascii="Arial" w:cs="Arial" w:eastAsia="Arial" w:hAnsi="Arial"/>
          <w:sz w:val="17"/>
          <w:szCs w:val="17"/>
          <w:color w:val="auto"/>
        </w:rPr>
      </w:pPr>
      <w:r>
        <w:rPr>
          <w:rFonts w:ascii="Arial" w:cs="Arial" w:eastAsia="Arial" w:hAnsi="Arial"/>
          <w:sz w:val="17"/>
          <w:szCs w:val="17"/>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65" w:lineRule="exact"/>
        <w:rPr>
          <w:rFonts w:ascii="Arial" w:cs="Arial" w:eastAsia="Arial" w:hAnsi="Arial"/>
          <w:sz w:val="17"/>
          <w:szCs w:val="17"/>
          <w:color w:val="auto"/>
        </w:rPr>
      </w:pPr>
    </w:p>
    <w:p>
      <w:pPr>
        <w:ind w:left="660" w:firstLine="645"/>
        <w:spacing w:after="0" w:line="273" w:lineRule="auto"/>
        <w:tabs>
          <w:tab w:leader="none" w:pos="1613" w:val="left"/>
        </w:tabs>
        <w:numPr>
          <w:ilvl w:val="1"/>
          <w:numId w:val="6"/>
        </w:numPr>
        <w:rPr>
          <w:rFonts w:ascii="Arial" w:cs="Arial" w:eastAsia="Arial" w:hAnsi="Arial"/>
          <w:sz w:val="17"/>
          <w:szCs w:val="17"/>
          <w:color w:val="auto"/>
        </w:rPr>
      </w:pPr>
      <w:r>
        <w:rPr>
          <w:rFonts w:ascii="Arial" w:cs="Arial" w:eastAsia="Arial" w:hAnsi="Arial"/>
          <w:sz w:val="17"/>
          <w:szCs w:val="17"/>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9" w:name="page10"/>
    <w:bookmarkEnd w:id="9"/>
    <w:p>
      <w:pPr>
        <w:ind w:left="660" w:right="580"/>
        <w:spacing w:after="0" w:line="277" w:lineRule="auto"/>
        <w:rPr>
          <w:sz w:val="20"/>
          <w:szCs w:val="20"/>
          <w:color w:val="auto"/>
        </w:rPr>
      </w:pPr>
      <w:r>
        <w:rPr>
          <w:rFonts w:ascii="Arial" w:cs="Arial" w:eastAsia="Arial" w:hAnsi="Arial"/>
          <w:sz w:val="18"/>
          <w:szCs w:val="18"/>
          <w:color w:val="auto"/>
        </w:rPr>
        <w:t>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170" w:lineRule="exact"/>
        <w:rPr>
          <w:sz w:val="20"/>
          <w:szCs w:val="20"/>
          <w:color w:val="auto"/>
        </w:rPr>
      </w:pPr>
    </w:p>
    <w:p>
      <w:pPr>
        <w:ind w:left="660" w:firstLine="645"/>
        <w:spacing w:after="0" w:line="257" w:lineRule="auto"/>
        <w:tabs>
          <w:tab w:leader="none" w:pos="15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188" w:lineRule="exact"/>
        <w:rPr>
          <w:rFonts w:ascii="Arial" w:cs="Arial" w:eastAsia="Arial" w:hAnsi="Arial"/>
          <w:sz w:val="18"/>
          <w:szCs w:val="18"/>
          <w:color w:val="auto"/>
        </w:rPr>
      </w:pPr>
    </w:p>
    <w:p>
      <w:pPr>
        <w:ind w:left="660" w:right="20" w:firstLine="645"/>
        <w:spacing w:after="0" w:line="268" w:lineRule="auto"/>
        <w:tabs>
          <w:tab w:leader="none" w:pos="1613"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81" w:lineRule="exact"/>
        <w:rPr>
          <w:sz w:val="20"/>
          <w:szCs w:val="20"/>
          <w:color w:val="auto"/>
        </w:rPr>
      </w:pPr>
    </w:p>
    <w:p>
      <w:pPr>
        <w:ind w:right="40" w:firstLine="656"/>
        <w:spacing w:after="0" w:line="270" w:lineRule="auto"/>
        <w:tabs>
          <w:tab w:leader="none" w:pos="1028" w:val="left"/>
        </w:tabs>
        <w:numPr>
          <w:ilvl w:val="0"/>
          <w:numId w:val="8"/>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77" w:lineRule="exact"/>
        <w:rPr>
          <w:rFonts w:ascii="Arial" w:cs="Arial" w:eastAsia="Arial" w:hAnsi="Arial"/>
          <w:sz w:val="17"/>
          <w:szCs w:val="17"/>
          <w:color w:val="auto"/>
        </w:rPr>
      </w:pPr>
    </w:p>
    <w:p>
      <w:pPr>
        <w:ind w:right="80" w:firstLine="1305"/>
        <w:spacing w:after="0" w:line="272" w:lineRule="auto"/>
        <w:tabs>
          <w:tab w:leader="none" w:pos="1693" w:val="left"/>
        </w:tabs>
        <w:numPr>
          <w:ilvl w:val="1"/>
          <w:numId w:val="8"/>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0" w:name="page11"/>
    <w:bookmarkEnd w:id="10"/>
    <w:p>
      <w:pPr>
        <w:ind w:firstLine="1305"/>
        <w:spacing w:after="0" w:line="273" w:lineRule="auto"/>
        <w:tabs>
          <w:tab w:leader="none" w:pos="1746"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78" w:lineRule="exact"/>
        <w:rPr>
          <w:rFonts w:ascii="Arial" w:cs="Arial" w:eastAsia="Arial" w:hAnsi="Arial"/>
          <w:sz w:val="17"/>
          <w:szCs w:val="17"/>
          <w:color w:val="auto"/>
        </w:rPr>
      </w:pPr>
    </w:p>
    <w:p>
      <w:pPr>
        <w:ind w:right="80" w:firstLine="1305"/>
        <w:spacing w:after="0" w:line="302" w:lineRule="auto"/>
        <w:tabs>
          <w:tab w:leader="none" w:pos="1733"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54" w:lineRule="exact"/>
        <w:rPr>
          <w:rFonts w:ascii="Arial" w:cs="Arial" w:eastAsia="Arial" w:hAnsi="Arial"/>
          <w:sz w:val="16"/>
          <w:szCs w:val="16"/>
          <w:color w:val="auto"/>
        </w:rPr>
      </w:pPr>
    </w:p>
    <w:p>
      <w:pPr>
        <w:ind w:right="40" w:firstLine="656"/>
        <w:spacing w:after="0" w:line="257" w:lineRule="auto"/>
        <w:tabs>
          <w:tab w:leader="none" w:pos="9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8" w:lineRule="exact"/>
        <w:rPr>
          <w:rFonts w:ascii="Arial" w:cs="Arial" w:eastAsia="Arial" w:hAnsi="Arial"/>
          <w:sz w:val="18"/>
          <w:szCs w:val="18"/>
          <w:color w:val="auto"/>
        </w:rPr>
      </w:pPr>
    </w:p>
    <w:p>
      <w:pPr>
        <w:ind w:right="140" w:firstLine="656"/>
        <w:spacing w:after="0" w:line="312" w:lineRule="auto"/>
        <w:tabs>
          <w:tab w:leader="none" w:pos="93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67" w:lineRule="exact"/>
        <w:rPr>
          <w:sz w:val="20"/>
          <w:szCs w:val="20"/>
          <w:color w:val="auto"/>
        </w:rPr>
      </w:pPr>
    </w:p>
    <w:p>
      <w:pPr>
        <w:ind w:firstLine="1305"/>
        <w:spacing w:after="0" w:line="270" w:lineRule="auto"/>
        <w:tabs>
          <w:tab w:leader="none" w:pos="167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4" w:right="279" w:bottom="1440" w:gutter="0" w:footer="0" w:header="0"/>
        </w:sectPr>
      </w:pPr>
    </w:p>
    <w:bookmarkStart w:id="11" w:name="page12"/>
    <w:bookmarkEnd w:id="11"/>
    <w:p>
      <w:pPr>
        <w:jc w:val="both"/>
        <w:ind w:right="200"/>
        <w:spacing w:after="0" w:line="286" w:lineRule="auto"/>
        <w:rPr>
          <w:sz w:val="20"/>
          <w:szCs w:val="20"/>
          <w:color w:val="auto"/>
        </w:rPr>
      </w:pPr>
      <w:r>
        <w:rPr>
          <w:rFonts w:ascii="Arial" w:cs="Arial" w:eastAsia="Arial" w:hAnsi="Arial"/>
          <w:sz w:val="17"/>
          <w:szCs w:val="17"/>
          <w:color w:val="auto"/>
        </w:rPr>
        <w:t>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16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394" w:lineRule="exact"/>
        <w:rPr>
          <w:sz w:val="20"/>
          <w:szCs w:val="20"/>
          <w:color w:val="auto"/>
        </w:rPr>
      </w:pPr>
    </w:p>
    <w:p>
      <w:pPr>
        <w:ind w:right="20" w:firstLine="1305"/>
        <w:spacing w:after="0" w:line="286" w:lineRule="auto"/>
        <w:tabs>
          <w:tab w:leader="none" w:pos="17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168" w:lineRule="exact"/>
        <w:rPr>
          <w:rFonts w:ascii="Arial" w:cs="Arial" w:eastAsia="Arial" w:hAnsi="Arial"/>
          <w:sz w:val="16"/>
          <w:szCs w:val="16"/>
          <w:color w:val="auto"/>
        </w:rPr>
      </w:pPr>
    </w:p>
    <w:p>
      <w:pPr>
        <w:ind w:firstLine="1305"/>
        <w:spacing w:after="0" w:line="270" w:lineRule="auto"/>
        <w:tabs>
          <w:tab w:leader="none" w:pos="17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2" w:name="page13"/>
    <w:bookmarkEnd w:id="12"/>
    <w:p>
      <w:pPr>
        <w:spacing w:after="0" w:line="283" w:lineRule="auto"/>
        <w:rPr>
          <w:sz w:val="20"/>
          <w:szCs w:val="20"/>
          <w:color w:val="auto"/>
        </w:rPr>
      </w:pPr>
      <w:r>
        <w:rPr>
          <w:rFonts w:ascii="Arial" w:cs="Arial" w:eastAsia="Arial" w:hAnsi="Arial"/>
          <w:sz w:val="16"/>
          <w:szCs w:val="16"/>
          <w:color w:val="auto"/>
        </w:rPr>
        <w:t>mail) of the record date (if such notice is provided after the record date); and (2) immediate notice if the Eligible Stockholder ceases to own any of the Required Shares prior to the date of the annual meeting of stockholders; (C) 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190" w:lineRule="exact"/>
        <w:rPr>
          <w:sz w:val="20"/>
          <w:szCs w:val="20"/>
          <w:color w:val="auto"/>
        </w:rPr>
      </w:pPr>
    </w:p>
    <w:p>
      <w:pPr>
        <w:ind w:right="100" w:firstLine="1305"/>
        <w:spacing w:after="0" w:line="302" w:lineRule="auto"/>
        <w:tabs>
          <w:tab w:leader="none" w:pos="183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54" w:lineRule="exact"/>
        <w:rPr>
          <w:rFonts w:ascii="Arial" w:cs="Arial" w:eastAsia="Arial" w:hAnsi="Arial"/>
          <w:sz w:val="16"/>
          <w:szCs w:val="16"/>
          <w:color w:val="auto"/>
        </w:rPr>
      </w:pPr>
    </w:p>
    <w:p>
      <w:pPr>
        <w:ind w:firstLine="1305"/>
        <w:spacing w:after="0" w:line="257" w:lineRule="auto"/>
        <w:tabs>
          <w:tab w:leader="none" w:pos="17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188" w:lineRule="exact"/>
        <w:rPr>
          <w:rFonts w:ascii="Arial" w:cs="Arial" w:eastAsia="Arial" w:hAnsi="Arial"/>
          <w:sz w:val="18"/>
          <w:szCs w:val="18"/>
          <w:color w:val="auto"/>
        </w:rPr>
      </w:pPr>
    </w:p>
    <w:p>
      <w:pPr>
        <w:ind w:right="80" w:firstLine="1305"/>
        <w:spacing w:after="0" w:line="273" w:lineRule="auto"/>
        <w:tabs>
          <w:tab w:leader="none" w:pos="168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3" w:name="page14"/>
    <w:bookmarkEnd w:id="13"/>
    <w:p>
      <w:pPr>
        <w:spacing w:after="0" w:line="287" w:lineRule="auto"/>
        <w:rPr>
          <w:sz w:val="20"/>
          <w:szCs w:val="20"/>
          <w:color w:val="auto"/>
        </w:rPr>
      </w:pPr>
      <w:r>
        <w:rPr>
          <w:rFonts w:ascii="Arial" w:cs="Arial" w:eastAsia="Arial" w:hAnsi="Arial"/>
          <w:sz w:val="16"/>
          <w:szCs w:val="16"/>
          <w:color w:val="auto"/>
        </w:rPr>
        <w:t>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173" w:lineRule="exact"/>
        <w:rPr>
          <w:sz w:val="20"/>
          <w:szCs w:val="20"/>
          <w:color w:val="auto"/>
        </w:rPr>
      </w:pPr>
    </w:p>
    <w:p>
      <w:pPr>
        <w:ind w:right="60" w:firstLine="1305"/>
        <w:spacing w:after="0" w:line="272" w:lineRule="auto"/>
        <w:tabs>
          <w:tab w:leader="none" w:pos="1736" w:val="left"/>
        </w:tabs>
        <w:numPr>
          <w:ilvl w:val="1"/>
          <w:numId w:val="14"/>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177" w:lineRule="exact"/>
        <w:rPr>
          <w:rFonts w:ascii="Arial" w:cs="Arial" w:eastAsia="Arial" w:hAnsi="Arial"/>
          <w:sz w:val="17"/>
          <w:szCs w:val="17"/>
          <w:color w:val="auto"/>
        </w:rPr>
      </w:pPr>
    </w:p>
    <w:p>
      <w:pPr>
        <w:ind w:right="100" w:firstLine="1305"/>
        <w:spacing w:after="0" w:line="279" w:lineRule="auto"/>
        <w:tabs>
          <w:tab w:leader="none" w:pos="17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71" w:lineRule="exact"/>
        <w:rPr>
          <w:rFonts w:ascii="Arial" w:cs="Arial" w:eastAsia="Arial" w:hAnsi="Arial"/>
          <w:sz w:val="17"/>
          <w:szCs w:val="17"/>
          <w:color w:val="auto"/>
        </w:rPr>
      </w:pPr>
    </w:p>
    <w:p>
      <w:pPr>
        <w:ind w:right="220" w:firstLine="1305"/>
        <w:spacing w:after="0" w:line="277" w:lineRule="auto"/>
        <w:tabs>
          <w:tab w:leader="none" w:pos="183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70" w:lineRule="exact"/>
        <w:rPr>
          <w:rFonts w:ascii="Arial" w:cs="Arial" w:eastAsia="Arial" w:hAnsi="Arial"/>
          <w:sz w:val="18"/>
          <w:szCs w:val="18"/>
          <w:color w:val="auto"/>
        </w:rPr>
      </w:pPr>
    </w:p>
    <w:p>
      <w:pPr>
        <w:ind w:right="640" w:firstLine="656"/>
        <w:spacing w:after="0" w:line="277" w:lineRule="auto"/>
        <w:tabs>
          <w:tab w:leader="none" w:pos="1038"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48" w:lineRule="exact"/>
        <w:rPr>
          <w:rFonts w:ascii="Arial" w:cs="Arial" w:eastAsia="Arial" w:hAnsi="Arial"/>
          <w:sz w:val="16"/>
          <w:szCs w:val="16"/>
          <w:color w:val="auto"/>
        </w:rPr>
      </w:pPr>
    </w:p>
    <w:p>
      <w:pPr>
        <w:jc w:val="both"/>
        <w:ind w:left="660" w:right="320" w:firstLine="645"/>
        <w:spacing w:after="0" w:line="312" w:lineRule="auto"/>
        <w:tabs>
          <w:tab w:leader="none" w:pos="157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46" w:lineRule="exact"/>
        <w:rPr>
          <w:rFonts w:ascii="Arial" w:cs="Arial" w:eastAsia="Arial" w:hAnsi="Arial"/>
          <w:sz w:val="16"/>
          <w:szCs w:val="16"/>
          <w:color w:val="auto"/>
        </w:rPr>
      </w:pPr>
    </w:p>
    <w:p>
      <w:pPr>
        <w:ind w:left="660" w:right="40" w:firstLine="645"/>
        <w:spacing w:after="0" w:line="259" w:lineRule="auto"/>
        <w:tabs>
          <w:tab w:leader="none" w:pos="162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86" w:lineRule="exact"/>
        <w:rPr>
          <w:rFonts w:ascii="Arial" w:cs="Arial" w:eastAsia="Arial" w:hAnsi="Arial"/>
          <w:sz w:val="18"/>
          <w:szCs w:val="18"/>
          <w:color w:val="auto"/>
        </w:rPr>
      </w:pPr>
    </w:p>
    <w:p>
      <w:pPr>
        <w:ind w:left="1600" w:hanging="295"/>
        <w:spacing w:after="0"/>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4" w:name="page15"/>
    <w:bookmarkEnd w:id="14"/>
    <w:p>
      <w:pPr>
        <w:ind w:right="340" w:firstLine="656"/>
        <w:spacing w:after="0" w:line="264" w:lineRule="auto"/>
        <w:tabs>
          <w:tab w:leader="none" w:pos="10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36" w:lineRule="exact"/>
        <w:rPr>
          <w:rFonts w:ascii="Arial" w:cs="Arial" w:eastAsia="Arial" w:hAnsi="Arial"/>
          <w:sz w:val="17"/>
          <w:szCs w:val="17"/>
          <w:color w:val="auto"/>
        </w:rPr>
      </w:pPr>
    </w:p>
    <w:p>
      <w:pPr>
        <w:ind w:left="660" w:right="180" w:firstLine="645"/>
        <w:spacing w:after="0" w:line="259" w:lineRule="auto"/>
        <w:tabs>
          <w:tab w:leader="none" w:pos="15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178" w:lineRule="exact"/>
        <w:rPr>
          <w:sz w:val="20"/>
          <w:szCs w:val="20"/>
          <w:color w:val="auto"/>
        </w:rPr>
      </w:pPr>
    </w:p>
    <w:p>
      <w:pPr>
        <w:ind w:left="1020" w:hanging="36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523"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0" w:lineRule="exact"/>
        <w:rPr>
          <w:rFonts w:ascii="Arial" w:cs="Arial" w:eastAsia="Arial" w:hAnsi="Arial"/>
          <w:sz w:val="18"/>
          <w:szCs w:val="18"/>
          <w:color w:val="auto"/>
        </w:rPr>
      </w:pPr>
    </w:p>
    <w:p>
      <w:pPr>
        <w:ind w:left="660" w:right="20" w:firstLine="645"/>
        <w:spacing w:after="0" w:line="290" w:lineRule="auto"/>
        <w:tabs>
          <w:tab w:leader="none" w:pos="1573" w:val="left"/>
        </w:tabs>
        <w:numPr>
          <w:ilvl w:val="1"/>
          <w:numId w:val="17"/>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229" w:lineRule="exact"/>
        <w:rPr>
          <w:sz w:val="20"/>
          <w:szCs w:val="20"/>
          <w:color w:val="auto"/>
        </w:rPr>
      </w:pPr>
    </w:p>
    <w:p>
      <w:pPr>
        <w:ind w:right="40" w:firstLine="656"/>
        <w:spacing w:after="0" w:line="259" w:lineRule="auto"/>
        <w:tabs>
          <w:tab w:leader="none" w:pos="10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86" w:lineRule="exact"/>
        <w:rPr>
          <w:rFonts w:ascii="Arial" w:cs="Arial" w:eastAsia="Arial" w:hAnsi="Arial"/>
          <w:sz w:val="18"/>
          <w:szCs w:val="18"/>
          <w:color w:val="auto"/>
        </w:rPr>
      </w:pPr>
    </w:p>
    <w:p>
      <w:pPr>
        <w:ind w:firstLine="656"/>
        <w:spacing w:after="0" w:line="269" w:lineRule="auto"/>
        <w:tabs>
          <w:tab w:leader="none" w:pos="10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 - DIRECTORS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nine.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6" w:name="page17"/>
    <w:bookmarkEnd w:id="16"/>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Resignation of Directors.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0" w:right="319" w:bottom="1440" w:gutter="0" w:footer="0" w:header="0"/>
        </w:sectPr>
      </w:pPr>
    </w:p>
    <w:bookmarkStart w:id="17" w:name="page18"/>
    <w:bookmarkEnd w:id="17"/>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229" w:lineRule="exact"/>
        <w:rPr>
          <w:sz w:val="20"/>
          <w:szCs w:val="20"/>
          <w:color w:val="auto"/>
        </w:rPr>
      </w:pPr>
    </w:p>
    <w:p>
      <w:pPr>
        <w:ind w:firstLine="656"/>
        <w:spacing w:after="0" w:line="291" w:lineRule="auto"/>
        <w:tabs>
          <w:tab w:leader="none" w:pos="102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7" w:lineRule="exact"/>
        <w:rPr>
          <w:rFonts w:ascii="Arial" w:cs="Arial" w:eastAsia="Arial" w:hAnsi="Arial"/>
          <w:sz w:val="16"/>
          <w:szCs w:val="16"/>
          <w:color w:val="auto"/>
        </w:rPr>
      </w:pPr>
    </w:p>
    <w:p>
      <w:pPr>
        <w:ind w:right="20" w:firstLine="656"/>
        <w:spacing w:after="0" w:line="270" w:lineRule="auto"/>
        <w:tabs>
          <w:tab w:leader="none" w:pos="103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1" w:lineRule="exact"/>
        <w:rPr>
          <w:rFonts w:ascii="Arial" w:cs="Arial" w:eastAsia="Arial" w:hAnsi="Arial"/>
          <w:sz w:val="17"/>
          <w:szCs w:val="17"/>
          <w:color w:val="auto"/>
        </w:rPr>
      </w:pPr>
    </w:p>
    <w:p>
      <w:pPr>
        <w:jc w:val="both"/>
        <w:ind w:right="40" w:firstLine="656"/>
        <w:spacing w:after="0" w:line="259" w:lineRule="auto"/>
        <w:tabs>
          <w:tab w:leader="none" w:pos="102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796" w:right="2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ARTICLE IV - NOTICES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Notice to Directors and Stockholders.</w:t>
      </w:r>
    </w:p>
    <w:p>
      <w:pPr>
        <w:spacing w:after="0" w:line="229"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 - OFFICERS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8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229" w:lineRule="exact"/>
        <w:rPr>
          <w:sz w:val="20"/>
          <w:szCs w:val="20"/>
          <w:color w:val="auto"/>
        </w:rPr>
      </w:pPr>
    </w:p>
    <w:p>
      <w:pPr>
        <w:ind w:right="20" w:firstLine="656"/>
        <w:spacing w:after="0" w:line="279" w:lineRule="auto"/>
        <w:tabs>
          <w:tab w:leader="none" w:pos="1028"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71" w:lineRule="exact"/>
        <w:rPr>
          <w:rFonts w:ascii="Arial" w:cs="Arial" w:eastAsia="Arial" w:hAnsi="Arial"/>
          <w:sz w:val="17"/>
          <w:szCs w:val="17"/>
          <w:color w:val="auto"/>
        </w:rPr>
      </w:pPr>
    </w:p>
    <w:p>
      <w:pPr>
        <w:ind w:firstLine="656"/>
        <w:spacing w:after="0" w:line="259" w:lineRule="auto"/>
        <w:tabs>
          <w:tab w:leader="none" w:pos="1038"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5" w:right="259" w:bottom="1440" w:gutter="0" w:footer="0" w:header="0"/>
        </w:sectPr>
      </w:pPr>
    </w:p>
    <w:bookmarkStart w:id="19" w:name="page20"/>
    <w:bookmarkEnd w:id="19"/>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Vacancies in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Signatures on Certificates.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against any claim that may be made against the corporation with respect to the certificate alleged to have been lost, stolen or destroyed.</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firstLine="656"/>
        <w:spacing w:after="0" w:line="269" w:lineRule="auto"/>
        <w:tabs>
          <w:tab w:leader="none" w:pos="10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179" w:lineRule="exact"/>
        <w:rPr>
          <w:rFonts w:ascii="Arial" w:cs="Arial" w:eastAsia="Arial" w:hAnsi="Arial"/>
          <w:sz w:val="17"/>
          <w:szCs w:val="17"/>
          <w:color w:val="auto"/>
        </w:rPr>
      </w:pPr>
    </w:p>
    <w:p>
      <w:pPr>
        <w:ind w:right="20" w:firstLine="656"/>
        <w:spacing w:after="0" w:line="276" w:lineRule="auto"/>
        <w:tabs>
          <w:tab w:leader="none" w:pos="103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 FORUM FOR DISPUTES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229" w:lineRule="exact"/>
        <w:rPr>
          <w:sz w:val="20"/>
          <w:szCs w:val="20"/>
          <w:color w:val="auto"/>
        </w:rPr>
      </w:pPr>
    </w:p>
    <w:p>
      <w:pPr>
        <w:ind w:right="20" w:firstLine="656"/>
        <w:spacing w:after="0" w:line="25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88" w:lineRule="exact"/>
        <w:rPr>
          <w:rFonts w:ascii="Arial" w:cs="Arial" w:eastAsia="Arial" w:hAnsi="Arial"/>
          <w:sz w:val="18"/>
          <w:szCs w:val="18"/>
          <w:color w:val="auto"/>
        </w:rPr>
      </w:pPr>
    </w:p>
    <w:p>
      <w:pPr>
        <w:ind w:right="380" w:firstLine="656"/>
        <w:spacing w:after="0" w:line="264" w:lineRule="auto"/>
        <w:tabs>
          <w:tab w:leader="none" w:pos="10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81" w:lineRule="exact"/>
        <w:rPr>
          <w:sz w:val="20"/>
          <w:szCs w:val="20"/>
          <w:color w:val="auto"/>
        </w:rPr>
      </w:pPr>
    </w:p>
    <w:p>
      <w:pPr>
        <w:ind w:right="440" w:firstLine="656"/>
        <w:spacing w:after="0" w:line="277" w:lineRule="auto"/>
        <w:tabs>
          <w:tab w:leader="none" w:pos="10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0" w:lineRule="exact"/>
        <w:rPr>
          <w:rFonts w:ascii="Arial" w:cs="Arial" w:eastAsia="Arial" w:hAnsi="Arial"/>
          <w:sz w:val="18"/>
          <w:szCs w:val="18"/>
          <w:color w:val="auto"/>
        </w:rPr>
      </w:pPr>
    </w:p>
    <w:p>
      <w:pPr>
        <w:ind w:right="80" w:firstLine="656"/>
        <w:spacing w:after="0" w:line="277" w:lineRule="auto"/>
        <w:tabs>
          <w:tab w:leader="none" w:pos="10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 - GENERAL PROVISIONS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229" w:lineRule="exact"/>
        <w:rPr>
          <w:sz w:val="20"/>
          <w:szCs w:val="20"/>
          <w:color w:val="auto"/>
        </w:rPr>
      </w:pPr>
    </w:p>
    <w:p>
      <w:pPr>
        <w:ind w:right="120" w:firstLine="656"/>
        <w:spacing w:after="0" w:line="264" w:lineRule="auto"/>
        <w:tabs>
          <w:tab w:leader="none" w:pos="1028"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038"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6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Checks.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r>
        <w:rPr>
          <w:rFonts w:ascii="Arial" w:cs="Arial" w:eastAsia="Arial" w:hAnsi="Arial"/>
          <w:sz w:val="16"/>
          <w:szCs w:val="16"/>
          <w:color w:val="auto"/>
        </w:rPr>
        <w: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184"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These Bylaws may be altered, amended or repealed or new Bylaws may be adopted by the stockholders or by the Board of Directors at any regular meeting of the stockholders or of the Board of Directors or at any special meeting of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22" w:name="page23"/>
    <w:bookmarkEnd w:id="22"/>
    <w:p>
      <w:pPr>
        <w:spacing w:after="0" w:line="264" w:lineRule="auto"/>
        <w:rPr>
          <w:sz w:val="20"/>
          <w:szCs w:val="20"/>
          <w:color w:val="auto"/>
        </w:rPr>
      </w:pPr>
      <w:r>
        <w:rPr>
          <w:rFonts w:ascii="Arial" w:cs="Arial" w:eastAsia="Arial" w:hAnsi="Arial"/>
          <w:sz w:val="18"/>
          <w:szCs w:val="18"/>
          <w:color w:val="auto"/>
        </w:rPr>
        <w:t>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sectPr>
      <w:pgSz w:w="11900" w:h="16838" w:orient="portrait"/>
      <w:cols w:equalWidth="0" w:num="1">
        <w:col w:w="11360"/>
      </w:cols>
      <w:pgMar w:left="240" w:top="5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lvl w:ilvl="1">
      <w:lvlJc w:val="left"/>
      <w:lvlText w:val="(%2)"/>
      <w:numFmt w:val="lowerRoman"/>
      <w:start w:val="1"/>
    </w:lvl>
  </w:abstractNum>
  <w:abstractNum w:abstractNumId="5">
    <w:nsid w:val="1BEFD79F"/>
    <w:multiLevelType w:val="hybridMultilevel"/>
    <w:lvl w:ilvl="0">
      <w:lvlJc w:val="left"/>
      <w:lvlText w:val="(%1)"/>
      <w:numFmt w:val="lowerLetter"/>
      <w:start w:val="2"/>
    </w:lvl>
    <w:lvl w:ilvl="1">
      <w:lvlJc w:val="left"/>
      <w:lvlText w:val="(%2)"/>
      <w:numFmt w:val="lowerRoman"/>
      <w:start w:val="1"/>
    </w:lvl>
  </w:abstractNum>
  <w:abstractNum w:abstractNumId="6">
    <w:nsid w:val="41A7C4C9"/>
    <w:multiLevelType w:val="hybridMultilevel"/>
    <w:lvl w:ilvl="0">
      <w:lvlJc w:val="left"/>
      <w:lvlText w:val="(%1)"/>
      <w:numFmt w:val="lowerRoman"/>
      <w:start w:val="5"/>
    </w:lvl>
  </w:abstractNum>
  <w:abstractNum w:abstractNumId="7">
    <w:nsid w:val="6B68079A"/>
    <w:multiLevelType w:val="hybridMultilevel"/>
    <w:lvl w:ilvl="0">
      <w:lvlJc w:val="left"/>
      <w:lvlText w:val="(%1)"/>
      <w:numFmt w:val="lowerLetter"/>
      <w:start w:val="3"/>
    </w:lvl>
    <w:lvl w:ilvl="1">
      <w:lvlJc w:val="left"/>
      <w:lvlText w:val="(%2)"/>
      <w:numFmt w:val="lowerLetter"/>
      <w:start w:val="35"/>
    </w:lvl>
  </w:abstractNum>
  <w:abstractNum w:abstractNumId="8">
    <w:nsid w:val="4E6AFB66"/>
    <w:multiLevelType w:val="hybridMultilevel"/>
    <w:lvl w:ilvl="0">
      <w:lvlJc w:val="left"/>
      <w:lvlText w:val="%1"/>
      <w:numFmt w:val="upperLetter"/>
      <w:start w:val="1"/>
    </w:lvl>
    <w:lvl w:ilvl="1">
      <w:lvlJc w:val="left"/>
      <w:lvlText w:val="(%2)"/>
      <w:numFmt w:val="lowerRoman"/>
      <w:start w:val="3"/>
    </w:lvl>
  </w:abstractNum>
  <w:abstractNum w:abstractNumId="9">
    <w:nsid w:val="25E45D32"/>
    <w:multiLevelType w:val="hybridMultilevel"/>
    <w:lvl w:ilvl="0">
      <w:lvlJc w:val="left"/>
      <w:lvlText w:val="(%1)"/>
      <w:numFmt w:val="upperLetter"/>
      <w:start w:val="1"/>
    </w:lvl>
    <w:lvl w:ilvl="1">
      <w:lvlJc w:val="left"/>
      <w:lvlText w:val="%2"/>
      <w:numFmt w:val="lowerRoman"/>
      <w:start w:val="1"/>
    </w:lvl>
  </w:abstractNum>
  <w:abstractNum w:abstractNumId="10">
    <w:nsid w:val="519B500D"/>
    <w:multiLevelType w:val="hybridMultilevel"/>
    <w:lvl w:ilvl="0">
      <w:lvlJc w:val="left"/>
      <w:lvlText w:val="(%1)"/>
      <w:numFmt w:val="lowerRoman"/>
      <w:start w:val="5"/>
    </w:lvl>
  </w:abstractNum>
  <w:abstractNum w:abstractNumId="11">
    <w:nsid w:val="431BD7B7"/>
    <w:multiLevelType w:val="hybridMultilevel"/>
    <w:lvl w:ilvl="0">
      <w:lvlJc w:val="left"/>
      <w:lvlText w:val="(%1)"/>
      <w:numFmt w:val="lowerRoman"/>
      <w:start w:val="6"/>
    </w:lvl>
  </w:abstractNum>
  <w:abstractNum w:abstractNumId="12">
    <w:nsid w:val="3F2DBA31"/>
    <w:multiLevelType w:val="hybridMultilevel"/>
    <w:lvl w:ilvl="0">
      <w:lvlJc w:val="left"/>
      <w:lvlText w:val="(%1)"/>
      <w:numFmt w:val="lowerRoman"/>
      <w:start w:val="8"/>
    </w:lvl>
  </w:abstractNum>
  <w:abstractNum w:abstractNumId="13">
    <w:nsid w:val="7C83E458"/>
    <w:multiLevelType w:val="hybridMultilevel"/>
    <w:lvl w:ilvl="0">
      <w:lvlJc w:val="left"/>
      <w:lvlText w:val="%1"/>
      <w:numFmt w:val="lowerLetter"/>
      <w:start w:val="1"/>
    </w:lvl>
    <w:lvl w:ilvl="1">
      <w:lvlJc w:val="left"/>
      <w:lvlText w:val="(%2)"/>
      <w:numFmt w:val="lowerRoman"/>
      <w:start w:val="11"/>
    </w:lvl>
  </w:abstractNum>
  <w:abstractNum w:abstractNumId="14">
    <w:nsid w:val="257130A3"/>
    <w:multiLevelType w:val="hybridMultilevel"/>
    <w:lvl w:ilvl="0">
      <w:lvlJc w:val="left"/>
      <w:lvlText w:val="(%1)"/>
      <w:numFmt w:val="lowerLetter"/>
      <w:start w:val="4"/>
    </w:lvl>
    <w:lvl w:ilvl="1">
      <w:lvlJc w:val="left"/>
      <w:lvlText w:val="(%2)"/>
      <w:numFmt w:val="lowerRoman"/>
      <w:start w:val="1"/>
    </w:lvl>
  </w:abstractNum>
  <w:abstractNum w:abstractNumId="15">
    <w:nsid w:val="62BBD95A"/>
    <w:multiLevelType w:val="hybridMultilevel"/>
    <w:lvl w:ilvl="0">
      <w:lvlJc w:val="left"/>
      <w:lvlText w:val="(%1)"/>
      <w:numFmt w:val="lowerLetter"/>
      <w:start w:val="5"/>
    </w:lvl>
    <w:lvl w:ilvl="1">
      <w:lvlJc w:val="left"/>
      <w:lvlText w:val="(%2)"/>
      <w:numFmt w:val="lowerRoman"/>
      <w:start w:val="1"/>
    </w:lvl>
  </w:abstractNum>
  <w:abstractNum w:abstractNumId="16">
    <w:nsid w:val="436C6125"/>
    <w:multiLevelType w:val="hybridMultilevel"/>
    <w:lvl w:ilvl="0">
      <w:lvlJc w:val="left"/>
      <w:lvlText w:val="(%1)"/>
      <w:numFmt w:val="lowerLetter"/>
      <w:start w:val="6"/>
    </w:lvl>
    <w:lvl w:ilvl="1">
      <w:lvlJc w:val="left"/>
      <w:lvlText w:val="(%2)"/>
      <w:numFmt w:val="lowerRoman"/>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2019-12-28T19:10:48Z</dcterms:created>
  <dcterms:modified xsi:type="dcterms:W3CDTF">2019-12-28T19:10:48Z</dcterms:modified>
</cp:coreProperties>
</file>