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575945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April 2, 2009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75-1618004</w:t>
            </w:r>
          </w:p>
        </w:tc>
      </w:tr>
      <w:tr>
        <w:trPr>
          <w:trHeight w:val="230"/>
        </w:trPr>
        <w:tc>
          <w:tcPr>
            <w:tcW w:w="3800" w:type="dxa"/>
            <w:vAlign w:val="bottom"/>
          </w:tcPr>
          <w:p>
            <w:pPr>
              <w:jc w:val="center"/>
              <w:ind w:left="350"/>
              <w:spacing w:after="0"/>
              <w:rPr>
                <w:sz w:val="20"/>
                <w:szCs w:val="20"/>
                <w:color w:val="auto"/>
              </w:rPr>
            </w:pPr>
            <w:r>
              <w:rPr>
                <w:rFonts w:ascii="Arial" w:cs="Arial" w:eastAsia="Arial" w:hAnsi="Arial"/>
                <w:sz w:val="18"/>
                <w:szCs w:val="18"/>
                <w:color w:val="auto"/>
                <w:w w:val="92"/>
              </w:rPr>
              <w:t>(State or other jurisdiction of incorporation)</w:t>
            </w:r>
          </w:p>
        </w:tc>
        <w:tc>
          <w:tcPr>
            <w:tcW w:w="4080" w:type="dxa"/>
            <w:vAlign w:val="bottom"/>
          </w:tcPr>
          <w:p>
            <w:pPr>
              <w:jc w:val="center"/>
              <w:ind w:left="190"/>
              <w:spacing w:after="0"/>
              <w:rPr>
                <w:sz w:val="20"/>
                <w:szCs w:val="20"/>
                <w:color w:val="auto"/>
              </w:rPr>
            </w:pPr>
            <w:r>
              <w:rPr>
                <w:rFonts w:ascii="Arial" w:cs="Arial" w:eastAsia="Arial" w:hAnsi="Arial"/>
                <w:sz w:val="18"/>
                <w:szCs w:val="18"/>
                <w:color w:val="auto"/>
                <w:w w:val="93"/>
              </w:rPr>
              <w:t>(Commission File Number)</w:t>
            </w:r>
          </w:p>
        </w:tc>
        <w:tc>
          <w:tcPr>
            <w:tcW w:w="3540" w:type="dxa"/>
            <w:vAlign w:val="bottom"/>
          </w:tcPr>
          <w:p>
            <w:pPr>
              <w:jc w:val="right"/>
              <w:ind w:right="390"/>
              <w:spacing w:after="0"/>
              <w:rPr>
                <w:sz w:val="20"/>
                <w:szCs w:val="20"/>
                <w:color w:val="auto"/>
              </w:rPr>
            </w:pPr>
            <w:r>
              <w:rPr>
                <w:rFonts w:ascii="Arial" w:cs="Arial" w:eastAsia="Arial" w:hAnsi="Arial"/>
                <w:sz w:val="18"/>
                <w:szCs w:val="18"/>
                <w:color w:val="auto"/>
              </w:rPr>
              <w:t>(I.R.S. Employer Identification No.)</w:t>
            </w:r>
          </w:p>
        </w:tc>
      </w:tr>
      <w:tr>
        <w:trPr>
          <w:trHeight w:val="427"/>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Arial" w:cs="Arial" w:eastAsia="Arial" w:hAnsi="Arial"/>
                <w:sz w:val="18"/>
                <w:szCs w:val="18"/>
                <w:b w:val="1"/>
                <w:bCs w:val="1"/>
                <w:color w:val="auto"/>
                <w:w w:val="90"/>
              </w:rPr>
              <w:t>8000 South Federal Way</w:t>
            </w:r>
          </w:p>
        </w:tc>
        <w:tc>
          <w:tcPr>
            <w:tcW w:w="3540" w:type="dxa"/>
            <w:vAlign w:val="bottom"/>
          </w:tcPr>
          <w:p>
            <w:pPr>
              <w:spacing w:after="0"/>
              <w:rPr>
                <w:sz w:val="24"/>
                <w:szCs w:val="24"/>
                <w:color w:val="auto"/>
              </w:rPr>
            </w:pPr>
          </w:p>
        </w:tc>
      </w:tr>
      <w:tr>
        <w:trPr>
          <w:trHeight w:val="241"/>
        </w:trPr>
        <w:tc>
          <w:tcPr>
            <w:tcW w:w="3800" w:type="dxa"/>
            <w:vAlign w:val="bottom"/>
          </w:tcPr>
          <w:p>
            <w:pPr>
              <w:spacing w:after="0"/>
              <w:rPr>
                <w:sz w:val="20"/>
                <w:szCs w:val="20"/>
                <w:color w:val="auto"/>
              </w:rPr>
            </w:pP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Boise, Idaho 83716-9632</w:t>
            </w:r>
          </w:p>
        </w:tc>
        <w:tc>
          <w:tcPr>
            <w:tcW w:w="3540" w:type="dxa"/>
            <w:vAlign w:val="bottom"/>
          </w:tcPr>
          <w:p>
            <w:pPr>
              <w:spacing w:after="0"/>
              <w:rPr>
                <w:sz w:val="20"/>
                <w:szCs w:val="20"/>
                <w:color w:val="auto"/>
              </w:rPr>
            </w:pPr>
          </w:p>
        </w:tc>
      </w:tr>
      <w:tr>
        <w:trPr>
          <w:trHeight w:val="230"/>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540" w:type="dxa"/>
            <w:vAlign w:val="bottom"/>
          </w:tcPr>
          <w:p>
            <w:pPr>
              <w:spacing w:after="0"/>
              <w:rPr>
                <w:sz w:val="20"/>
                <w:szCs w:val="20"/>
                <w:color w:val="auto"/>
              </w:rPr>
            </w:pPr>
          </w:p>
        </w:tc>
      </w:tr>
    </w:tbl>
    <w:p>
      <w:pPr>
        <w:spacing w:after="0" w:line="210" w:lineRule="exact"/>
        <w:rPr>
          <w:sz w:val="24"/>
          <w:szCs w:val="24"/>
          <w:color w:val="auto"/>
        </w:rPr>
      </w:pPr>
    </w:p>
    <w:p>
      <w:pPr>
        <w:jc w:val="center"/>
        <w:ind w:left="5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17145</wp:posOffset>
            </wp:positionV>
            <wp:extent cx="32759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0"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Written communications pursuant to Rule 425 under the Securities Act (17 CFR 230.425)</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Soliciting material pursuant to Rule 14a-12 under the Exchange Act (17 CFR 240.14a-12)</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Pre-commencement communications pursuant to Rule 14d-2(b) under the Exchange Act (17 CFR 240.14d-2(b))</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236855</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751205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On April 2, 2009, the Company announced its financial results for the fiscal quarter ended March 5, 2009. The full text of the press release issued in connection with the announcement is attached as Exhibit 99.1 to this Current Report on Form 8-K.</w:t>
      </w:r>
    </w:p>
    <w:p>
      <w:pPr>
        <w:spacing w:after="0" w:line="200" w:lineRule="exact"/>
        <w:rPr>
          <w:sz w:val="20"/>
          <w:szCs w:val="20"/>
          <w:color w:val="auto"/>
        </w:rPr>
      </w:pPr>
    </w:p>
    <w:p>
      <w:pPr>
        <w:spacing w:after="0" w:line="23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2.05.</w:t>
      </w:r>
      <w:r>
        <w:rPr>
          <w:sz w:val="20"/>
          <w:szCs w:val="20"/>
          <w:color w:val="auto"/>
        </w:rPr>
        <w:tab/>
      </w:r>
      <w:r>
        <w:rPr>
          <w:rFonts w:ascii="Arial" w:cs="Arial" w:eastAsia="Arial" w:hAnsi="Arial"/>
          <w:sz w:val="15"/>
          <w:szCs w:val="15"/>
          <w:b w:val="1"/>
          <w:bCs w:val="1"/>
          <w:color w:val="auto"/>
        </w:rPr>
        <w:t>Costs Associated with Exit or Disposal Activities.</w:t>
      </w:r>
    </w:p>
    <w:p>
      <w:pPr>
        <w:spacing w:after="0" w:line="256"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In response to a severe downturn in the semiconductor memory industry and global economic conditions, the Company initiated restructure plans in 2009. In the first quarter of 2009, IM Flash, a joint venture between the Company and Intel, terminated its agreement with the Company to obtain NAND Flash memory supply from the Company’s Boise facility, reducing the Company’s NAND Flash production by approximately 35,000 200mm wafers per month. In addition, the Company and Intel agreed to suspend tooling and the ramp of NAND Flash production at IM Flash’s Singapore wafer fabrication facility. On February 23, 2009, the Company announced that it will phase out all remaining 200mm wafer manufacturing operations at its Boise, Idaho, facility, reducing employment there by as many as 2,000 positions by the end of fiscal 2009.</w:t>
      </w:r>
    </w:p>
    <w:p>
      <w:pPr>
        <w:spacing w:after="0" w:line="205" w:lineRule="exact"/>
        <w:rPr>
          <w:sz w:val="20"/>
          <w:szCs w:val="20"/>
          <w:color w:val="auto"/>
        </w:rPr>
      </w:pPr>
    </w:p>
    <w:p>
      <w:pPr>
        <w:ind w:firstLine="710"/>
        <w:spacing w:after="0" w:line="254" w:lineRule="auto"/>
        <w:rPr>
          <w:sz w:val="20"/>
          <w:szCs w:val="20"/>
          <w:color w:val="auto"/>
        </w:rPr>
      </w:pPr>
      <w:r>
        <w:rPr>
          <w:rFonts w:ascii="Arial" w:cs="Arial" w:eastAsia="Arial" w:hAnsi="Arial"/>
          <w:sz w:val="18"/>
          <w:szCs w:val="18"/>
          <w:color w:val="auto"/>
        </w:rPr>
        <w:t>As a result of these actions, the Company recorded a net $66 million credit to restructure in the first quarter of fiscal 2009 and a restructure charge of $105 million in the second quarter of fiscal 2009, primarily attributable to the Company’s Memory segment. The net credit in the first quarter of fiscal 2009 includes a $144 million gain in connection with the termination of the NAND Flash supply agreement, charges of $56 million to reduce the carrying value of certain 200mm wafer manufacturing equipment at its Boise, Idaho facility and charges of $22 million for severance and other termination benefits. The charge in the second quarter of fiscal 2009 includes charges of $87 million to reduce the carrying value of certain 200mm wafer manufacturing equipment at its Boise, Idaho facility and charges of $17 million for severance and other termination benefits. Excluding any gains or losses from sales of equipment, the Company expects to incur additional restructure costs through fiscal 2009 of approximately $27 million, comprised primarily of severance and other employee related costs.</w:t>
      </w:r>
    </w:p>
    <w:p>
      <w:pPr>
        <w:spacing w:after="0" w:line="200" w:lineRule="exact"/>
        <w:rPr>
          <w:sz w:val="20"/>
          <w:szCs w:val="20"/>
          <w:color w:val="auto"/>
        </w:rPr>
      </w:pP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The following exhibits are filed herewith:</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17145</wp:posOffset>
            </wp:positionV>
            <wp:extent cx="65862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86220" cy="17145"/>
                    </a:xfrm>
                    <a:prstGeom prst="rect">
                      <a:avLst/>
                    </a:prstGeom>
                    <a:noFill/>
                  </pic:spPr>
                </pic:pic>
              </a:graphicData>
            </a:graphic>
          </wp:anchor>
        </w:drawing>
      </w:r>
    </w:p>
    <w:p>
      <w:pPr>
        <w:spacing w:after="0" w:line="20" w:lineRule="exact"/>
        <w:rPr>
          <w:sz w:val="20"/>
          <w:szCs w:val="20"/>
          <w:color w:val="auto"/>
        </w:rPr>
      </w:pPr>
    </w:p>
    <w:p>
      <w:pPr>
        <w:ind w:left="320"/>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on April 2,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6" w:right="25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080" w:type="dxa"/>
            <w:vAlign w:val="bottom"/>
            <w:gridSpan w:val="3"/>
          </w:tcPr>
          <w:p>
            <w:pPr>
              <w:ind w:left="1500"/>
              <w:spacing w:after="0"/>
              <w:rPr>
                <w:sz w:val="20"/>
                <w:szCs w:val="20"/>
                <w:color w:val="auto"/>
              </w:rPr>
            </w:pPr>
            <w:r>
              <w:rPr>
                <w:rFonts w:ascii="Arial" w:cs="Arial" w:eastAsia="Arial" w:hAnsi="Arial"/>
                <w:sz w:val="18"/>
                <w:szCs w:val="18"/>
                <w:b w:val="1"/>
                <w:bCs w:val="1"/>
                <w:color w:val="auto"/>
              </w:rPr>
              <w:t>MICRON TECHNOLOGY, INC.</w:t>
            </w:r>
          </w:p>
        </w:tc>
      </w:tr>
      <w:tr>
        <w:trPr>
          <w:trHeight w:val="608"/>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2800" w:type="dxa"/>
            <w:vAlign w:val="bottom"/>
          </w:tcPr>
          <w:p>
            <w:pPr>
              <w:ind w:left="320"/>
              <w:spacing w:after="0"/>
              <w:rPr>
                <w:sz w:val="20"/>
                <w:szCs w:val="20"/>
                <w:color w:val="auto"/>
              </w:rPr>
            </w:pPr>
            <w:r>
              <w:rPr>
                <w:rFonts w:ascii="Arial" w:cs="Arial" w:eastAsia="Arial" w:hAnsi="Arial"/>
                <w:sz w:val="18"/>
                <w:szCs w:val="18"/>
                <w:color w:val="auto"/>
              </w:rPr>
              <w:t>April 2, 2009</w:t>
            </w:r>
          </w:p>
        </w:tc>
        <w:tc>
          <w:tcPr>
            <w:tcW w:w="4080" w:type="dxa"/>
            <w:vAlign w:val="bottom"/>
            <w:gridSpan w:val="3"/>
          </w:tcPr>
          <w:p>
            <w:pPr>
              <w:ind w:left="15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Ronald C. Foster</w:t>
            </w:r>
          </w:p>
        </w:tc>
      </w:tr>
      <w:tr>
        <w:trPr>
          <w:trHeight w:val="20"/>
        </w:trPr>
        <w:tc>
          <w:tcPr>
            <w:tcW w:w="7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Name:Ronald C. Foster</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Title: Chief Financial Officer and</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Vice President of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513" w:right="659" w:bottom="1440" w:gutter="0" w:footer="0" w:header="0"/>
        </w:sectPr>
      </w:pPr>
    </w:p>
    <w:bookmarkStart w:id="3" w:name="page4"/>
    <w:bookmarkEnd w:id="3"/>
    <w:p>
      <w:pPr>
        <w:jc w:val="center"/>
        <w:ind w:right="-104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1040"/>
        <w:spacing w:after="0"/>
        <w:rPr>
          <w:sz w:val="20"/>
          <w:szCs w:val="20"/>
          <w:color w:val="auto"/>
        </w:rPr>
      </w:pPr>
      <w:r>
        <w:rPr>
          <w:rFonts w:ascii="Arial" w:cs="Arial" w:eastAsia="Arial" w:hAnsi="Arial"/>
          <w:sz w:val="17"/>
          <w:szCs w:val="17"/>
          <w:b w:val="1"/>
          <w:bCs w:val="1"/>
          <w:color w:val="auto"/>
        </w:rPr>
        <w:t>THE CURRENT REPORT ON FORM 8-K DATED APRIL 2, 2009</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Exhibit</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17145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left="120"/>
        <w:spacing w:after="0"/>
        <w:tabs>
          <w:tab w:leader="none" w:pos="8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on April 2,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664845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39"/>
          </w:cols>
          <w:pgMar w:left="420" w:top="756"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620" w:type="dxa"/>
            <w:vAlign w:val="bottom"/>
            <w:gridSpan w:val="2"/>
          </w:tcPr>
          <w:p>
            <w:pPr>
              <w:spacing w:after="0"/>
              <w:rPr>
                <w:sz w:val="20"/>
                <w:szCs w:val="20"/>
                <w:color w:val="auto"/>
              </w:rPr>
            </w:pPr>
            <w:r>
              <w:rPr>
                <w:rFonts w:ascii="Arial" w:cs="Arial" w:eastAsia="Arial" w:hAnsi="Arial"/>
                <w:sz w:val="22"/>
                <w:szCs w:val="22"/>
                <w:b w:val="1"/>
                <w:bCs w:val="1"/>
                <w:color w:val="auto"/>
              </w:rPr>
              <w:t>FOR IMMEDIATE RELEASE</w:t>
            </w:r>
          </w:p>
        </w:tc>
        <w:tc>
          <w:tcPr>
            <w:tcW w:w="2420" w:type="dxa"/>
            <w:vAlign w:val="bottom"/>
          </w:tcPr>
          <w:p>
            <w:pPr>
              <w:spacing w:after="0"/>
              <w:rPr>
                <w:sz w:val="24"/>
                <w:szCs w:val="24"/>
                <w:color w:val="auto"/>
              </w:rPr>
            </w:pPr>
          </w:p>
        </w:tc>
      </w:tr>
      <w:tr>
        <w:trPr>
          <w:trHeight w:val="455"/>
        </w:trPr>
        <w:tc>
          <w:tcPr>
            <w:tcW w:w="1120" w:type="dxa"/>
            <w:vAlign w:val="bottom"/>
          </w:tcPr>
          <w:p>
            <w:pPr>
              <w:spacing w:after="0"/>
              <w:rPr>
                <w:sz w:val="20"/>
                <w:szCs w:val="20"/>
                <w:color w:val="auto"/>
              </w:rPr>
            </w:pPr>
            <w:r>
              <w:rPr>
                <w:rFonts w:ascii="Arial" w:cs="Arial" w:eastAsia="Arial" w:hAnsi="Arial"/>
                <w:sz w:val="22"/>
                <w:szCs w:val="22"/>
                <w:color w:val="auto"/>
              </w:rPr>
              <w:t>Contacts:</w:t>
            </w:r>
          </w:p>
        </w:tc>
        <w:tc>
          <w:tcPr>
            <w:tcW w:w="2500" w:type="dxa"/>
            <w:vAlign w:val="bottom"/>
          </w:tcPr>
          <w:p>
            <w:pPr>
              <w:ind w:left="280"/>
              <w:spacing w:after="0"/>
              <w:rPr>
                <w:sz w:val="20"/>
                <w:szCs w:val="20"/>
                <w:color w:val="auto"/>
              </w:rPr>
            </w:pPr>
            <w:r>
              <w:rPr>
                <w:rFonts w:ascii="Arial" w:cs="Arial" w:eastAsia="Arial" w:hAnsi="Arial"/>
                <w:sz w:val="22"/>
                <w:szCs w:val="22"/>
                <w:color w:val="auto"/>
              </w:rPr>
              <w:t>Kipp A. Bedard</w:t>
            </w:r>
          </w:p>
        </w:tc>
        <w:tc>
          <w:tcPr>
            <w:tcW w:w="2420" w:type="dxa"/>
            <w:vAlign w:val="bottom"/>
          </w:tcPr>
          <w:p>
            <w:pPr>
              <w:ind w:left="300"/>
              <w:spacing w:after="0"/>
              <w:rPr>
                <w:sz w:val="20"/>
                <w:szCs w:val="20"/>
                <w:color w:val="auto"/>
              </w:rPr>
            </w:pPr>
            <w:r>
              <w:rPr>
                <w:rFonts w:ascii="Arial" w:cs="Arial" w:eastAsia="Arial" w:hAnsi="Arial"/>
                <w:sz w:val="22"/>
                <w:szCs w:val="22"/>
                <w:color w:val="auto"/>
              </w:rPr>
              <w:t>Daniel Francisco</w:t>
            </w:r>
          </w:p>
        </w:tc>
      </w:tr>
      <w:tr>
        <w:trPr>
          <w:trHeight w:val="243"/>
        </w:trPr>
        <w:tc>
          <w:tcPr>
            <w:tcW w:w="1120" w:type="dxa"/>
            <w:vAlign w:val="bottom"/>
          </w:tcPr>
          <w:p>
            <w:pPr>
              <w:spacing w:after="0"/>
              <w:rPr>
                <w:sz w:val="21"/>
                <w:szCs w:val="21"/>
                <w:color w:val="auto"/>
              </w:rPr>
            </w:pPr>
          </w:p>
        </w:tc>
        <w:tc>
          <w:tcPr>
            <w:tcW w:w="2500" w:type="dxa"/>
            <w:vAlign w:val="bottom"/>
          </w:tcPr>
          <w:p>
            <w:pPr>
              <w:ind w:left="280"/>
              <w:spacing w:after="0" w:line="243" w:lineRule="exact"/>
              <w:rPr>
                <w:sz w:val="20"/>
                <w:szCs w:val="20"/>
                <w:color w:val="auto"/>
              </w:rPr>
            </w:pPr>
            <w:r>
              <w:rPr>
                <w:rFonts w:ascii="Arial" w:cs="Arial" w:eastAsia="Arial" w:hAnsi="Arial"/>
                <w:sz w:val="22"/>
                <w:szCs w:val="22"/>
                <w:color w:val="auto"/>
              </w:rPr>
              <w:t>Investor Relations</w:t>
            </w:r>
          </w:p>
        </w:tc>
        <w:tc>
          <w:tcPr>
            <w:tcW w:w="2420" w:type="dxa"/>
            <w:vAlign w:val="bottom"/>
          </w:tcPr>
          <w:p>
            <w:pPr>
              <w:ind w:left="300"/>
              <w:spacing w:after="0" w:line="243" w:lineRule="exact"/>
              <w:rPr>
                <w:sz w:val="20"/>
                <w:szCs w:val="20"/>
                <w:color w:val="auto"/>
              </w:rPr>
            </w:pPr>
            <w:r>
              <w:rPr>
                <w:rFonts w:ascii="Arial" w:cs="Arial" w:eastAsia="Arial" w:hAnsi="Arial"/>
                <w:sz w:val="22"/>
                <w:szCs w:val="22"/>
                <w:color w:val="auto"/>
              </w:rPr>
              <w:t>Media Relations</w:t>
            </w:r>
          </w:p>
        </w:tc>
      </w:tr>
      <w:tr>
        <w:trPr>
          <w:trHeight w:val="243"/>
        </w:trPr>
        <w:tc>
          <w:tcPr>
            <w:tcW w:w="1120" w:type="dxa"/>
            <w:vAlign w:val="bottom"/>
          </w:tcPr>
          <w:p>
            <w:pPr>
              <w:spacing w:after="0"/>
              <w:rPr>
                <w:sz w:val="21"/>
                <w:szCs w:val="21"/>
                <w:color w:val="auto"/>
              </w:rPr>
            </w:pPr>
          </w:p>
        </w:tc>
        <w:tc>
          <w:tcPr>
            <w:tcW w:w="2500" w:type="dxa"/>
            <w:vAlign w:val="bottom"/>
          </w:tcPr>
          <w:p>
            <w:pPr>
              <w:ind w:left="280"/>
              <w:spacing w:after="0" w:line="243" w:lineRule="exact"/>
              <w:rPr>
                <w:sz w:val="20"/>
                <w:szCs w:val="20"/>
                <w:color w:val="auto"/>
              </w:rPr>
            </w:pPr>
            <w:r>
              <w:rPr>
                <w:rFonts w:ascii="Arial" w:cs="Arial" w:eastAsia="Arial" w:hAnsi="Arial"/>
                <w:sz w:val="22"/>
                <w:szCs w:val="22"/>
                <w:color w:val="auto"/>
              </w:rPr>
              <w:t>kbedard@micron.com</w:t>
            </w:r>
          </w:p>
        </w:tc>
        <w:tc>
          <w:tcPr>
            <w:tcW w:w="2420" w:type="dxa"/>
            <w:vAlign w:val="bottom"/>
          </w:tcPr>
          <w:p>
            <w:pPr>
              <w:ind w:left="300"/>
              <w:spacing w:after="0" w:line="243" w:lineRule="exact"/>
              <w:rPr>
                <w:sz w:val="20"/>
                <w:szCs w:val="20"/>
                <w:color w:val="auto"/>
              </w:rPr>
            </w:pPr>
            <w:r>
              <w:rPr>
                <w:rFonts w:ascii="Arial" w:cs="Arial" w:eastAsia="Arial" w:hAnsi="Arial"/>
                <w:sz w:val="22"/>
                <w:szCs w:val="22"/>
                <w:color w:val="auto"/>
                <w:w w:val="88"/>
              </w:rPr>
              <w:t>dfrancisco@micron.com</w:t>
            </w:r>
          </w:p>
        </w:tc>
      </w:tr>
      <w:tr>
        <w:trPr>
          <w:trHeight w:val="275"/>
        </w:trPr>
        <w:tc>
          <w:tcPr>
            <w:tcW w:w="1120" w:type="dxa"/>
            <w:vAlign w:val="bottom"/>
          </w:tcPr>
          <w:p>
            <w:pPr>
              <w:spacing w:after="0"/>
              <w:rPr>
                <w:sz w:val="23"/>
                <w:szCs w:val="23"/>
                <w:color w:val="auto"/>
              </w:rPr>
            </w:pPr>
          </w:p>
        </w:tc>
        <w:tc>
          <w:tcPr>
            <w:tcW w:w="2500" w:type="dxa"/>
            <w:vAlign w:val="bottom"/>
          </w:tcPr>
          <w:p>
            <w:pPr>
              <w:ind w:left="280"/>
              <w:spacing w:after="0"/>
              <w:rPr>
                <w:sz w:val="20"/>
                <w:szCs w:val="20"/>
                <w:color w:val="auto"/>
              </w:rPr>
            </w:pPr>
            <w:r>
              <w:rPr>
                <w:rFonts w:ascii="Arial" w:cs="Arial" w:eastAsia="Arial" w:hAnsi="Arial"/>
                <w:sz w:val="22"/>
                <w:szCs w:val="22"/>
                <w:color w:val="auto"/>
              </w:rPr>
              <w:t>(208) 368-4400</w:t>
            </w:r>
          </w:p>
        </w:tc>
        <w:tc>
          <w:tcPr>
            <w:tcW w:w="2420" w:type="dxa"/>
            <w:vAlign w:val="bottom"/>
          </w:tcPr>
          <w:p>
            <w:pPr>
              <w:ind w:left="300"/>
              <w:spacing w:after="0"/>
              <w:rPr>
                <w:sz w:val="20"/>
                <w:szCs w:val="20"/>
                <w:color w:val="auto"/>
              </w:rPr>
            </w:pPr>
            <w:r>
              <w:rPr>
                <w:rFonts w:ascii="Arial" w:cs="Arial" w:eastAsia="Arial" w:hAnsi="Arial"/>
                <w:sz w:val="22"/>
                <w:szCs w:val="22"/>
                <w:color w:val="auto"/>
              </w:rPr>
              <w:t>(208) 368-5584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60"/>
        <w:spacing w:after="0"/>
        <w:rPr>
          <w:sz w:val="20"/>
          <w:szCs w:val="20"/>
          <w:color w:val="auto"/>
        </w:rPr>
      </w:pPr>
      <w:r>
        <w:rPr>
          <w:rFonts w:ascii="Arial" w:cs="Arial" w:eastAsia="Arial" w:hAnsi="Arial"/>
          <w:sz w:val="22"/>
          <w:szCs w:val="22"/>
          <w:b w:val="1"/>
          <w:bCs w:val="1"/>
          <w:u w:val="single" w:color="auto"/>
          <w:color w:val="auto"/>
        </w:rPr>
        <w:t>MICRON TECHNOLOGY, INC., REPORTS RESULTS FOR THE</w:t>
      </w:r>
    </w:p>
    <w:p>
      <w:pPr>
        <w:spacing w:after="0" w:line="14" w:lineRule="exact"/>
        <w:rPr>
          <w:sz w:val="20"/>
          <w:szCs w:val="20"/>
          <w:color w:val="auto"/>
        </w:rPr>
      </w:pPr>
    </w:p>
    <w:p>
      <w:pPr>
        <w:jc w:val="center"/>
        <w:ind w:right="580"/>
        <w:spacing w:after="0"/>
        <w:rPr>
          <w:sz w:val="20"/>
          <w:szCs w:val="20"/>
          <w:color w:val="auto"/>
        </w:rPr>
      </w:pPr>
      <w:r>
        <w:rPr>
          <w:rFonts w:ascii="Arial" w:cs="Arial" w:eastAsia="Arial" w:hAnsi="Arial"/>
          <w:sz w:val="22"/>
          <w:szCs w:val="22"/>
          <w:b w:val="1"/>
          <w:bCs w:val="1"/>
          <w:u w:val="single" w:color="auto"/>
          <w:color w:val="auto"/>
        </w:rPr>
        <w:t>SECOND QUARTER OF FISCAL 2009</w:t>
      </w:r>
    </w:p>
    <w:p>
      <w:pPr>
        <w:spacing w:after="0" w:line="209" w:lineRule="exact"/>
        <w:rPr>
          <w:sz w:val="20"/>
          <w:szCs w:val="20"/>
          <w:color w:val="auto"/>
        </w:rPr>
      </w:pPr>
    </w:p>
    <w:p>
      <w:pPr>
        <w:ind w:right="820"/>
        <w:spacing w:after="0" w:line="251" w:lineRule="auto"/>
        <w:rPr>
          <w:sz w:val="20"/>
          <w:szCs w:val="20"/>
          <w:color w:val="auto"/>
        </w:rPr>
      </w:pPr>
      <w:r>
        <w:rPr>
          <w:rFonts w:ascii="Arial" w:cs="Arial" w:eastAsia="Arial" w:hAnsi="Arial"/>
          <w:sz w:val="21"/>
          <w:szCs w:val="21"/>
          <w:b w:val="1"/>
          <w:bCs w:val="1"/>
          <w:color w:val="auto"/>
        </w:rPr>
        <w:t>BOISE, Idaho</w:t>
      </w:r>
      <w:r>
        <w:rPr>
          <w:rFonts w:ascii="Arial" w:cs="Arial" w:eastAsia="Arial" w:hAnsi="Arial"/>
          <w:sz w:val="21"/>
          <w:szCs w:val="21"/>
          <w:color w:val="auto"/>
        </w:rPr>
        <w:t>, April 2, 2009 – Micron Technology, Inc., (NYSE: MU) today announced results of operations for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company’s second quarter of fiscal 2009, which ended March 5, 2009. For the second quarter of fiscal 2009, the company posted a net loss of $751 million, or $0.97 per diluted share, on net sales of $1.0 billion. These results reflect a number of cash and non-cash items resulting in a net charge of $120 million in the second quarter of fiscal 2009. The company ended the quarter with cash and investments of $932 million.</w:t>
      </w:r>
    </w:p>
    <w:p>
      <w:pPr>
        <w:spacing w:after="0" w:line="202" w:lineRule="exact"/>
        <w:rPr>
          <w:sz w:val="20"/>
          <w:szCs w:val="20"/>
          <w:color w:val="auto"/>
        </w:rPr>
      </w:pPr>
    </w:p>
    <w:p>
      <w:pPr>
        <w:ind w:right="660" w:firstLine="324"/>
        <w:spacing w:after="0" w:line="279" w:lineRule="auto"/>
        <w:rPr>
          <w:sz w:val="20"/>
          <w:szCs w:val="20"/>
          <w:color w:val="auto"/>
        </w:rPr>
      </w:pPr>
      <w:r>
        <w:rPr>
          <w:rFonts w:ascii="Arial" w:cs="Arial" w:eastAsia="Arial" w:hAnsi="Arial"/>
          <w:sz w:val="19"/>
          <w:szCs w:val="19"/>
          <w:color w:val="auto"/>
        </w:rPr>
        <w:t>The imbalance of supply and demand for semiconductor memory products continued in the second quarter, resulting in significant decreases in the company’s per gigabit average selling prices compared to the preceding quarter. Revenue from sales of DRAM products decreased approximately 30 percent in the second quarter compared to the first quarter principally due to a 30 percent decrease in selling prices. Sales volumes for DRAM products remained relatively stable comparing the same periods. Revenue from sales of NAND Flash products decreased 20 percent in the second quarter compared to the first quarter due to a 13 percent decrease in selling prices and an eight percent decrease in sales volume.</w:t>
      </w:r>
    </w:p>
    <w:p>
      <w:pPr>
        <w:spacing w:after="0" w:line="178" w:lineRule="exact"/>
        <w:rPr>
          <w:sz w:val="20"/>
          <w:szCs w:val="20"/>
          <w:color w:val="auto"/>
        </w:rPr>
      </w:pPr>
    </w:p>
    <w:p>
      <w:pPr>
        <w:ind w:right="620" w:firstLine="324"/>
        <w:spacing w:after="0" w:line="252" w:lineRule="auto"/>
        <w:rPr>
          <w:sz w:val="20"/>
          <w:szCs w:val="20"/>
          <w:color w:val="auto"/>
        </w:rPr>
      </w:pPr>
      <w:r>
        <w:rPr>
          <w:rFonts w:ascii="Arial" w:cs="Arial" w:eastAsia="Arial" w:hAnsi="Arial"/>
          <w:sz w:val="21"/>
          <w:szCs w:val="21"/>
          <w:color w:val="auto"/>
        </w:rPr>
        <w:t>Memory production in the second quarter was relatively flat compared to the preceding quarter. Increases in bit production of NAND Flash products resulting from the company’s transitions to higher density 34nm NAND Flash products were offset by decreases in production resulting from the company’s decision to slow down DRAM production at its 200mm facilities and to discontinue production of 200mm NAND Flash wafers at its Boise facility.</w:t>
      </w:r>
    </w:p>
    <w:p>
      <w:pPr>
        <w:spacing w:after="0" w:line="201" w:lineRule="exact"/>
        <w:rPr>
          <w:sz w:val="20"/>
          <w:szCs w:val="20"/>
          <w:color w:val="auto"/>
        </w:rPr>
      </w:pPr>
    </w:p>
    <w:p>
      <w:pPr>
        <w:ind w:right="720" w:firstLine="324"/>
        <w:spacing w:after="0" w:line="238" w:lineRule="auto"/>
        <w:rPr>
          <w:sz w:val="20"/>
          <w:szCs w:val="20"/>
          <w:color w:val="auto"/>
        </w:rPr>
      </w:pPr>
      <w:r>
        <w:rPr>
          <w:rFonts w:ascii="Arial" w:cs="Arial" w:eastAsia="Arial" w:hAnsi="Arial"/>
          <w:sz w:val="22"/>
          <w:szCs w:val="22"/>
          <w:color w:val="auto"/>
        </w:rPr>
        <w:t>“We are actively managing our overall cost structure, capital expenditures and technology execution, which are driving our operating margins ahead of industry trend lines,” said Steve Appleton, Micron Chairman and CEO. “Notably, our 34nm NAND technology is ramping rapidly and is providing a competitive differentiation in this challenging economic environment.”</w:t>
      </w:r>
    </w:p>
    <w:p>
      <w:pPr>
        <w:spacing w:after="0" w:line="212" w:lineRule="exact"/>
        <w:rPr>
          <w:sz w:val="20"/>
          <w:szCs w:val="20"/>
          <w:color w:val="auto"/>
        </w:rPr>
      </w:pPr>
    </w:p>
    <w:p>
      <w:pPr>
        <w:ind w:right="580" w:firstLine="324"/>
        <w:spacing w:after="0" w:line="235" w:lineRule="auto"/>
        <w:rPr>
          <w:sz w:val="20"/>
          <w:szCs w:val="20"/>
          <w:color w:val="auto"/>
        </w:rPr>
      </w:pPr>
      <w:r>
        <w:rPr>
          <w:rFonts w:ascii="Arial" w:cs="Arial" w:eastAsia="Arial" w:hAnsi="Arial"/>
          <w:sz w:val="22"/>
          <w:szCs w:val="22"/>
          <w:color w:val="auto"/>
        </w:rPr>
        <w:t>The company’s gross margin on sales of memory products improved 11 percent in the second quarter compared to the previous quarter, resulting from decreases in per gigabit manufacturing costs and the benefit in the second quarter from sales of products previously written-down, partially offset by decreases in selling prices. Cost of goods sold includes charges for unused production capacity, including charges from the company’s Inotera and IM Flash joint ventures. Excluding the effects of the inventory write-downs and idle capacity charges, per gigabit costs declined significantly for both DRAM and NAND Flash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217170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sectPr>
      </w:pPr>
    </w:p>
    <w:bookmarkStart w:id="5" w:name="page6"/>
    <w:bookmarkEnd w:id="5"/>
    <w:p>
      <w:pPr>
        <w:ind w:right="100" w:firstLine="324"/>
        <w:spacing w:after="0" w:line="287" w:lineRule="auto"/>
        <w:rPr>
          <w:sz w:val="20"/>
          <w:szCs w:val="20"/>
          <w:color w:val="auto"/>
        </w:rPr>
      </w:pPr>
      <w:r>
        <w:rPr>
          <w:rFonts w:ascii="Arial" w:cs="Arial" w:eastAsia="Arial" w:hAnsi="Arial"/>
          <w:sz w:val="19"/>
          <w:szCs w:val="19"/>
          <w:color w:val="auto"/>
        </w:rPr>
        <w:t>Sales of CMOS image sensors in the second quarter decreased 54 percent compared to the preceding quarter as a result of a sharp decline in unit sales stemming from weakness in consumer markets. The company’s gross margin on sales of Imaging products was two percent in the second quarter compared to 29 percent in the first quarter, primarily resulting from higher per unit manufacturing costs associated with a significant decrease in the level of production.</w:t>
      </w:r>
    </w:p>
    <w:p>
      <w:pPr>
        <w:spacing w:after="0" w:line="171" w:lineRule="exact"/>
        <w:rPr>
          <w:sz w:val="20"/>
          <w:szCs w:val="20"/>
          <w:color w:val="auto"/>
        </w:rPr>
      </w:pPr>
    </w:p>
    <w:p>
      <w:pPr>
        <w:ind w:right="20" w:firstLine="324"/>
        <w:spacing w:after="0" w:line="236" w:lineRule="auto"/>
        <w:rPr>
          <w:sz w:val="20"/>
          <w:szCs w:val="20"/>
          <w:color w:val="auto"/>
        </w:rPr>
      </w:pPr>
      <w:r>
        <w:rPr>
          <w:rFonts w:ascii="Arial" w:cs="Arial" w:eastAsia="Arial" w:hAnsi="Arial"/>
          <w:sz w:val="22"/>
          <w:szCs w:val="22"/>
          <w:color w:val="auto"/>
        </w:rPr>
        <w:t>The company’s cost-cutting and restructuring activities have yielded reductions in operating costs and contributed to the company’s cash flow from operating activities in the second quarter. In addition, the company recently announced that it will phase out the remaining 200mm wafer production at its Boise facility. As a result, the company recorded a restructure charge of $105 million in the second quarter of fiscal 2009, including $17 million of employee-related costs and $87 million of equipment write-downs.</w:t>
      </w:r>
    </w:p>
    <w:p>
      <w:pPr>
        <w:spacing w:after="0" w:line="215" w:lineRule="exact"/>
        <w:rPr>
          <w:sz w:val="20"/>
          <w:szCs w:val="20"/>
          <w:color w:val="auto"/>
        </w:rPr>
      </w:pPr>
    </w:p>
    <w:p>
      <w:pPr>
        <w:ind w:firstLine="324"/>
        <w:spacing w:after="0" w:line="252" w:lineRule="auto"/>
        <w:rPr>
          <w:sz w:val="20"/>
          <w:szCs w:val="20"/>
          <w:color w:val="auto"/>
        </w:rPr>
      </w:pPr>
      <w:r>
        <w:rPr>
          <w:rFonts w:ascii="Arial" w:cs="Arial" w:eastAsia="Arial" w:hAnsi="Arial"/>
          <w:sz w:val="21"/>
          <w:szCs w:val="21"/>
          <w:color w:val="auto"/>
        </w:rPr>
        <w:t>The company will host a conference call today at 2:30 p.m. MDT to discuss its financial results. The call, audio and slides will be available online at www.micron.com. A webcast replay will be available on the company’s web site until April 2, 2010. A taped audio replay of the conference call will also be available at (706) 645-9291 (conference number: 90786047) beginning at 5:30 p.m. MDT today and continuing until 5:30 p.m. MDT on April 9, 2009.</w:t>
      </w:r>
    </w:p>
    <w:p>
      <w:pPr>
        <w:spacing w:after="0" w:line="201" w:lineRule="exact"/>
        <w:rPr>
          <w:sz w:val="20"/>
          <w:szCs w:val="20"/>
          <w:color w:val="auto"/>
        </w:rPr>
      </w:pPr>
    </w:p>
    <w:p>
      <w:pPr>
        <w:ind w:right="60" w:firstLine="324"/>
        <w:spacing w:after="0" w:line="236" w:lineRule="auto"/>
        <w:rPr>
          <w:sz w:val="20"/>
          <w:szCs w:val="20"/>
          <w:color w:val="auto"/>
        </w:rPr>
      </w:pPr>
      <w:r>
        <w:rPr>
          <w:rFonts w:ascii="Arial" w:cs="Arial" w:eastAsia="Arial" w:hAnsi="Arial"/>
          <w:sz w:val="22"/>
          <w:szCs w:val="22"/>
          <w:color w:val="auto"/>
        </w:rPr>
        <w:t xml:space="preserve">Micron Technology, Inc., is one of the world’s leading providers of advanced semiconductor solutions. Through its worldwide operations, Micron manufactures and markets DRAM, NAND Flash memory, CMOS image sensors, other semiconductor components, and memory modules for use in leading-edge computing, consumer, networking and mobile products. Micron’s common stock is traded on the New York Stock Exchange (NYSE) under the MU symbol. To learn more about Micron Technology, Inc., visit </w:t>
      </w:r>
      <w:r>
        <w:rPr>
          <w:rFonts w:ascii="Arial" w:cs="Arial" w:eastAsia="Arial" w:hAnsi="Arial"/>
          <w:sz w:val="22"/>
          <w:szCs w:val="22"/>
          <w:u w:val="single" w:color="auto"/>
          <w:color w:val="auto"/>
        </w:rPr>
        <w:t>www.micron.com</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713740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240" w:top="118" w:right="8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MICRON TECHNOLOGY,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CONSOLIDATED FINANCIAL SUMMARY</w:t>
      </w:r>
    </w:p>
    <w:p>
      <w:pPr>
        <w:jc w:val="center"/>
        <w:spacing w:after="0"/>
        <w:rPr>
          <w:sz w:val="20"/>
          <w:szCs w:val="20"/>
          <w:color w:val="auto"/>
        </w:rPr>
      </w:pPr>
      <w:r>
        <w:rPr>
          <w:rFonts w:ascii="Arial" w:cs="Arial" w:eastAsia="Arial" w:hAnsi="Arial"/>
          <w:sz w:val="22"/>
          <w:szCs w:val="22"/>
          <w:b w:val="1"/>
          <w:bCs w:val="1"/>
          <w:color w:val="auto"/>
        </w:rPr>
        <w:t>(in millions except per share data)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22"/>
                <w:szCs w:val="22"/>
                <w:b w:val="1"/>
                <w:bCs w:val="1"/>
                <w:color w:val="auto"/>
              </w:rPr>
              <w:t>2nd Qtr.</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22"/>
                <w:szCs w:val="22"/>
                <w:b w:val="1"/>
                <w:bCs w:val="1"/>
                <w:color w:val="auto"/>
              </w:rPr>
              <w:t>1st Qtr.</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22"/>
                <w:szCs w:val="22"/>
                <w:b w:val="1"/>
                <w:bCs w:val="1"/>
                <w:color w:val="auto"/>
              </w:rPr>
              <w:t>2nd Qtr.</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20" w:type="dxa"/>
            <w:vAlign w:val="bottom"/>
            <w:gridSpan w:val="6"/>
          </w:tcPr>
          <w:p>
            <w:pPr>
              <w:jc w:val="right"/>
              <w:ind w:right="700"/>
              <w:spacing w:after="0"/>
              <w:rPr>
                <w:sz w:val="20"/>
                <w:szCs w:val="20"/>
                <w:color w:val="auto"/>
              </w:rPr>
            </w:pPr>
            <w:r>
              <w:rPr>
                <w:rFonts w:ascii="Arial" w:cs="Arial" w:eastAsia="Arial" w:hAnsi="Arial"/>
                <w:sz w:val="22"/>
                <w:szCs w:val="22"/>
                <w:b w:val="1"/>
                <w:bCs w:val="1"/>
                <w:color w:val="auto"/>
                <w:w w:val="99"/>
              </w:rPr>
              <w:t>Six Months 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180"/>
              <w:spacing w:after="0" w:line="243" w:lineRule="exact"/>
              <w:rPr>
                <w:sz w:val="20"/>
                <w:szCs w:val="20"/>
                <w:color w:val="auto"/>
              </w:rPr>
            </w:pPr>
            <w:r>
              <w:rPr>
                <w:rFonts w:ascii="Arial" w:cs="Arial" w:eastAsia="Arial" w:hAnsi="Arial"/>
                <w:sz w:val="22"/>
                <w:szCs w:val="22"/>
                <w:b w:val="1"/>
                <w:bCs w:val="1"/>
                <w:color w:val="auto"/>
              </w:rPr>
              <w:t>Mar. 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gridSpan w:val="2"/>
          </w:tcPr>
          <w:p>
            <w:pPr>
              <w:jc w:val="right"/>
              <w:ind w:right="180"/>
              <w:spacing w:after="0" w:line="243" w:lineRule="exact"/>
              <w:rPr>
                <w:sz w:val="20"/>
                <w:szCs w:val="20"/>
                <w:color w:val="auto"/>
              </w:rPr>
            </w:pPr>
            <w:r>
              <w:rPr>
                <w:rFonts w:ascii="Arial" w:cs="Arial" w:eastAsia="Arial" w:hAnsi="Arial"/>
                <w:sz w:val="22"/>
                <w:szCs w:val="22"/>
                <w:b w:val="1"/>
                <w:bCs w:val="1"/>
                <w:color w:val="auto"/>
              </w:rPr>
              <w:t>Dec. 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b w:val="1"/>
                <w:bCs w:val="1"/>
                <w:color w:val="auto"/>
              </w:rPr>
              <w:t>Feb. 28,</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160"/>
              <w:spacing w:after="0" w:line="243" w:lineRule="exact"/>
              <w:rPr>
                <w:sz w:val="20"/>
                <w:szCs w:val="20"/>
                <w:color w:val="auto"/>
              </w:rPr>
            </w:pPr>
            <w:r>
              <w:rPr>
                <w:rFonts w:ascii="Arial" w:cs="Arial" w:eastAsia="Arial" w:hAnsi="Arial"/>
                <w:sz w:val="22"/>
                <w:szCs w:val="22"/>
                <w:b w:val="1"/>
                <w:bCs w:val="1"/>
                <w:color w:val="auto"/>
              </w:rPr>
              <w:t>Mar. 5,</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gridSpan w:val="2"/>
          </w:tcPr>
          <w:p>
            <w:pPr>
              <w:jc w:val="right"/>
              <w:ind w:right="120"/>
              <w:spacing w:after="0" w:line="243" w:lineRule="exact"/>
              <w:rPr>
                <w:sz w:val="20"/>
                <w:szCs w:val="20"/>
                <w:color w:val="auto"/>
              </w:rPr>
            </w:pPr>
            <w:r>
              <w:rPr>
                <w:rFonts w:ascii="Arial" w:cs="Arial" w:eastAsia="Arial" w:hAnsi="Arial"/>
                <w:sz w:val="22"/>
                <w:szCs w:val="22"/>
                <w:b w:val="1"/>
                <w:bCs w:val="1"/>
                <w:color w:val="auto"/>
              </w:rPr>
              <w:t>Feb. 28,</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b w:val="1"/>
                <w:bCs w:val="1"/>
                <w:color w:val="auto"/>
              </w:rPr>
              <w:t>2009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22"/>
                <w:szCs w:val="22"/>
                <w:b w:val="1"/>
                <w:bCs w:val="1"/>
                <w:color w:val="auto"/>
              </w:rPr>
              <w:t>2008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22"/>
                <w:szCs w:val="22"/>
                <w:b w:val="1"/>
                <w:bCs w:val="1"/>
                <w:color w:val="auto"/>
              </w:rPr>
              <w:t>2008</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b w:val="1"/>
                <w:bCs w:val="1"/>
                <w:color w:val="auto"/>
              </w:rPr>
              <w:t>2009</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2"/>
                <w:szCs w:val="22"/>
                <w:b w:val="1"/>
                <w:bCs w:val="1"/>
                <w:color w:val="auto"/>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0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sales</w:t>
            </w: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9"/>
                <w:szCs w:val="19"/>
                <w:color w:val="auto"/>
                <w:w w:val="75"/>
              </w:rPr>
              <w:t>$</w:t>
            </w: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993</w:t>
            </w:r>
          </w:p>
        </w:tc>
        <w:tc>
          <w:tcPr>
            <w:tcW w:w="40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1,402</w:t>
            </w:r>
          </w:p>
        </w:tc>
        <w:tc>
          <w:tcPr>
            <w:tcW w:w="360" w:type="dxa"/>
            <w:vAlign w:val="bottom"/>
            <w:gridSpan w:val="2"/>
            <w:shd w:val="clear" w:color="auto" w:fill="CCEEFF"/>
          </w:tcPr>
          <w:p>
            <w:pPr>
              <w:jc w:val="right"/>
              <w:ind w:right="180"/>
              <w:spacing w:after="0" w:line="243" w:lineRule="exact"/>
              <w:rPr>
                <w:sz w:val="20"/>
                <w:szCs w:val="20"/>
                <w:color w:val="auto"/>
              </w:rPr>
            </w:pPr>
            <w:r>
              <w:rPr>
                <w:rFonts w:ascii="Arial" w:cs="Arial" w:eastAsia="Arial" w:hAnsi="Arial"/>
                <w:sz w:val="22"/>
                <w:szCs w:val="22"/>
                <w:color w:val="auto"/>
              </w:rPr>
              <w:t>$</w:t>
            </w: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1,359</w:t>
            </w:r>
          </w:p>
        </w:tc>
        <w:tc>
          <w:tcPr>
            <w:tcW w:w="420" w:type="dxa"/>
            <w:vAlign w:val="bottom"/>
            <w:gridSpan w:val="2"/>
            <w:shd w:val="clear" w:color="auto" w:fill="CCEEFF"/>
          </w:tcPr>
          <w:p>
            <w:pPr>
              <w:jc w:val="right"/>
              <w:ind w:right="240"/>
              <w:spacing w:after="0" w:line="243" w:lineRule="exact"/>
              <w:rPr>
                <w:sz w:val="20"/>
                <w:szCs w:val="20"/>
                <w:color w:val="auto"/>
              </w:rPr>
            </w:pPr>
            <w:r>
              <w:rPr>
                <w:rFonts w:ascii="Arial" w:cs="Arial" w:eastAsia="Arial" w:hAnsi="Arial"/>
                <w:sz w:val="22"/>
                <w:szCs w:val="22"/>
                <w:color w:val="auto"/>
              </w:rPr>
              <w:t>$</w:t>
            </w: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2,395</w:t>
            </w:r>
          </w:p>
        </w:tc>
        <w:tc>
          <w:tcPr>
            <w:tcW w:w="420" w:type="dxa"/>
            <w:vAlign w:val="bottom"/>
            <w:gridSpan w:val="2"/>
            <w:shd w:val="clear" w:color="auto" w:fill="CCEEFF"/>
          </w:tcPr>
          <w:p>
            <w:pPr>
              <w:jc w:val="right"/>
              <w:ind w:right="24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2,894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060" w:type="dxa"/>
            <w:vAlign w:val="bottom"/>
          </w:tcPr>
          <w:p>
            <w:pPr>
              <w:spacing w:after="0" w:line="243" w:lineRule="exact"/>
              <w:rPr>
                <w:sz w:val="20"/>
                <w:szCs w:val="20"/>
                <w:color w:val="auto"/>
              </w:rPr>
            </w:pPr>
            <w:r>
              <w:rPr>
                <w:rFonts w:ascii="Arial" w:cs="Arial" w:eastAsia="Arial" w:hAnsi="Arial"/>
                <w:sz w:val="22"/>
                <w:szCs w:val="22"/>
                <w:color w:val="auto"/>
              </w:rPr>
              <w:t>Cost of goods sold (1)</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1,260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1,851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1,402</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3,111</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line="243" w:lineRule="exact"/>
              <w:rPr>
                <w:sz w:val="20"/>
                <w:szCs w:val="20"/>
                <w:color w:val="auto"/>
              </w:rPr>
            </w:pPr>
            <w:r>
              <w:rPr>
                <w:rFonts w:ascii="Arial" w:cs="Arial" w:eastAsia="Arial" w:hAnsi="Arial"/>
                <w:sz w:val="22"/>
                <w:szCs w:val="22"/>
                <w:color w:val="auto"/>
              </w:rPr>
              <w:t>2,932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60" w:type="dxa"/>
            <w:vAlign w:val="bottom"/>
            <w:shd w:val="clear" w:color="auto" w:fill="CCEEFF"/>
          </w:tcPr>
          <w:p>
            <w:pPr>
              <w:ind w:left="320"/>
              <w:spacing w:after="0" w:line="243" w:lineRule="exact"/>
              <w:rPr>
                <w:sz w:val="20"/>
                <w:szCs w:val="20"/>
                <w:color w:val="auto"/>
              </w:rPr>
            </w:pPr>
            <w:r>
              <w:rPr>
                <w:rFonts w:ascii="Arial" w:cs="Arial" w:eastAsia="Arial" w:hAnsi="Arial"/>
                <w:sz w:val="22"/>
                <w:szCs w:val="22"/>
                <w:color w:val="auto"/>
              </w:rPr>
              <w:t>Gross margin</w:t>
            </w:r>
          </w:p>
        </w:tc>
        <w:tc>
          <w:tcPr>
            <w:tcW w:w="2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(267)</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(449)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(43)</w:t>
            </w: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(716)</w:t>
            </w: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(38)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60" w:type="dxa"/>
            <w:vAlign w:val="bottom"/>
          </w:tcPr>
          <w:p>
            <w:pPr>
              <w:spacing w:after="0" w:line="243" w:lineRule="exact"/>
              <w:rPr>
                <w:sz w:val="20"/>
                <w:szCs w:val="20"/>
                <w:color w:val="auto"/>
              </w:rPr>
            </w:pPr>
            <w:r>
              <w:rPr>
                <w:rFonts w:ascii="Arial" w:cs="Arial" w:eastAsia="Arial" w:hAnsi="Arial"/>
                <w:sz w:val="22"/>
                <w:szCs w:val="22"/>
                <w:color w:val="auto"/>
              </w:rPr>
              <w:t>Selling, general and administrative</w:t>
            </w:r>
          </w:p>
        </w:tc>
        <w:tc>
          <w:tcPr>
            <w:tcW w:w="2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90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102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120</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192</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Research and development</w:t>
            </w:r>
          </w:p>
        </w:tc>
        <w:tc>
          <w:tcPr>
            <w:tcW w:w="2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168</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178</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180</w:t>
            </w: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346</w:t>
            </w: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343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60" w:type="dxa"/>
            <w:vAlign w:val="bottom"/>
          </w:tcPr>
          <w:p>
            <w:pPr>
              <w:spacing w:after="0" w:line="243" w:lineRule="exact"/>
              <w:rPr>
                <w:sz w:val="20"/>
                <w:szCs w:val="20"/>
                <w:color w:val="auto"/>
              </w:rPr>
            </w:pPr>
            <w:r>
              <w:rPr>
                <w:rFonts w:ascii="Arial" w:cs="Arial" w:eastAsia="Arial" w:hAnsi="Arial"/>
                <w:sz w:val="22"/>
                <w:szCs w:val="22"/>
                <w:color w:val="auto"/>
              </w:rPr>
              <w:t>Goodwill impairment (2)</w:t>
            </w:r>
          </w:p>
        </w:tc>
        <w:tc>
          <w:tcPr>
            <w:tcW w:w="2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58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463</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58</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463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Restructure (3)</w:t>
            </w:r>
          </w:p>
        </w:tc>
        <w:tc>
          <w:tcPr>
            <w:tcW w:w="2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105</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(66)</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8</w:t>
            </w: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39</w:t>
            </w: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60" w:type="dxa"/>
            <w:vAlign w:val="bottom"/>
          </w:tcPr>
          <w:p>
            <w:pPr>
              <w:spacing w:after="0" w:line="243" w:lineRule="exact"/>
              <w:rPr>
                <w:sz w:val="20"/>
                <w:szCs w:val="20"/>
                <w:color w:val="auto"/>
              </w:rPr>
            </w:pPr>
            <w:r>
              <w:rPr>
                <w:rFonts w:ascii="Arial" w:cs="Arial" w:eastAsia="Arial" w:hAnsi="Arial"/>
                <w:sz w:val="22"/>
                <w:szCs w:val="22"/>
                <w:color w:val="auto"/>
              </w:rPr>
              <w:t>Other operating (income) expense (4)</w:t>
            </w:r>
          </w:p>
        </w:tc>
        <w:tc>
          <w:tcPr>
            <w:tcW w:w="26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20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(42)</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29</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continue"/>
          </w:tcPr>
          <w:p>
            <w:pPr>
              <w:spacing w:after="0"/>
              <w:rPr>
                <w:sz w:val="21"/>
                <w:szCs w:val="21"/>
                <w:color w:val="auto"/>
              </w:rPr>
            </w:pPr>
          </w:p>
        </w:tc>
        <w:tc>
          <w:tcPr>
            <w:tcW w:w="40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Operating loss</w:t>
            </w:r>
          </w:p>
        </w:tc>
        <w:tc>
          <w:tcPr>
            <w:tcW w:w="2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(708)</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(672)</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(772)</w:t>
            </w: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(1,380)</w:t>
            </w: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(1,032)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60" w:type="dxa"/>
            <w:vAlign w:val="bottom"/>
          </w:tcPr>
          <w:p>
            <w:pPr>
              <w:spacing w:after="0" w:line="243" w:lineRule="exact"/>
              <w:rPr>
                <w:sz w:val="20"/>
                <w:szCs w:val="20"/>
                <w:color w:val="auto"/>
              </w:rPr>
            </w:pPr>
            <w:r>
              <w:rPr>
                <w:rFonts w:ascii="Arial" w:cs="Arial" w:eastAsia="Arial" w:hAnsi="Arial"/>
                <w:sz w:val="22"/>
                <w:szCs w:val="22"/>
                <w:color w:val="auto"/>
              </w:rPr>
              <w:t>Interest income (expense), net</w:t>
            </w:r>
          </w:p>
        </w:tc>
        <w:tc>
          <w:tcPr>
            <w:tcW w:w="260" w:type="dxa"/>
            <w:vAlign w:val="bottom"/>
          </w:tcPr>
          <w:p>
            <w:pPr>
              <w:spacing w:after="0"/>
              <w:rPr>
                <w:sz w:val="21"/>
                <w:szCs w:val="21"/>
                <w:color w:val="auto"/>
              </w:rPr>
            </w:pPr>
          </w:p>
        </w:tc>
        <w:tc>
          <w:tcPr>
            <w:tcW w:w="112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(31)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(20)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3</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(51)</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Other non-operating income (expense)</w:t>
            </w:r>
          </w:p>
        </w:tc>
        <w:tc>
          <w:tcPr>
            <w:tcW w:w="2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(3)</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(9)</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(6)</w:t>
            </w: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(12)</w:t>
            </w: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60" w:type="dxa"/>
            <w:vAlign w:val="bottom"/>
          </w:tcPr>
          <w:p>
            <w:pPr>
              <w:spacing w:after="0" w:line="243" w:lineRule="exact"/>
              <w:rPr>
                <w:sz w:val="20"/>
                <w:szCs w:val="20"/>
                <w:color w:val="auto"/>
              </w:rPr>
            </w:pPr>
            <w:r>
              <w:rPr>
                <w:rFonts w:ascii="Arial" w:cs="Arial" w:eastAsia="Arial" w:hAnsi="Arial"/>
                <w:sz w:val="22"/>
                <w:szCs w:val="22"/>
                <w:color w:val="auto"/>
              </w:rPr>
              <w:t>Income tax benefit (provision) (5)</w:t>
            </w:r>
          </w:p>
        </w:tc>
        <w:tc>
          <w:tcPr>
            <w:tcW w:w="260" w:type="dxa"/>
            <w:vAlign w:val="bottom"/>
          </w:tcPr>
          <w:p>
            <w:pPr>
              <w:spacing w:after="0"/>
              <w:rPr>
                <w:sz w:val="21"/>
                <w:szCs w:val="21"/>
                <w:color w:val="auto"/>
              </w:rPr>
            </w:pPr>
          </w:p>
        </w:tc>
        <w:tc>
          <w:tcPr>
            <w:tcW w:w="112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(13)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4</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(17)</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shd w:val="clear" w:color="auto" w:fill="CCEEFF"/>
          </w:tcPr>
          <w:p>
            <w:pPr>
              <w:spacing w:after="0" w:line="222" w:lineRule="exact"/>
              <w:rPr>
                <w:sz w:val="20"/>
                <w:szCs w:val="20"/>
                <w:color w:val="auto"/>
              </w:rPr>
            </w:pPr>
            <w:r>
              <w:rPr>
                <w:rFonts w:ascii="Arial" w:cs="Arial" w:eastAsia="Arial" w:hAnsi="Arial"/>
                <w:sz w:val="22"/>
                <w:szCs w:val="22"/>
                <w:color w:val="auto"/>
              </w:rPr>
              <w:t>Equity in net losses of equity method</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22"/>
                <w:szCs w:val="22"/>
                <w:color w:val="auto"/>
              </w:rPr>
              <w:t>investees (6)</w:t>
            </w: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22"/>
                <w:szCs w:val="22"/>
                <w:color w:val="auto"/>
              </w:rPr>
              <w:t>(56)</w:t>
            </w: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22"/>
                <w:szCs w:val="22"/>
                <w:color w:val="auto"/>
              </w:rPr>
              <w:t>(5)</w:t>
            </w: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22"/>
                <w:szCs w:val="22"/>
                <w:color w:val="auto"/>
              </w:rPr>
              <w:t>--</w:t>
            </w:r>
          </w:p>
        </w:tc>
        <w:tc>
          <w:tcPr>
            <w:tcW w:w="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22"/>
                <w:szCs w:val="22"/>
                <w:color w:val="auto"/>
              </w:rPr>
              <w:t>(61)</w:t>
            </w:r>
          </w:p>
        </w:tc>
        <w:tc>
          <w:tcPr>
            <w:tcW w:w="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60" w:type="dxa"/>
            <w:vAlign w:val="bottom"/>
          </w:tcPr>
          <w:p>
            <w:pPr>
              <w:spacing w:after="0" w:line="243" w:lineRule="exact"/>
              <w:rPr>
                <w:sz w:val="20"/>
                <w:szCs w:val="20"/>
                <w:color w:val="auto"/>
              </w:rPr>
            </w:pPr>
            <w:r>
              <w:rPr>
                <w:rFonts w:ascii="Arial" w:cs="Arial" w:eastAsia="Arial" w:hAnsi="Arial"/>
                <w:sz w:val="22"/>
                <w:szCs w:val="22"/>
                <w:color w:val="auto"/>
              </w:rPr>
              <w:t>Noncontrolling interests in net income</w:t>
            </w:r>
          </w:p>
        </w:tc>
        <w:tc>
          <w:tcPr>
            <w:tcW w:w="260" w:type="dxa"/>
            <w:vAlign w:val="bottom"/>
          </w:tcPr>
          <w:p>
            <w:pPr>
              <w:spacing w:after="0"/>
              <w:rPr>
                <w:sz w:val="21"/>
                <w:szCs w:val="21"/>
                <w:color w:val="auto"/>
              </w:rPr>
            </w:pPr>
          </w:p>
        </w:tc>
        <w:tc>
          <w:tcPr>
            <w:tcW w:w="980" w:type="dxa"/>
            <w:vAlign w:val="bottom"/>
          </w:tcPr>
          <w:p>
            <w:pPr>
              <w:jc w:val="right"/>
              <w:spacing w:after="0" w:line="243" w:lineRule="exact"/>
              <w:rPr>
                <w:sz w:val="20"/>
                <w:szCs w:val="20"/>
                <w:color w:val="auto"/>
              </w:rPr>
            </w:pPr>
            <w:r>
              <w:rPr>
                <w:rFonts w:ascii="Arial" w:cs="Arial" w:eastAsia="Arial" w:hAnsi="Arial"/>
                <w:sz w:val="22"/>
                <w:szCs w:val="22"/>
                <w:color w:val="auto"/>
              </w:rPr>
              <w:t>51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Arial" w:cs="Arial" w:eastAsia="Arial" w:hAnsi="Arial"/>
                <w:sz w:val="22"/>
                <w:szCs w:val="22"/>
                <w:color w:val="auto"/>
              </w:rPr>
              <w:t>13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(6)</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64</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vMerge w:val="continue"/>
          </w:tcPr>
          <w:p>
            <w:pPr>
              <w:spacing w:after="0"/>
              <w:rPr>
                <w:sz w:val="24"/>
                <w:szCs w:val="24"/>
                <w:color w:val="auto"/>
              </w:rPr>
            </w:pPr>
          </w:p>
        </w:tc>
        <w:tc>
          <w:tcPr>
            <w:tcW w:w="406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loss</w:t>
            </w: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9"/>
                <w:szCs w:val="19"/>
                <w:color w:val="auto"/>
                <w:w w:val="75"/>
              </w:rPr>
              <w:t>$</w:t>
            </w:r>
          </w:p>
        </w:tc>
        <w:tc>
          <w:tcPr>
            <w:tcW w:w="112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(751)</w:t>
            </w:r>
          </w:p>
        </w:tc>
        <w:tc>
          <w:tcPr>
            <w:tcW w:w="40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(706)</w:t>
            </w:r>
          </w:p>
        </w:tc>
        <w:tc>
          <w:tcPr>
            <w:tcW w:w="360" w:type="dxa"/>
            <w:vAlign w:val="bottom"/>
            <w:gridSpan w:val="2"/>
            <w:shd w:val="clear" w:color="auto" w:fill="CCEEFF"/>
          </w:tcPr>
          <w:p>
            <w:pPr>
              <w:jc w:val="right"/>
              <w:ind w:right="180"/>
              <w:spacing w:after="0" w:line="243" w:lineRule="exact"/>
              <w:rPr>
                <w:sz w:val="20"/>
                <w:szCs w:val="20"/>
                <w:color w:val="auto"/>
              </w:rPr>
            </w:pPr>
            <w:r>
              <w:rPr>
                <w:rFonts w:ascii="Arial" w:cs="Arial" w:eastAsia="Arial" w:hAnsi="Arial"/>
                <w:sz w:val="22"/>
                <w:szCs w:val="22"/>
                <w:color w:val="auto"/>
              </w:rPr>
              <w:t>$</w:t>
            </w:r>
          </w:p>
        </w:tc>
        <w:tc>
          <w:tcPr>
            <w:tcW w:w="110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(777)</w:t>
            </w:r>
          </w:p>
        </w:tc>
        <w:tc>
          <w:tcPr>
            <w:tcW w:w="420" w:type="dxa"/>
            <w:vAlign w:val="bottom"/>
            <w:gridSpan w:val="2"/>
            <w:shd w:val="clear" w:color="auto" w:fill="CCEEFF"/>
          </w:tcPr>
          <w:p>
            <w:pPr>
              <w:jc w:val="right"/>
              <w:ind w:right="240"/>
              <w:spacing w:after="0" w:line="243" w:lineRule="exact"/>
              <w:rPr>
                <w:sz w:val="20"/>
                <w:szCs w:val="20"/>
                <w:color w:val="auto"/>
              </w:rPr>
            </w:pPr>
            <w:r>
              <w:rPr>
                <w:rFonts w:ascii="Arial" w:cs="Arial" w:eastAsia="Arial" w:hAnsi="Arial"/>
                <w:sz w:val="22"/>
                <w:szCs w:val="22"/>
                <w:color w:val="auto"/>
              </w:rPr>
              <w:t>$</w:t>
            </w:r>
          </w:p>
        </w:tc>
        <w:tc>
          <w:tcPr>
            <w:tcW w:w="112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(1,457)</w:t>
            </w:r>
          </w:p>
        </w:tc>
        <w:tc>
          <w:tcPr>
            <w:tcW w:w="420" w:type="dxa"/>
            <w:vAlign w:val="bottom"/>
            <w:gridSpan w:val="2"/>
            <w:shd w:val="clear" w:color="auto" w:fill="CCEEFF"/>
          </w:tcPr>
          <w:p>
            <w:pPr>
              <w:jc w:val="right"/>
              <w:ind w:right="24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(1,039)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60" w:type="dxa"/>
            <w:vAlign w:val="bottom"/>
            <w:tcBorders>
              <w:top w:val="single" w:sz="8" w:color="CCEEFF"/>
            </w:tcBorders>
          </w:tcPr>
          <w:p>
            <w:pPr>
              <w:spacing w:after="0" w:line="237" w:lineRule="exact"/>
              <w:rPr>
                <w:sz w:val="20"/>
                <w:szCs w:val="20"/>
                <w:color w:val="auto"/>
              </w:rPr>
            </w:pPr>
            <w:r>
              <w:rPr>
                <w:rFonts w:ascii="Arial" w:cs="Arial" w:eastAsia="Arial" w:hAnsi="Arial"/>
                <w:sz w:val="22"/>
                <w:szCs w:val="22"/>
                <w:color w:val="auto"/>
              </w:rPr>
              <w:t>Loss per share:</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60" w:type="dxa"/>
            <w:vAlign w:val="bottom"/>
            <w:shd w:val="clear" w:color="auto" w:fill="CCEEFF"/>
          </w:tcPr>
          <w:p>
            <w:pPr>
              <w:ind w:left="320"/>
              <w:spacing w:after="0" w:line="243" w:lineRule="exact"/>
              <w:rPr>
                <w:sz w:val="20"/>
                <w:szCs w:val="20"/>
                <w:color w:val="auto"/>
              </w:rPr>
            </w:pPr>
            <w:r>
              <w:rPr>
                <w:rFonts w:ascii="Arial" w:cs="Arial" w:eastAsia="Arial" w:hAnsi="Arial"/>
                <w:sz w:val="22"/>
                <w:szCs w:val="22"/>
                <w:color w:val="auto"/>
              </w:rPr>
              <w:t>Basic</w:t>
            </w: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9"/>
                <w:szCs w:val="19"/>
                <w:color w:val="auto"/>
                <w:w w:val="75"/>
              </w:rPr>
              <w:t>$</w:t>
            </w:r>
          </w:p>
        </w:tc>
        <w:tc>
          <w:tcPr>
            <w:tcW w:w="112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(0.97)</w:t>
            </w:r>
          </w:p>
        </w:tc>
        <w:tc>
          <w:tcPr>
            <w:tcW w:w="40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rPr>
              <w:t>$</w:t>
            </w:r>
          </w:p>
        </w:tc>
        <w:tc>
          <w:tcPr>
            <w:tcW w:w="106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(0.91)</w:t>
            </w:r>
          </w:p>
        </w:tc>
        <w:tc>
          <w:tcPr>
            <w:tcW w:w="360" w:type="dxa"/>
            <w:vAlign w:val="bottom"/>
            <w:gridSpan w:val="2"/>
            <w:shd w:val="clear" w:color="auto" w:fill="CCEEFF"/>
          </w:tcPr>
          <w:p>
            <w:pPr>
              <w:jc w:val="right"/>
              <w:ind w:right="180"/>
              <w:spacing w:after="0" w:line="243" w:lineRule="exact"/>
              <w:rPr>
                <w:sz w:val="20"/>
                <w:szCs w:val="20"/>
                <w:color w:val="auto"/>
              </w:rPr>
            </w:pPr>
            <w:r>
              <w:rPr>
                <w:rFonts w:ascii="Arial" w:cs="Arial" w:eastAsia="Arial" w:hAnsi="Arial"/>
                <w:sz w:val="22"/>
                <w:szCs w:val="22"/>
                <w:color w:val="auto"/>
              </w:rPr>
              <w:t>$</w:t>
            </w:r>
          </w:p>
        </w:tc>
        <w:tc>
          <w:tcPr>
            <w:tcW w:w="110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(1.01)</w:t>
            </w:r>
          </w:p>
        </w:tc>
        <w:tc>
          <w:tcPr>
            <w:tcW w:w="420" w:type="dxa"/>
            <w:vAlign w:val="bottom"/>
            <w:gridSpan w:val="2"/>
            <w:shd w:val="clear" w:color="auto" w:fill="CCEEFF"/>
          </w:tcPr>
          <w:p>
            <w:pPr>
              <w:jc w:val="right"/>
              <w:ind w:right="240"/>
              <w:spacing w:after="0" w:line="243" w:lineRule="exact"/>
              <w:rPr>
                <w:sz w:val="20"/>
                <w:szCs w:val="20"/>
                <w:color w:val="auto"/>
              </w:rPr>
            </w:pPr>
            <w:r>
              <w:rPr>
                <w:rFonts w:ascii="Arial" w:cs="Arial" w:eastAsia="Arial" w:hAnsi="Arial"/>
                <w:sz w:val="22"/>
                <w:szCs w:val="22"/>
                <w:color w:val="auto"/>
              </w:rPr>
              <w:t>$</w:t>
            </w:r>
          </w:p>
        </w:tc>
        <w:tc>
          <w:tcPr>
            <w:tcW w:w="112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(1.88)</w:t>
            </w:r>
          </w:p>
        </w:tc>
        <w:tc>
          <w:tcPr>
            <w:tcW w:w="420" w:type="dxa"/>
            <w:vAlign w:val="bottom"/>
            <w:gridSpan w:val="2"/>
            <w:shd w:val="clear" w:color="auto" w:fill="CCEEFF"/>
          </w:tcPr>
          <w:p>
            <w:pPr>
              <w:jc w:val="right"/>
              <w:ind w:right="240"/>
              <w:spacing w:after="0" w:line="243" w:lineRule="exact"/>
              <w:rPr>
                <w:sz w:val="20"/>
                <w:szCs w:val="20"/>
                <w:color w:val="auto"/>
              </w:rPr>
            </w:pPr>
            <w:r>
              <w:rPr>
                <w:rFonts w:ascii="Arial" w:cs="Arial" w:eastAsia="Arial" w:hAnsi="Arial"/>
                <w:sz w:val="22"/>
                <w:szCs w:val="22"/>
                <w:color w:val="auto"/>
              </w:rPr>
              <w:t>$</w:t>
            </w:r>
          </w:p>
        </w:tc>
        <w:tc>
          <w:tcPr>
            <w:tcW w:w="108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(1.35)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60" w:type="dxa"/>
            <w:vAlign w:val="bottom"/>
          </w:tcPr>
          <w:p>
            <w:pPr>
              <w:ind w:left="320"/>
              <w:spacing w:after="0" w:line="243" w:lineRule="exact"/>
              <w:rPr>
                <w:sz w:val="20"/>
                <w:szCs w:val="20"/>
                <w:color w:val="auto"/>
              </w:rPr>
            </w:pPr>
            <w:r>
              <w:rPr>
                <w:rFonts w:ascii="Arial" w:cs="Arial" w:eastAsia="Arial" w:hAnsi="Arial"/>
                <w:sz w:val="22"/>
                <w:szCs w:val="22"/>
                <w:color w:val="auto"/>
              </w:rPr>
              <w:t>Diluted</w:t>
            </w:r>
          </w:p>
        </w:tc>
        <w:tc>
          <w:tcPr>
            <w:tcW w:w="260" w:type="dxa"/>
            <w:vAlign w:val="bottom"/>
          </w:tcPr>
          <w:p>
            <w:pPr>
              <w:spacing w:after="0"/>
              <w:rPr>
                <w:sz w:val="21"/>
                <w:szCs w:val="21"/>
                <w:color w:val="auto"/>
              </w:rPr>
            </w:pPr>
          </w:p>
        </w:tc>
        <w:tc>
          <w:tcPr>
            <w:tcW w:w="112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(0.97)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(0.91)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(1.01)</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(1.88)</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4060" w:type="dxa"/>
            <w:vAlign w:val="bottom"/>
          </w:tcPr>
          <w:p>
            <w:pPr>
              <w:spacing w:after="0" w:line="222" w:lineRule="exact"/>
              <w:rPr>
                <w:sz w:val="20"/>
                <w:szCs w:val="20"/>
                <w:color w:val="auto"/>
              </w:rPr>
            </w:pPr>
            <w:r>
              <w:rPr>
                <w:rFonts w:ascii="Arial" w:cs="Arial" w:eastAsia="Arial" w:hAnsi="Arial"/>
                <w:sz w:val="22"/>
                <w:szCs w:val="22"/>
                <w:color w:val="auto"/>
              </w:rPr>
              <w:t>Number of shares used in per share</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4080" w:type="dxa"/>
            <w:vAlign w:val="bottom"/>
            <w:gridSpan w:val="2"/>
          </w:tcPr>
          <w:p>
            <w:pPr>
              <w:spacing w:after="0"/>
              <w:rPr>
                <w:sz w:val="20"/>
                <w:szCs w:val="20"/>
                <w:color w:val="auto"/>
              </w:rPr>
            </w:pPr>
            <w:r>
              <w:rPr>
                <w:rFonts w:ascii="Arial" w:cs="Arial" w:eastAsia="Arial" w:hAnsi="Arial"/>
                <w:sz w:val="22"/>
                <w:szCs w:val="22"/>
                <w:color w:val="auto"/>
              </w:rPr>
              <w:t>calculations: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060" w:type="dxa"/>
            <w:vAlign w:val="bottom"/>
            <w:shd w:val="clear" w:color="auto" w:fill="CCEEFF"/>
          </w:tcPr>
          <w:p>
            <w:pPr>
              <w:ind w:left="320"/>
              <w:spacing w:after="0" w:line="243" w:lineRule="exact"/>
              <w:rPr>
                <w:sz w:val="20"/>
                <w:szCs w:val="20"/>
                <w:color w:val="auto"/>
              </w:rPr>
            </w:pPr>
            <w:r>
              <w:rPr>
                <w:rFonts w:ascii="Arial" w:cs="Arial" w:eastAsia="Arial" w:hAnsi="Arial"/>
                <w:sz w:val="22"/>
                <w:szCs w:val="22"/>
                <w:color w:val="auto"/>
              </w:rPr>
              <w:t>Basic</w:t>
            </w:r>
          </w:p>
        </w:tc>
        <w:tc>
          <w:tcPr>
            <w:tcW w:w="2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773.9</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773.3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772.4</w:t>
            </w: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773.6</w:t>
            </w: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772.2</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060" w:type="dxa"/>
            <w:vAlign w:val="bottom"/>
          </w:tcPr>
          <w:p>
            <w:pPr>
              <w:ind w:left="320"/>
              <w:spacing w:after="0"/>
              <w:rPr>
                <w:sz w:val="20"/>
                <w:szCs w:val="20"/>
                <w:color w:val="auto"/>
              </w:rPr>
            </w:pPr>
            <w:r>
              <w:rPr>
                <w:rFonts w:ascii="Arial" w:cs="Arial" w:eastAsia="Arial" w:hAnsi="Arial"/>
                <w:sz w:val="22"/>
                <w:szCs w:val="22"/>
                <w:color w:val="auto"/>
              </w:rPr>
              <w:t>Diluted</w:t>
            </w:r>
          </w:p>
        </w:tc>
        <w:tc>
          <w:tcPr>
            <w:tcW w:w="260" w:type="dxa"/>
            <w:vAlign w:val="bottom"/>
          </w:tcPr>
          <w:p>
            <w:pPr>
              <w:spacing w:after="0"/>
              <w:rPr>
                <w:sz w:val="23"/>
                <w:szCs w:val="2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22"/>
                <w:szCs w:val="22"/>
                <w:color w:val="auto"/>
              </w:rPr>
              <w:t>773.9</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22"/>
                <w:szCs w:val="22"/>
                <w:color w:val="auto"/>
              </w:rPr>
              <w:t>773.3</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22"/>
                <w:szCs w:val="22"/>
                <w:color w:val="auto"/>
              </w:rPr>
              <w:t>772.4</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22"/>
                <w:szCs w:val="22"/>
                <w:color w:val="auto"/>
              </w:rPr>
              <w:t>773.6</w:t>
            </w: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22"/>
                <w:szCs w:val="22"/>
                <w:color w:val="auto"/>
              </w:rPr>
              <w:t>772.2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22"/>
                <w:szCs w:val="22"/>
                <w:b w:val="1"/>
                <w:bCs w:val="1"/>
                <w:color w:val="auto"/>
              </w:rPr>
              <w:t>2nd Qtr.</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22"/>
                <w:szCs w:val="22"/>
                <w:b w:val="1"/>
                <w:bCs w:val="1"/>
                <w:color w:val="auto"/>
              </w:rPr>
              <w:t>1st Qtr.</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22"/>
                <w:szCs w:val="22"/>
                <w:b w:val="1"/>
                <w:bCs w:val="1"/>
                <w:color w:val="auto"/>
              </w:rPr>
              <w:t>2nd Qtr.</w:t>
            </w:r>
          </w:p>
        </w:tc>
        <w:tc>
          <w:tcPr>
            <w:tcW w:w="260" w:type="dxa"/>
            <w:vAlign w:val="bottom"/>
          </w:tcPr>
          <w:p>
            <w:pPr>
              <w:spacing w:after="0"/>
              <w:rPr>
                <w:sz w:val="21"/>
                <w:szCs w:val="21"/>
                <w:color w:val="auto"/>
              </w:rPr>
            </w:pPr>
          </w:p>
        </w:tc>
        <w:tc>
          <w:tcPr>
            <w:tcW w:w="2360" w:type="dxa"/>
            <w:vAlign w:val="bottom"/>
            <w:gridSpan w:val="6"/>
          </w:tcPr>
          <w:p>
            <w:pPr>
              <w:jc w:val="right"/>
              <w:ind w:right="520"/>
              <w:spacing w:after="0"/>
              <w:rPr>
                <w:sz w:val="20"/>
                <w:szCs w:val="20"/>
                <w:color w:val="auto"/>
              </w:rPr>
            </w:pPr>
            <w:r>
              <w:rPr>
                <w:rFonts w:ascii="Arial" w:cs="Arial" w:eastAsia="Arial" w:hAnsi="Arial"/>
                <w:sz w:val="22"/>
                <w:szCs w:val="22"/>
                <w:b w:val="1"/>
                <w:bCs w:val="1"/>
                <w:color w:val="auto"/>
                <w:w w:val="95"/>
              </w:rPr>
              <w:t>Six Months 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2"/>
          </w:tcPr>
          <w:p>
            <w:pPr>
              <w:jc w:val="right"/>
              <w:ind w:right="180"/>
              <w:spacing w:after="0" w:line="243" w:lineRule="exact"/>
              <w:rPr>
                <w:sz w:val="20"/>
                <w:szCs w:val="20"/>
                <w:color w:val="auto"/>
              </w:rPr>
            </w:pPr>
            <w:r>
              <w:rPr>
                <w:rFonts w:ascii="Arial" w:cs="Arial" w:eastAsia="Arial" w:hAnsi="Arial"/>
                <w:sz w:val="22"/>
                <w:szCs w:val="22"/>
                <w:b w:val="1"/>
                <w:bCs w:val="1"/>
                <w:color w:val="auto"/>
              </w:rPr>
              <w:t>Mar. 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180"/>
              <w:spacing w:after="0" w:line="243" w:lineRule="exact"/>
              <w:rPr>
                <w:sz w:val="20"/>
                <w:szCs w:val="20"/>
                <w:color w:val="auto"/>
              </w:rPr>
            </w:pPr>
            <w:r>
              <w:rPr>
                <w:rFonts w:ascii="Arial" w:cs="Arial" w:eastAsia="Arial" w:hAnsi="Arial"/>
                <w:sz w:val="22"/>
                <w:szCs w:val="22"/>
                <w:b w:val="1"/>
                <w:bCs w:val="1"/>
                <w:color w:val="auto"/>
              </w:rPr>
              <w:t>Dec. 4,</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40"/>
              <w:spacing w:after="0" w:line="243" w:lineRule="exact"/>
              <w:rPr>
                <w:sz w:val="20"/>
                <w:szCs w:val="20"/>
                <w:color w:val="auto"/>
              </w:rPr>
            </w:pPr>
            <w:r>
              <w:rPr>
                <w:rFonts w:ascii="Arial" w:cs="Arial" w:eastAsia="Arial" w:hAnsi="Arial"/>
                <w:sz w:val="22"/>
                <w:szCs w:val="22"/>
                <w:b w:val="1"/>
                <w:bCs w:val="1"/>
                <w:color w:val="auto"/>
              </w:rPr>
              <w:t>Feb. 28,</w:t>
            </w:r>
          </w:p>
        </w:tc>
        <w:tc>
          <w:tcPr>
            <w:tcW w:w="260" w:type="dxa"/>
            <w:vAlign w:val="bottom"/>
          </w:tcPr>
          <w:p>
            <w:pPr>
              <w:spacing w:after="0"/>
              <w:rPr>
                <w:sz w:val="21"/>
                <w:szCs w:val="21"/>
                <w:color w:val="auto"/>
              </w:rPr>
            </w:pPr>
          </w:p>
        </w:tc>
        <w:tc>
          <w:tcPr>
            <w:tcW w:w="1040" w:type="dxa"/>
            <w:vAlign w:val="bottom"/>
            <w:gridSpan w:val="2"/>
          </w:tcPr>
          <w:p>
            <w:pPr>
              <w:jc w:val="right"/>
              <w:ind w:right="140"/>
              <w:spacing w:after="0" w:line="243" w:lineRule="exact"/>
              <w:rPr>
                <w:sz w:val="20"/>
                <w:szCs w:val="20"/>
                <w:color w:val="auto"/>
              </w:rPr>
            </w:pPr>
            <w:r>
              <w:rPr>
                <w:rFonts w:ascii="Arial" w:cs="Arial" w:eastAsia="Arial" w:hAnsi="Arial"/>
                <w:sz w:val="22"/>
                <w:szCs w:val="22"/>
                <w:b w:val="1"/>
                <w:bCs w:val="1"/>
                <w:color w:val="auto"/>
              </w:rPr>
              <w:t>Mar. 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00"/>
              <w:spacing w:after="0" w:line="243" w:lineRule="exact"/>
              <w:rPr>
                <w:sz w:val="20"/>
                <w:szCs w:val="20"/>
                <w:color w:val="auto"/>
              </w:rPr>
            </w:pPr>
            <w:r>
              <w:rPr>
                <w:rFonts w:ascii="Arial" w:cs="Arial" w:eastAsia="Arial" w:hAnsi="Arial"/>
                <w:sz w:val="22"/>
                <w:szCs w:val="22"/>
                <w:b w:val="1"/>
                <w:bCs w:val="1"/>
                <w:color w:val="auto"/>
              </w:rPr>
              <w:t>Feb. 28,</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2"/>
                <w:szCs w:val="22"/>
                <w:b w:val="1"/>
                <w:bCs w:val="1"/>
                <w:color w:val="auto"/>
              </w:rPr>
              <w:t>2009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22"/>
                <w:szCs w:val="22"/>
                <w:b w:val="1"/>
                <w:bCs w:val="1"/>
                <w:color w:val="auto"/>
              </w:rPr>
              <w:t>2008</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2"/>
                <w:szCs w:val="22"/>
                <w:b w:val="1"/>
                <w:bCs w:val="1"/>
                <w:color w:val="auto"/>
              </w:rPr>
              <w:t>2008</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22"/>
                <w:szCs w:val="22"/>
                <w:b w:val="1"/>
                <w:bCs w:val="1"/>
                <w:color w:val="auto"/>
              </w:rPr>
              <w:t>2009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22"/>
                <w:szCs w:val="22"/>
                <w:b w:val="1"/>
                <w:bCs w:val="1"/>
                <w:color w:val="auto"/>
              </w:rPr>
              <w:t>2008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6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Period-end inventory write-down</w:t>
            </w:r>
          </w:p>
        </w:tc>
        <w:tc>
          <w:tcPr>
            <w:tcW w:w="220" w:type="dxa"/>
            <w:vAlign w:val="bottom"/>
            <w:shd w:val="clear" w:color="auto" w:fill="CCEEFF"/>
          </w:tcPr>
          <w:p>
            <w:pPr>
              <w:jc w:val="right"/>
              <w:ind w:right="23"/>
              <w:spacing w:after="0"/>
              <w:rPr>
                <w:sz w:val="20"/>
                <w:szCs w:val="20"/>
                <w:color w:val="auto"/>
              </w:rPr>
            </w:pPr>
            <w:r>
              <w:rPr>
                <w:rFonts w:ascii="Arial" w:cs="Arial" w:eastAsia="Arial" w:hAnsi="Arial"/>
                <w:sz w:val="19"/>
                <w:szCs w:val="19"/>
                <w:color w:val="auto"/>
                <w:w w:val="75"/>
              </w:rPr>
              <w:t>$</w:t>
            </w:r>
          </w:p>
        </w:tc>
        <w:tc>
          <w:tcPr>
            <w:tcW w:w="9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234</w:t>
            </w:r>
          </w:p>
        </w:tc>
        <w:tc>
          <w:tcPr>
            <w:tcW w:w="14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80"/>
              <w:spacing w:after="0" w:line="243" w:lineRule="exact"/>
              <w:rPr>
                <w:sz w:val="20"/>
                <w:szCs w:val="20"/>
                <w:color w:val="auto"/>
              </w:rPr>
            </w:pPr>
            <w:r>
              <w:rPr>
                <w:rFonts w:ascii="Arial" w:cs="Arial" w:eastAsia="Arial" w:hAnsi="Arial"/>
                <w:sz w:val="22"/>
                <w:szCs w:val="22"/>
                <w:color w:val="auto"/>
              </w:rPr>
              <w:t>$</w:t>
            </w:r>
          </w:p>
        </w:tc>
        <w:tc>
          <w:tcPr>
            <w:tcW w:w="10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369</w:t>
            </w:r>
          </w:p>
        </w:tc>
        <w:tc>
          <w:tcPr>
            <w:tcW w:w="300" w:type="dxa"/>
            <w:vAlign w:val="bottom"/>
            <w:gridSpan w:val="2"/>
            <w:shd w:val="clear" w:color="auto" w:fill="CCEEFF"/>
          </w:tcPr>
          <w:p>
            <w:pPr>
              <w:jc w:val="right"/>
              <w:ind w:right="120"/>
              <w:spacing w:after="0" w:line="243" w:lineRule="exact"/>
              <w:rPr>
                <w:sz w:val="20"/>
                <w:szCs w:val="20"/>
                <w:color w:val="auto"/>
              </w:rPr>
            </w:pPr>
            <w:r>
              <w:rPr>
                <w:rFonts w:ascii="Arial" w:cs="Arial" w:eastAsia="Arial" w:hAnsi="Arial"/>
                <w:sz w:val="22"/>
                <w:szCs w:val="22"/>
                <w:color w:val="auto"/>
              </w:rPr>
              <w:t>$</w:t>
            </w:r>
          </w:p>
        </w:tc>
        <w:tc>
          <w:tcPr>
            <w:tcW w:w="9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15</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9"/>
                <w:szCs w:val="19"/>
                <w:color w:val="auto"/>
                <w:w w:val="75"/>
              </w:rPr>
              <w:t>$</w:t>
            </w:r>
          </w:p>
        </w:tc>
        <w:tc>
          <w:tcPr>
            <w:tcW w:w="10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603</w:t>
            </w:r>
          </w:p>
        </w:tc>
        <w:tc>
          <w:tcPr>
            <w:tcW w:w="34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w:t>
            </w:r>
          </w:p>
        </w:tc>
        <w:tc>
          <w:tcPr>
            <w:tcW w:w="9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77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spacing w:after="0" w:line="243" w:lineRule="exact"/>
              <w:rPr>
                <w:sz w:val="20"/>
                <w:szCs w:val="20"/>
                <w:color w:val="auto"/>
              </w:rPr>
            </w:pPr>
            <w:r>
              <w:rPr>
                <w:rFonts w:ascii="Arial" w:cs="Arial" w:eastAsia="Arial" w:hAnsi="Arial"/>
                <w:sz w:val="22"/>
                <w:szCs w:val="22"/>
                <w:color w:val="auto"/>
              </w:rPr>
              <w:t>Estimated net effect of previous write-downs</w:t>
            </w:r>
          </w:p>
        </w:tc>
        <w:tc>
          <w:tcPr>
            <w:tcW w:w="220" w:type="dxa"/>
            <w:vAlign w:val="bottom"/>
          </w:tcPr>
          <w:p>
            <w:pPr>
              <w:spacing w:after="0"/>
              <w:rPr>
                <w:sz w:val="21"/>
                <w:szCs w:val="21"/>
                <w:color w:val="auto"/>
              </w:rPr>
            </w:pPr>
          </w:p>
        </w:tc>
        <w:tc>
          <w:tcPr>
            <w:tcW w:w="108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(277)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80"/>
              <w:spacing w:after="0" w:line="243" w:lineRule="exact"/>
              <w:rPr>
                <w:sz w:val="20"/>
                <w:szCs w:val="20"/>
                <w:color w:val="auto"/>
              </w:rPr>
            </w:pPr>
            <w:r>
              <w:rPr>
                <w:rFonts w:ascii="Arial" w:cs="Arial" w:eastAsia="Arial" w:hAnsi="Arial"/>
                <w:sz w:val="22"/>
                <w:szCs w:val="22"/>
                <w:color w:val="auto"/>
              </w:rPr>
              <w:t>(157)</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(50)</w:t>
            </w:r>
          </w:p>
        </w:tc>
        <w:tc>
          <w:tcPr>
            <w:tcW w:w="260" w:type="dxa"/>
            <w:vAlign w:val="bottom"/>
          </w:tcPr>
          <w:p>
            <w:pPr>
              <w:spacing w:after="0"/>
              <w:rPr>
                <w:sz w:val="21"/>
                <w:szCs w:val="21"/>
                <w:color w:val="auto"/>
              </w:rPr>
            </w:pPr>
          </w:p>
        </w:tc>
        <w:tc>
          <w:tcPr>
            <w:tcW w:w="10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(434)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(64)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Restructure</w:t>
            </w: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105</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(66)</w:t>
            </w: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8</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39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spacing w:after="0" w:line="243" w:lineRule="exact"/>
              <w:rPr>
                <w:sz w:val="20"/>
                <w:szCs w:val="20"/>
                <w:color w:val="auto"/>
              </w:rPr>
            </w:pPr>
            <w:r>
              <w:rPr>
                <w:rFonts w:ascii="Arial" w:cs="Arial" w:eastAsia="Arial" w:hAnsi="Arial"/>
                <w:sz w:val="22"/>
                <w:szCs w:val="22"/>
                <w:color w:val="auto"/>
              </w:rPr>
              <w:t>Goodwill impairment</w:t>
            </w:r>
          </w:p>
        </w:tc>
        <w:tc>
          <w:tcPr>
            <w:tcW w:w="22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Arial" w:cs="Arial" w:eastAsia="Arial" w:hAnsi="Arial"/>
                <w:sz w:val="22"/>
                <w:szCs w:val="22"/>
                <w:color w:val="auto"/>
              </w:rPr>
              <w:t>58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Arial" w:cs="Arial" w:eastAsia="Arial" w:hAnsi="Arial"/>
                <w:sz w:val="22"/>
                <w:szCs w:val="22"/>
                <w:color w:val="auto"/>
              </w:rPr>
              <w:t>--</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Arial" w:cs="Arial" w:eastAsia="Arial" w:hAnsi="Arial"/>
                <w:sz w:val="22"/>
                <w:szCs w:val="22"/>
                <w:color w:val="auto"/>
              </w:rPr>
              <w:t>463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2"/>
          </w:tcPr>
          <w:p>
            <w:pPr>
              <w:jc w:val="right"/>
              <w:ind w:right="140"/>
              <w:spacing w:after="0" w:line="243" w:lineRule="exact"/>
              <w:rPr>
                <w:sz w:val="20"/>
                <w:szCs w:val="20"/>
                <w:color w:val="auto"/>
              </w:rPr>
            </w:pPr>
            <w:r>
              <w:rPr>
                <w:rFonts w:ascii="Arial" w:cs="Arial" w:eastAsia="Arial" w:hAnsi="Arial"/>
                <w:sz w:val="22"/>
                <w:szCs w:val="22"/>
                <w:color w:val="auto"/>
              </w:rPr>
              <w:t>58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463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46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23"/>
              <w:spacing w:after="0"/>
              <w:rPr>
                <w:sz w:val="20"/>
                <w:szCs w:val="20"/>
                <w:color w:val="auto"/>
              </w:rPr>
            </w:pPr>
            <w:r>
              <w:rPr>
                <w:rFonts w:ascii="Arial" w:cs="Arial" w:eastAsia="Arial" w:hAnsi="Arial"/>
                <w:sz w:val="19"/>
                <w:szCs w:val="19"/>
                <w:color w:val="auto"/>
                <w:w w:val="75"/>
              </w:rPr>
              <w:t>$</w:t>
            </w:r>
          </w:p>
        </w:tc>
        <w:tc>
          <w:tcPr>
            <w:tcW w:w="94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120</w:t>
            </w:r>
          </w:p>
        </w:tc>
        <w:tc>
          <w:tcPr>
            <w:tcW w:w="14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180"/>
              <w:spacing w:after="0" w:line="243" w:lineRule="exact"/>
              <w:rPr>
                <w:sz w:val="20"/>
                <w:szCs w:val="20"/>
                <w:color w:val="auto"/>
              </w:rPr>
            </w:pPr>
            <w:r>
              <w:rPr>
                <w:rFonts w:ascii="Arial" w:cs="Arial" w:eastAsia="Arial" w:hAnsi="Arial"/>
                <w:sz w:val="22"/>
                <w:szCs w:val="22"/>
                <w:color w:val="auto"/>
              </w:rPr>
              <w:t>$</w:t>
            </w:r>
          </w:p>
        </w:tc>
        <w:tc>
          <w:tcPr>
            <w:tcW w:w="102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146</w:t>
            </w:r>
          </w:p>
        </w:tc>
        <w:tc>
          <w:tcPr>
            <w:tcW w:w="300" w:type="dxa"/>
            <w:vAlign w:val="bottom"/>
            <w:gridSpan w:val="2"/>
            <w:shd w:val="clear" w:color="auto" w:fill="CCEEFF"/>
          </w:tcPr>
          <w:p>
            <w:pPr>
              <w:jc w:val="right"/>
              <w:ind w:right="120"/>
              <w:spacing w:after="0" w:line="243" w:lineRule="exact"/>
              <w:rPr>
                <w:sz w:val="20"/>
                <w:szCs w:val="20"/>
                <w:color w:val="auto"/>
              </w:rPr>
            </w:pPr>
            <w:r>
              <w:rPr>
                <w:rFonts w:ascii="Arial" w:cs="Arial" w:eastAsia="Arial" w:hAnsi="Arial"/>
                <w:sz w:val="22"/>
                <w:szCs w:val="22"/>
                <w:color w:val="auto"/>
              </w:rPr>
              <w:t>$</w:t>
            </w:r>
          </w:p>
        </w:tc>
        <w:tc>
          <w:tcPr>
            <w:tcW w:w="90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436</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9"/>
                <w:szCs w:val="19"/>
                <w:color w:val="auto"/>
                <w:w w:val="75"/>
              </w:rPr>
              <w:t>$</w:t>
            </w:r>
          </w:p>
        </w:tc>
        <w:tc>
          <w:tcPr>
            <w:tcW w:w="1040" w:type="dxa"/>
            <w:vAlign w:val="bottom"/>
            <w:gridSpan w:val="2"/>
            <w:shd w:val="clear" w:color="auto" w:fill="CCEEFF"/>
          </w:tcPr>
          <w:p>
            <w:pPr>
              <w:jc w:val="right"/>
              <w:ind w:right="140"/>
              <w:spacing w:after="0" w:line="243" w:lineRule="exact"/>
              <w:rPr>
                <w:sz w:val="20"/>
                <w:szCs w:val="20"/>
                <w:color w:val="auto"/>
              </w:rPr>
            </w:pPr>
            <w:r>
              <w:rPr>
                <w:rFonts w:ascii="Arial" w:cs="Arial" w:eastAsia="Arial" w:hAnsi="Arial"/>
                <w:sz w:val="22"/>
                <w:szCs w:val="22"/>
                <w:color w:val="auto"/>
              </w:rPr>
              <w:t>266</w:t>
            </w:r>
          </w:p>
        </w:tc>
        <w:tc>
          <w:tcPr>
            <w:tcW w:w="340" w:type="dxa"/>
            <w:vAlign w:val="bottom"/>
            <w:gridSpan w:val="2"/>
            <w:shd w:val="clear" w:color="auto" w:fill="CCEEFF"/>
          </w:tcPr>
          <w:p>
            <w:pPr>
              <w:jc w:val="right"/>
              <w:ind w:right="160"/>
              <w:spacing w:after="0" w:line="243" w:lineRule="exact"/>
              <w:rPr>
                <w:sz w:val="20"/>
                <w:szCs w:val="20"/>
                <w:color w:val="auto"/>
              </w:rPr>
            </w:pPr>
            <w:r>
              <w:rPr>
                <w:rFonts w:ascii="Arial" w:cs="Arial" w:eastAsia="Arial" w:hAnsi="Arial"/>
                <w:sz w:val="22"/>
                <w:szCs w:val="22"/>
                <w:color w:val="auto"/>
              </w:rPr>
              <w:t>$</w:t>
            </w:r>
          </w:p>
        </w:tc>
        <w:tc>
          <w:tcPr>
            <w:tcW w:w="9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497</w:t>
            </w:r>
          </w:p>
        </w:tc>
        <w:tc>
          <w:tcPr>
            <w:tcW w:w="0" w:type="dxa"/>
            <w:vAlign w:val="bottom"/>
          </w:tcPr>
          <w:p>
            <w:pPr>
              <w:spacing w:after="0"/>
              <w:rPr>
                <w:sz w:val="1"/>
                <w:szCs w:val="1"/>
                <w:color w:val="auto"/>
              </w:rPr>
            </w:pPr>
          </w:p>
        </w:tc>
      </w:tr>
      <w:tr>
        <w:trPr>
          <w:trHeight w:val="1138"/>
        </w:trPr>
        <w:tc>
          <w:tcPr>
            <w:tcW w:w="20" w:type="dxa"/>
            <w:vAlign w:val="bottom"/>
          </w:tcPr>
          <w:p>
            <w:pPr>
              <w:spacing w:after="0"/>
              <w:rPr>
                <w:sz w:val="24"/>
                <w:szCs w:val="24"/>
                <w:color w:val="auto"/>
              </w:rPr>
            </w:pPr>
          </w:p>
        </w:tc>
        <w:tc>
          <w:tcPr>
            <w:tcW w:w="4680" w:type="dxa"/>
            <w:vAlign w:val="bottom"/>
            <w:tcBorders>
              <w:top w:val="single" w:sz="8" w:color="CCEEFF"/>
              <w:bottom w:val="single" w:sz="8" w:color="808080"/>
            </w:tcBorders>
          </w:tcPr>
          <w:p>
            <w:pPr>
              <w:spacing w:after="0"/>
              <w:rPr>
                <w:sz w:val="24"/>
                <w:szCs w:val="24"/>
                <w:color w:val="auto"/>
              </w:rPr>
            </w:pPr>
          </w:p>
        </w:tc>
        <w:tc>
          <w:tcPr>
            <w:tcW w:w="220" w:type="dxa"/>
            <w:vAlign w:val="bottom"/>
            <w:tcBorders>
              <w:top w:val="single" w:sz="8" w:color="auto"/>
              <w:bottom w:val="single" w:sz="8" w:color="808080"/>
            </w:tcBorders>
          </w:tcPr>
          <w:p>
            <w:pPr>
              <w:spacing w:after="0"/>
              <w:rPr>
                <w:sz w:val="24"/>
                <w:szCs w:val="24"/>
                <w:color w:val="auto"/>
              </w:rPr>
            </w:pPr>
          </w:p>
        </w:tc>
        <w:tc>
          <w:tcPr>
            <w:tcW w:w="940" w:type="dxa"/>
            <w:vAlign w:val="bottom"/>
            <w:tcBorders>
              <w:top w:val="single" w:sz="8" w:color="auto"/>
              <w:bottom w:val="single" w:sz="8" w:color="808080"/>
            </w:tcBorders>
          </w:tcPr>
          <w:p>
            <w:pPr>
              <w:spacing w:after="0"/>
              <w:rPr>
                <w:sz w:val="24"/>
                <w:szCs w:val="24"/>
                <w:color w:val="auto"/>
              </w:rPr>
            </w:pPr>
          </w:p>
        </w:tc>
        <w:tc>
          <w:tcPr>
            <w:tcW w:w="140" w:type="dxa"/>
            <w:vAlign w:val="bottom"/>
            <w:tcBorders>
              <w:top w:val="single" w:sz="8" w:color="CCEEFF"/>
              <w:bottom w:val="single" w:sz="8" w:color="808080"/>
            </w:tcBorders>
          </w:tcPr>
          <w:p>
            <w:pPr>
              <w:spacing w:after="0"/>
              <w:rPr>
                <w:sz w:val="24"/>
                <w:szCs w:val="24"/>
                <w:color w:val="auto"/>
              </w:rPr>
            </w:pPr>
          </w:p>
        </w:tc>
        <w:tc>
          <w:tcPr>
            <w:tcW w:w="80" w:type="dxa"/>
            <w:vAlign w:val="bottom"/>
            <w:tcBorders>
              <w:top w:val="single" w:sz="8" w:color="CCEEFF"/>
              <w:bottom w:val="single" w:sz="8" w:color="808080"/>
            </w:tcBorders>
          </w:tcPr>
          <w:p>
            <w:pPr>
              <w:spacing w:after="0"/>
              <w:rPr>
                <w:sz w:val="24"/>
                <w:szCs w:val="24"/>
                <w:color w:val="auto"/>
              </w:rPr>
            </w:pPr>
          </w:p>
        </w:tc>
        <w:tc>
          <w:tcPr>
            <w:tcW w:w="280" w:type="dxa"/>
            <w:vAlign w:val="bottom"/>
            <w:tcBorders>
              <w:top w:val="single" w:sz="8" w:color="auto"/>
              <w:bottom w:val="single" w:sz="8" w:color="808080"/>
            </w:tcBorders>
          </w:tcPr>
          <w:p>
            <w:pPr>
              <w:spacing w:after="0"/>
              <w:rPr>
                <w:sz w:val="24"/>
                <w:szCs w:val="24"/>
                <w:color w:val="auto"/>
              </w:rPr>
            </w:pPr>
          </w:p>
        </w:tc>
        <w:tc>
          <w:tcPr>
            <w:tcW w:w="880" w:type="dxa"/>
            <w:vAlign w:val="bottom"/>
            <w:tcBorders>
              <w:top w:val="single" w:sz="8" w:color="auto"/>
              <w:bottom w:val="single" w:sz="8" w:color="808080"/>
            </w:tcBorders>
          </w:tcPr>
          <w:p>
            <w:pPr>
              <w:spacing w:after="0"/>
              <w:rPr>
                <w:sz w:val="24"/>
                <w:szCs w:val="24"/>
                <w:color w:val="auto"/>
              </w:rPr>
            </w:pPr>
          </w:p>
        </w:tc>
        <w:tc>
          <w:tcPr>
            <w:tcW w:w="140" w:type="dxa"/>
            <w:vAlign w:val="bottom"/>
            <w:tcBorders>
              <w:top w:val="single" w:sz="8" w:color="CCEEFF"/>
              <w:bottom w:val="single" w:sz="8" w:color="808080"/>
            </w:tcBorders>
          </w:tcPr>
          <w:p>
            <w:pPr>
              <w:spacing w:after="0"/>
              <w:rPr>
                <w:sz w:val="24"/>
                <w:szCs w:val="24"/>
                <w:color w:val="auto"/>
              </w:rPr>
            </w:pPr>
          </w:p>
        </w:tc>
        <w:tc>
          <w:tcPr>
            <w:tcW w:w="60" w:type="dxa"/>
            <w:vAlign w:val="bottom"/>
            <w:tcBorders>
              <w:top w:val="single" w:sz="8" w:color="CCEEFF"/>
              <w:bottom w:val="single" w:sz="8" w:color="808080"/>
            </w:tcBorders>
          </w:tcPr>
          <w:p>
            <w:pPr>
              <w:spacing w:after="0"/>
              <w:rPr>
                <w:sz w:val="24"/>
                <w:szCs w:val="24"/>
                <w:color w:val="auto"/>
              </w:rPr>
            </w:pPr>
          </w:p>
        </w:tc>
        <w:tc>
          <w:tcPr>
            <w:tcW w:w="240" w:type="dxa"/>
            <w:vAlign w:val="bottom"/>
            <w:tcBorders>
              <w:top w:val="single" w:sz="8" w:color="auto"/>
              <w:bottom w:val="single" w:sz="8" w:color="808080"/>
            </w:tcBorders>
          </w:tcPr>
          <w:p>
            <w:pPr>
              <w:spacing w:after="0"/>
              <w:rPr>
                <w:sz w:val="24"/>
                <w:szCs w:val="24"/>
                <w:color w:val="auto"/>
              </w:rPr>
            </w:pPr>
          </w:p>
        </w:tc>
        <w:tc>
          <w:tcPr>
            <w:tcW w:w="90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CCEEFF"/>
              <w:bottom w:val="single" w:sz="8" w:color="808080"/>
            </w:tcBorders>
          </w:tcPr>
          <w:p>
            <w:pPr>
              <w:spacing w:after="0"/>
              <w:rPr>
                <w:sz w:val="24"/>
                <w:szCs w:val="24"/>
                <w:color w:val="auto"/>
              </w:rPr>
            </w:pPr>
          </w:p>
        </w:tc>
        <w:tc>
          <w:tcPr>
            <w:tcW w:w="260" w:type="dxa"/>
            <w:vAlign w:val="bottom"/>
            <w:tcBorders>
              <w:top w:val="single" w:sz="8" w:color="auto"/>
              <w:bottom w:val="single" w:sz="8" w:color="808080"/>
            </w:tcBorders>
          </w:tcPr>
          <w:p>
            <w:pPr>
              <w:spacing w:after="0"/>
              <w:rPr>
                <w:sz w:val="24"/>
                <w:szCs w:val="24"/>
                <w:color w:val="auto"/>
              </w:rPr>
            </w:pPr>
          </w:p>
        </w:tc>
        <w:tc>
          <w:tcPr>
            <w:tcW w:w="900" w:type="dxa"/>
            <w:vAlign w:val="bottom"/>
            <w:tcBorders>
              <w:top w:val="single" w:sz="8" w:color="auto"/>
              <w:bottom w:val="single" w:sz="8" w:color="808080"/>
            </w:tcBorders>
          </w:tcPr>
          <w:p>
            <w:pPr>
              <w:spacing w:after="0"/>
              <w:rPr>
                <w:sz w:val="24"/>
                <w:szCs w:val="24"/>
                <w:color w:val="auto"/>
              </w:rPr>
            </w:pPr>
          </w:p>
        </w:tc>
        <w:tc>
          <w:tcPr>
            <w:tcW w:w="140" w:type="dxa"/>
            <w:vAlign w:val="bottom"/>
            <w:tcBorders>
              <w:top w:val="single" w:sz="8" w:color="CCEEFF"/>
              <w:bottom w:val="single" w:sz="8" w:color="808080"/>
            </w:tcBorders>
          </w:tcPr>
          <w:p>
            <w:pPr>
              <w:spacing w:after="0"/>
              <w:rPr>
                <w:sz w:val="24"/>
                <w:szCs w:val="24"/>
                <w:color w:val="auto"/>
              </w:rPr>
            </w:pPr>
          </w:p>
        </w:tc>
        <w:tc>
          <w:tcPr>
            <w:tcW w:w="80" w:type="dxa"/>
            <w:vAlign w:val="bottom"/>
            <w:tcBorders>
              <w:top w:val="single" w:sz="8" w:color="CCEEFF"/>
              <w:bottom w:val="single" w:sz="8" w:color="808080"/>
            </w:tcBorders>
          </w:tcPr>
          <w:p>
            <w:pPr>
              <w:spacing w:after="0"/>
              <w:rPr>
                <w:sz w:val="24"/>
                <w:szCs w:val="24"/>
                <w:color w:val="auto"/>
              </w:rPr>
            </w:pPr>
          </w:p>
        </w:tc>
        <w:tc>
          <w:tcPr>
            <w:tcW w:w="260" w:type="dxa"/>
            <w:vAlign w:val="bottom"/>
            <w:tcBorders>
              <w:top w:val="single" w:sz="8" w:color="auto"/>
              <w:bottom w:val="single" w:sz="8" w:color="808080"/>
            </w:tcBorders>
          </w:tcPr>
          <w:p>
            <w:pPr>
              <w:spacing w:after="0"/>
              <w:rPr>
                <w:sz w:val="24"/>
                <w:szCs w:val="24"/>
                <w:color w:val="auto"/>
              </w:rPr>
            </w:pPr>
          </w:p>
        </w:tc>
        <w:tc>
          <w:tcPr>
            <w:tcW w:w="88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81"/>
        </w:trPr>
        <w:tc>
          <w:tcPr>
            <w:tcW w:w="6820" w:type="dxa"/>
            <w:vAlign w:val="bottom"/>
            <w:gridSpan w:val="2"/>
          </w:tcPr>
          <w:p>
            <w:pPr>
              <w:spacing w:after="0"/>
              <w:rPr>
                <w:sz w:val="20"/>
                <w:szCs w:val="20"/>
                <w:color w:val="auto"/>
              </w:rPr>
            </w:pPr>
            <w:r>
              <w:rPr>
                <w:rFonts w:ascii="Arial" w:cs="Arial" w:eastAsia="Arial" w:hAnsi="Arial"/>
                <w:sz w:val="22"/>
                <w:szCs w:val="22"/>
                <w:b w:val="1"/>
                <w:bCs w:val="1"/>
                <w:color w:val="auto"/>
              </w:rPr>
              <w:t>CONSOLIDATED FINANCIAL SUMMARY, Continued</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9"/>
        </w:trPr>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3"/>
          </w:tcPr>
          <w:p>
            <w:pPr>
              <w:jc w:val="right"/>
              <w:ind w:right="660"/>
              <w:spacing w:after="0"/>
              <w:rPr>
                <w:sz w:val="20"/>
                <w:szCs w:val="20"/>
                <w:color w:val="auto"/>
              </w:rPr>
            </w:pPr>
            <w:r>
              <w:rPr>
                <w:rFonts w:ascii="Arial" w:cs="Arial" w:eastAsia="Arial" w:hAnsi="Arial"/>
                <w:sz w:val="22"/>
                <w:szCs w:val="22"/>
                <w:b w:val="1"/>
                <w:bCs w:val="1"/>
                <w:color w:val="auto"/>
              </w:rPr>
              <w:t>As of</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gridSpan w:val="2"/>
          </w:tcPr>
          <w:p>
            <w:pPr>
              <w:jc w:val="right"/>
              <w:ind w:right="240"/>
              <w:spacing w:after="0" w:line="243" w:lineRule="exact"/>
              <w:rPr>
                <w:sz w:val="20"/>
                <w:szCs w:val="20"/>
                <w:color w:val="auto"/>
              </w:rPr>
            </w:pPr>
            <w:r>
              <w:rPr>
                <w:rFonts w:ascii="Arial" w:cs="Arial" w:eastAsia="Arial" w:hAnsi="Arial"/>
                <w:sz w:val="22"/>
                <w:szCs w:val="22"/>
                <w:b w:val="1"/>
                <w:bCs w:val="1"/>
                <w:color w:val="auto"/>
              </w:rPr>
              <w:t>Mar. 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3"/>
          </w:tcPr>
          <w:p>
            <w:pPr>
              <w:jc w:val="right"/>
              <w:ind w:right="240"/>
              <w:spacing w:after="0" w:line="243" w:lineRule="exact"/>
              <w:rPr>
                <w:sz w:val="20"/>
                <w:szCs w:val="20"/>
                <w:color w:val="auto"/>
              </w:rPr>
            </w:pPr>
            <w:r>
              <w:rPr>
                <w:rFonts w:ascii="Arial" w:cs="Arial" w:eastAsia="Arial" w:hAnsi="Arial"/>
                <w:sz w:val="22"/>
                <w:szCs w:val="22"/>
                <w:b w:val="1"/>
                <w:bCs w:val="1"/>
                <w:color w:val="auto"/>
              </w:rPr>
              <w:t>Dec. 4,</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gridSpan w:val="2"/>
          </w:tcPr>
          <w:p>
            <w:pPr>
              <w:jc w:val="right"/>
              <w:ind w:right="140"/>
              <w:spacing w:after="0" w:line="243" w:lineRule="exact"/>
              <w:rPr>
                <w:sz w:val="20"/>
                <w:szCs w:val="20"/>
                <w:color w:val="auto"/>
              </w:rPr>
            </w:pPr>
            <w:r>
              <w:rPr>
                <w:rFonts w:ascii="Arial" w:cs="Arial" w:eastAsia="Arial" w:hAnsi="Arial"/>
                <w:sz w:val="22"/>
                <w:szCs w:val="22"/>
                <w:b w:val="1"/>
                <w:bCs w:val="1"/>
                <w:color w:val="auto"/>
              </w:rPr>
              <w:t>Aug. 28,</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2009</w:t>
            </w: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2008</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Cash and short-term investments</w:t>
            </w:r>
          </w:p>
        </w:tc>
        <w:tc>
          <w:tcPr>
            <w:tcW w:w="400" w:type="dxa"/>
            <w:vAlign w:val="bottom"/>
            <w:shd w:val="clear" w:color="auto" w:fill="CCEEFF"/>
          </w:tcPr>
          <w:p>
            <w:pPr>
              <w:jc w:val="right"/>
              <w:ind w:right="172"/>
              <w:spacing w:after="0" w:line="243" w:lineRule="exact"/>
              <w:rPr>
                <w:sz w:val="20"/>
                <w:szCs w:val="20"/>
                <w:color w:val="auto"/>
              </w:rPr>
            </w:pPr>
            <w:r>
              <w:rPr>
                <w:rFonts w:ascii="Arial" w:cs="Arial" w:eastAsia="Arial" w:hAnsi="Arial"/>
                <w:sz w:val="22"/>
                <w:szCs w:val="22"/>
                <w:color w:val="auto"/>
                <w:w w:val="81"/>
              </w:rPr>
              <w:t>$</w:t>
            </w:r>
          </w:p>
        </w:tc>
        <w:tc>
          <w:tcPr>
            <w:tcW w:w="118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rPr>
              <w:t>932</w:t>
            </w:r>
          </w:p>
        </w:tc>
        <w:tc>
          <w:tcPr>
            <w:tcW w:w="120" w:type="dxa"/>
            <w:vAlign w:val="bottom"/>
            <w:shd w:val="clear" w:color="auto" w:fill="CCEEFF"/>
          </w:tcPr>
          <w:p>
            <w:pPr>
              <w:jc w:val="right"/>
              <w:spacing w:after="0"/>
              <w:rPr>
                <w:sz w:val="20"/>
                <w:szCs w:val="20"/>
                <w:color w:val="auto"/>
              </w:rPr>
            </w:pPr>
            <w:r>
              <w:rPr>
                <w:rFonts w:ascii="Arial" w:cs="Arial" w:eastAsia="Arial" w:hAnsi="Arial"/>
                <w:sz w:val="19"/>
                <w:szCs w:val="19"/>
                <w:color w:val="auto"/>
                <w:w w:val="75"/>
              </w:rPr>
              <w:t>$</w:t>
            </w: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1,028</w:t>
            </w:r>
          </w:p>
        </w:tc>
        <w:tc>
          <w:tcPr>
            <w:tcW w:w="1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9"/>
                <w:szCs w:val="19"/>
                <w:color w:val="auto"/>
                <w:w w:val="75"/>
              </w:rPr>
              <w:t>$</w:t>
            </w: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1,362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0" w:type="dxa"/>
            <w:vAlign w:val="bottom"/>
          </w:tcPr>
          <w:p>
            <w:pPr>
              <w:spacing w:after="0" w:line="243" w:lineRule="exact"/>
              <w:rPr>
                <w:sz w:val="20"/>
                <w:szCs w:val="20"/>
                <w:color w:val="auto"/>
              </w:rPr>
            </w:pPr>
            <w:r>
              <w:rPr>
                <w:rFonts w:ascii="Arial" w:cs="Arial" w:eastAsia="Arial" w:hAnsi="Arial"/>
                <w:sz w:val="22"/>
                <w:szCs w:val="22"/>
                <w:color w:val="auto"/>
              </w:rPr>
              <w:t>Receivables</w:t>
            </w:r>
          </w:p>
        </w:tc>
        <w:tc>
          <w:tcPr>
            <w:tcW w:w="400" w:type="dxa"/>
            <w:vAlign w:val="bottom"/>
          </w:tcPr>
          <w:p>
            <w:pPr>
              <w:spacing w:after="0"/>
              <w:rPr>
                <w:sz w:val="21"/>
                <w:szCs w:val="21"/>
                <w:color w:val="auto"/>
              </w:rPr>
            </w:pPr>
          </w:p>
        </w:tc>
        <w:tc>
          <w:tcPr>
            <w:tcW w:w="118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654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1,031</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1,032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Inventories (1)</w:t>
            </w:r>
          </w:p>
        </w:tc>
        <w:tc>
          <w:tcPr>
            <w:tcW w:w="4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rPr>
              <w:t>859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883</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1,291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0" w:type="dxa"/>
            <w:vAlign w:val="bottom"/>
          </w:tcPr>
          <w:p>
            <w:pPr>
              <w:spacing w:after="0" w:line="243" w:lineRule="exact"/>
              <w:rPr>
                <w:sz w:val="20"/>
                <w:szCs w:val="20"/>
                <w:color w:val="auto"/>
              </w:rPr>
            </w:pPr>
            <w:r>
              <w:rPr>
                <w:rFonts w:ascii="Arial" w:cs="Arial" w:eastAsia="Arial" w:hAnsi="Arial"/>
                <w:sz w:val="22"/>
                <w:szCs w:val="22"/>
                <w:color w:val="auto"/>
              </w:rPr>
              <w:t>Total current assets</w:t>
            </w:r>
          </w:p>
        </w:tc>
        <w:tc>
          <w:tcPr>
            <w:tcW w:w="400" w:type="dxa"/>
            <w:vAlign w:val="bottom"/>
          </w:tcPr>
          <w:p>
            <w:pPr>
              <w:spacing w:after="0"/>
              <w:rPr>
                <w:sz w:val="21"/>
                <w:szCs w:val="21"/>
                <w:color w:val="auto"/>
              </w:rPr>
            </w:pPr>
          </w:p>
        </w:tc>
        <w:tc>
          <w:tcPr>
            <w:tcW w:w="118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2,523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3,037</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3,779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Property, plant and equipment, net</w:t>
            </w:r>
          </w:p>
        </w:tc>
        <w:tc>
          <w:tcPr>
            <w:tcW w:w="4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rPr>
              <w:t>7,910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8,460</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8,811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0" w:type="dxa"/>
            <w:vAlign w:val="bottom"/>
          </w:tcPr>
          <w:p>
            <w:pPr>
              <w:spacing w:after="0" w:line="243" w:lineRule="exact"/>
              <w:rPr>
                <w:sz w:val="20"/>
                <w:szCs w:val="20"/>
                <w:color w:val="auto"/>
              </w:rPr>
            </w:pPr>
            <w:r>
              <w:rPr>
                <w:rFonts w:ascii="Arial" w:cs="Arial" w:eastAsia="Arial" w:hAnsi="Arial"/>
                <w:sz w:val="22"/>
                <w:szCs w:val="22"/>
                <w:color w:val="auto"/>
              </w:rPr>
              <w:t>Total assets (6)</w:t>
            </w:r>
          </w:p>
        </w:tc>
        <w:tc>
          <w:tcPr>
            <w:tcW w:w="400" w:type="dxa"/>
            <w:vAlign w:val="bottom"/>
          </w:tcPr>
          <w:p>
            <w:pPr>
              <w:spacing w:after="0"/>
              <w:rPr>
                <w:sz w:val="21"/>
                <w:szCs w:val="21"/>
                <w:color w:val="auto"/>
              </w:rPr>
            </w:pPr>
          </w:p>
        </w:tc>
        <w:tc>
          <w:tcPr>
            <w:tcW w:w="118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11,526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12,676</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13,430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800" w:type="dxa"/>
            <w:vAlign w:val="bottom"/>
          </w:tcPr>
          <w:p>
            <w:pPr>
              <w:spacing w:after="0" w:line="243" w:lineRule="exact"/>
              <w:rPr>
                <w:sz w:val="20"/>
                <w:szCs w:val="20"/>
                <w:color w:val="auto"/>
              </w:rPr>
            </w:pPr>
            <w:r>
              <w:rPr>
                <w:rFonts w:ascii="Arial" w:cs="Arial" w:eastAsia="Arial" w:hAnsi="Arial"/>
                <w:sz w:val="22"/>
                <w:szCs w:val="22"/>
                <w:color w:val="auto"/>
              </w:rPr>
              <w:t>Accounts payable and accrued expenses</w:t>
            </w:r>
          </w:p>
        </w:tc>
        <w:tc>
          <w:tcPr>
            <w:tcW w:w="400" w:type="dxa"/>
            <w:vAlign w:val="bottom"/>
          </w:tcPr>
          <w:p>
            <w:pPr>
              <w:spacing w:after="0"/>
              <w:rPr>
                <w:sz w:val="21"/>
                <w:szCs w:val="21"/>
                <w:color w:val="auto"/>
              </w:rPr>
            </w:pPr>
          </w:p>
        </w:tc>
        <w:tc>
          <w:tcPr>
            <w:tcW w:w="118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950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943</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1,111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Current portion of long-term debt</w:t>
            </w:r>
          </w:p>
        </w:tc>
        <w:tc>
          <w:tcPr>
            <w:tcW w:w="4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rPr>
              <w:t>353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343</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275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0" w:type="dxa"/>
            <w:vAlign w:val="bottom"/>
          </w:tcPr>
          <w:p>
            <w:pPr>
              <w:spacing w:after="0" w:line="243" w:lineRule="exact"/>
              <w:rPr>
                <w:sz w:val="20"/>
                <w:szCs w:val="20"/>
                <w:color w:val="auto"/>
              </w:rPr>
            </w:pPr>
            <w:r>
              <w:rPr>
                <w:rFonts w:ascii="Arial" w:cs="Arial" w:eastAsia="Arial" w:hAnsi="Arial"/>
                <w:sz w:val="22"/>
                <w:szCs w:val="22"/>
                <w:color w:val="auto"/>
              </w:rPr>
              <w:t>Total current liabilities</w:t>
            </w:r>
          </w:p>
        </w:tc>
        <w:tc>
          <w:tcPr>
            <w:tcW w:w="400" w:type="dxa"/>
            <w:vAlign w:val="bottom"/>
          </w:tcPr>
          <w:p>
            <w:pPr>
              <w:spacing w:after="0"/>
              <w:rPr>
                <w:sz w:val="21"/>
                <w:szCs w:val="21"/>
                <w:color w:val="auto"/>
              </w:rPr>
            </w:pPr>
          </w:p>
        </w:tc>
        <w:tc>
          <w:tcPr>
            <w:tcW w:w="118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1,637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1,635</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1,598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Long-term debt</w:t>
            </w:r>
          </w:p>
        </w:tc>
        <w:tc>
          <w:tcPr>
            <w:tcW w:w="4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rPr>
              <w:t>2,542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2,523</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2,451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0" w:type="dxa"/>
            <w:vAlign w:val="bottom"/>
          </w:tcPr>
          <w:p>
            <w:pPr>
              <w:spacing w:after="0" w:line="243" w:lineRule="exact"/>
              <w:rPr>
                <w:sz w:val="20"/>
                <w:szCs w:val="20"/>
                <w:color w:val="auto"/>
              </w:rPr>
            </w:pPr>
            <w:r>
              <w:rPr>
                <w:rFonts w:ascii="Arial" w:cs="Arial" w:eastAsia="Arial" w:hAnsi="Arial"/>
                <w:sz w:val="22"/>
                <w:szCs w:val="22"/>
                <w:color w:val="auto"/>
              </w:rPr>
              <w:t>Noncontrolling interests in subsidiaries</w:t>
            </w:r>
          </w:p>
        </w:tc>
        <w:tc>
          <w:tcPr>
            <w:tcW w:w="400" w:type="dxa"/>
            <w:vAlign w:val="bottom"/>
          </w:tcPr>
          <w:p>
            <w:pPr>
              <w:spacing w:after="0"/>
              <w:rPr>
                <w:sz w:val="21"/>
                <w:szCs w:val="21"/>
                <w:color w:val="auto"/>
              </w:rPr>
            </w:pPr>
          </w:p>
        </w:tc>
        <w:tc>
          <w:tcPr>
            <w:tcW w:w="1180" w:type="dxa"/>
            <w:vAlign w:val="bottom"/>
            <w:gridSpan w:val="2"/>
          </w:tcPr>
          <w:p>
            <w:pPr>
              <w:jc w:val="right"/>
              <w:ind w:right="220"/>
              <w:spacing w:after="0" w:line="243" w:lineRule="exact"/>
              <w:rPr>
                <w:sz w:val="20"/>
                <w:szCs w:val="20"/>
                <w:color w:val="auto"/>
              </w:rPr>
            </w:pPr>
            <w:r>
              <w:rPr>
                <w:rFonts w:ascii="Arial" w:cs="Arial" w:eastAsia="Arial" w:hAnsi="Arial"/>
                <w:sz w:val="22"/>
                <w:szCs w:val="22"/>
                <w:color w:val="auto"/>
              </w:rPr>
              <w:t>2,344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2,702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2,865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Total shareholders’ equity</w:t>
            </w:r>
          </w:p>
        </w:tc>
        <w:tc>
          <w:tcPr>
            <w:tcW w:w="4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rPr>
              <w:t>4,742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5,484</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6,178</w:t>
            </w: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gridSpan w:val="7"/>
          </w:tcPr>
          <w:p>
            <w:pPr>
              <w:jc w:val="right"/>
              <w:ind w:right="640"/>
              <w:spacing w:after="0"/>
              <w:rPr>
                <w:sz w:val="20"/>
                <w:szCs w:val="20"/>
                <w:color w:val="auto"/>
              </w:rPr>
            </w:pPr>
            <w:r>
              <w:rPr>
                <w:rFonts w:ascii="Arial" w:cs="Arial" w:eastAsia="Arial" w:hAnsi="Arial"/>
                <w:sz w:val="22"/>
                <w:szCs w:val="22"/>
                <w:b w:val="1"/>
                <w:bCs w:val="1"/>
                <w:color w:val="auto"/>
              </w:rPr>
              <w:t>Six Months 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3"/>
          </w:tcPr>
          <w:p>
            <w:pPr>
              <w:jc w:val="right"/>
              <w:ind w:right="180"/>
              <w:spacing w:after="0" w:line="243" w:lineRule="exact"/>
              <w:rPr>
                <w:sz w:val="20"/>
                <w:szCs w:val="20"/>
                <w:color w:val="auto"/>
              </w:rPr>
            </w:pPr>
            <w:r>
              <w:rPr>
                <w:rFonts w:ascii="Arial" w:cs="Arial" w:eastAsia="Arial" w:hAnsi="Arial"/>
                <w:sz w:val="22"/>
                <w:szCs w:val="22"/>
                <w:b w:val="1"/>
                <w:bCs w:val="1"/>
                <w:color w:val="auto"/>
              </w:rPr>
              <w:t>Mar. 5,</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gridSpan w:val="2"/>
          </w:tcPr>
          <w:p>
            <w:pPr>
              <w:jc w:val="right"/>
              <w:ind w:right="100"/>
              <w:spacing w:after="0" w:line="243" w:lineRule="exact"/>
              <w:rPr>
                <w:sz w:val="20"/>
                <w:szCs w:val="20"/>
                <w:color w:val="auto"/>
              </w:rPr>
            </w:pPr>
            <w:r>
              <w:rPr>
                <w:rFonts w:ascii="Arial" w:cs="Arial" w:eastAsia="Arial" w:hAnsi="Arial"/>
                <w:sz w:val="22"/>
                <w:szCs w:val="22"/>
                <w:b w:val="1"/>
                <w:bCs w:val="1"/>
                <w:color w:val="auto"/>
              </w:rPr>
              <w:t>Feb. 28,</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22"/>
                <w:szCs w:val="22"/>
                <w:b w:val="1"/>
                <w:bCs w:val="1"/>
                <w:color w:val="auto"/>
              </w:rPr>
              <w:t>2009</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2"/>
                <w:szCs w:val="22"/>
                <w:b w:val="1"/>
                <w:bCs w:val="1"/>
                <w:color w:val="auto"/>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cash provided by operating activities</w:t>
            </w: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80"/>
              <w:spacing w:after="0" w:line="243" w:lineRule="exact"/>
              <w:rPr>
                <w:sz w:val="20"/>
                <w:szCs w:val="20"/>
                <w:color w:val="auto"/>
              </w:rPr>
            </w:pPr>
            <w:r>
              <w:rPr>
                <w:rFonts w:ascii="Arial" w:cs="Arial" w:eastAsia="Arial" w:hAnsi="Arial"/>
                <w:sz w:val="22"/>
                <w:szCs w:val="22"/>
                <w:color w:val="auto"/>
              </w:rPr>
              <w:t>$</w:t>
            </w:r>
          </w:p>
        </w:tc>
        <w:tc>
          <w:tcPr>
            <w:tcW w:w="1240" w:type="dxa"/>
            <w:vAlign w:val="bottom"/>
            <w:gridSpan w:val="3"/>
            <w:shd w:val="clear" w:color="auto" w:fill="CCEEFF"/>
          </w:tcPr>
          <w:p>
            <w:pPr>
              <w:jc w:val="right"/>
              <w:ind w:right="180"/>
              <w:spacing w:after="0" w:line="243" w:lineRule="exact"/>
              <w:rPr>
                <w:sz w:val="20"/>
                <w:szCs w:val="20"/>
                <w:color w:val="auto"/>
              </w:rPr>
            </w:pPr>
            <w:r>
              <w:rPr>
                <w:rFonts w:ascii="Arial" w:cs="Arial" w:eastAsia="Arial" w:hAnsi="Arial"/>
                <w:sz w:val="22"/>
                <w:szCs w:val="22"/>
                <w:color w:val="auto"/>
              </w:rPr>
              <w:t>698</w:t>
            </w:r>
          </w:p>
        </w:tc>
        <w:tc>
          <w:tcPr>
            <w:tcW w:w="360" w:type="dxa"/>
            <w:vAlign w:val="bottom"/>
            <w:gridSpan w:val="2"/>
            <w:shd w:val="clear" w:color="auto" w:fill="CCEEFF"/>
          </w:tcPr>
          <w:p>
            <w:pPr>
              <w:jc w:val="right"/>
              <w:ind w:right="220"/>
              <w:spacing w:after="0" w:line="243" w:lineRule="exact"/>
              <w:rPr>
                <w:sz w:val="20"/>
                <w:szCs w:val="20"/>
                <w:color w:val="auto"/>
              </w:rPr>
            </w:pPr>
            <w:r>
              <w:rPr>
                <w:rFonts w:ascii="Arial" w:cs="Arial" w:eastAsia="Arial" w:hAnsi="Arial"/>
                <w:sz w:val="22"/>
                <w:szCs w:val="22"/>
                <w:color w:val="auto"/>
                <w:w w:val="97"/>
              </w:rPr>
              <w:t>$</w:t>
            </w: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558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0" w:type="dxa"/>
            <w:vAlign w:val="bottom"/>
          </w:tcPr>
          <w:p>
            <w:pPr>
              <w:spacing w:after="0" w:line="243" w:lineRule="exact"/>
              <w:rPr>
                <w:sz w:val="20"/>
                <w:szCs w:val="20"/>
                <w:color w:val="auto"/>
              </w:rPr>
            </w:pPr>
            <w:r>
              <w:rPr>
                <w:rFonts w:ascii="Arial" w:cs="Arial" w:eastAsia="Arial" w:hAnsi="Arial"/>
                <w:sz w:val="22"/>
                <w:szCs w:val="22"/>
                <w:color w:val="auto"/>
              </w:rPr>
              <w:t>Net cash used for investing activities</w:t>
            </w: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3"/>
          </w:tcPr>
          <w:p>
            <w:pPr>
              <w:jc w:val="right"/>
              <w:ind w:right="120"/>
              <w:spacing w:after="0" w:line="243" w:lineRule="exact"/>
              <w:rPr>
                <w:sz w:val="20"/>
                <w:szCs w:val="20"/>
                <w:color w:val="auto"/>
              </w:rPr>
            </w:pPr>
            <w:r>
              <w:rPr>
                <w:rFonts w:ascii="Arial" w:cs="Arial" w:eastAsia="Arial" w:hAnsi="Arial"/>
                <w:sz w:val="22"/>
                <w:szCs w:val="22"/>
                <w:color w:val="auto"/>
              </w:rPr>
              <w:t>(618)</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(925)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cash used for financing activities</w:t>
            </w: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120"/>
              <w:spacing w:after="0" w:line="243" w:lineRule="exact"/>
              <w:rPr>
                <w:sz w:val="20"/>
                <w:szCs w:val="20"/>
                <w:color w:val="auto"/>
              </w:rPr>
            </w:pPr>
            <w:r>
              <w:rPr>
                <w:rFonts w:ascii="Arial" w:cs="Arial" w:eastAsia="Arial" w:hAnsi="Arial"/>
                <w:sz w:val="22"/>
                <w:szCs w:val="22"/>
                <w:color w:val="auto"/>
              </w:rPr>
              <w:t>(391)</w:t>
            </w: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40"/>
              <w:spacing w:after="0" w:line="243" w:lineRule="exact"/>
              <w:rPr>
                <w:sz w:val="20"/>
                <w:szCs w:val="20"/>
                <w:color w:val="auto"/>
              </w:rPr>
            </w:pPr>
            <w:r>
              <w:rPr>
                <w:rFonts w:ascii="Arial" w:cs="Arial" w:eastAsia="Arial" w:hAnsi="Arial"/>
                <w:sz w:val="22"/>
                <w:szCs w:val="22"/>
                <w:color w:val="auto"/>
              </w:rPr>
              <w:t>(117)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8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Depreciation and amortization</w:t>
            </w: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180"/>
              <w:spacing w:after="0" w:line="243" w:lineRule="exact"/>
              <w:rPr>
                <w:sz w:val="20"/>
                <w:szCs w:val="20"/>
                <w:color w:val="auto"/>
              </w:rPr>
            </w:pPr>
            <w:r>
              <w:rPr>
                <w:rFonts w:ascii="Arial" w:cs="Arial" w:eastAsia="Arial" w:hAnsi="Arial"/>
                <w:sz w:val="22"/>
                <w:szCs w:val="22"/>
                <w:color w:val="auto"/>
              </w:rPr>
              <w:t>1,134</w:t>
            </w: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1,015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0" w:type="dxa"/>
            <w:vAlign w:val="bottom"/>
          </w:tcPr>
          <w:p>
            <w:pPr>
              <w:spacing w:after="0" w:line="243" w:lineRule="exact"/>
              <w:rPr>
                <w:sz w:val="20"/>
                <w:szCs w:val="20"/>
                <w:color w:val="auto"/>
              </w:rPr>
            </w:pPr>
            <w:r>
              <w:rPr>
                <w:rFonts w:ascii="Arial" w:cs="Arial" w:eastAsia="Arial" w:hAnsi="Arial"/>
                <w:sz w:val="22"/>
                <w:szCs w:val="22"/>
                <w:color w:val="auto"/>
              </w:rPr>
              <w:t>Expenditures for property, plant and equipment</w:t>
            </w: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3"/>
          </w:tcPr>
          <w:p>
            <w:pPr>
              <w:jc w:val="right"/>
              <w:ind w:right="120"/>
              <w:spacing w:after="0" w:line="243" w:lineRule="exact"/>
              <w:rPr>
                <w:sz w:val="20"/>
                <w:szCs w:val="20"/>
                <w:color w:val="auto"/>
              </w:rPr>
            </w:pPr>
            <w:r>
              <w:rPr>
                <w:rFonts w:ascii="Arial" w:cs="Arial" w:eastAsia="Arial" w:hAnsi="Arial"/>
                <w:sz w:val="22"/>
                <w:szCs w:val="22"/>
                <w:color w:val="auto"/>
              </w:rPr>
              <w:t>(375)</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(1,306)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Cash (paid to) received from noncontrolling interests</w:t>
            </w: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120"/>
              <w:spacing w:after="0" w:line="243" w:lineRule="exact"/>
              <w:rPr>
                <w:sz w:val="20"/>
                <w:szCs w:val="20"/>
                <w:color w:val="auto"/>
              </w:rPr>
            </w:pPr>
            <w:r>
              <w:rPr>
                <w:rFonts w:ascii="Arial" w:cs="Arial" w:eastAsia="Arial" w:hAnsi="Arial"/>
                <w:sz w:val="22"/>
                <w:szCs w:val="22"/>
                <w:color w:val="auto"/>
              </w:rPr>
              <w:t>(444)</w:t>
            </w: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192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0" w:type="dxa"/>
            <w:vAlign w:val="bottom"/>
          </w:tcPr>
          <w:p>
            <w:pPr>
              <w:spacing w:after="0" w:line="243" w:lineRule="exact"/>
              <w:rPr>
                <w:sz w:val="20"/>
                <w:szCs w:val="20"/>
                <w:color w:val="auto"/>
              </w:rPr>
            </w:pPr>
            <w:r>
              <w:rPr>
                <w:rFonts w:ascii="Arial" w:cs="Arial" w:eastAsia="Arial" w:hAnsi="Arial"/>
                <w:sz w:val="22"/>
                <w:szCs w:val="22"/>
                <w:color w:val="auto"/>
              </w:rPr>
              <w:t>Payments on equipment purchase contracts</w:t>
            </w: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3"/>
          </w:tcPr>
          <w:p>
            <w:pPr>
              <w:jc w:val="right"/>
              <w:ind w:right="120"/>
              <w:spacing w:after="0" w:line="243" w:lineRule="exact"/>
              <w:rPr>
                <w:sz w:val="20"/>
                <w:szCs w:val="20"/>
                <w:color w:val="auto"/>
              </w:rPr>
            </w:pPr>
            <w:r>
              <w:rPr>
                <w:rFonts w:ascii="Arial" w:cs="Arial" w:eastAsia="Arial" w:hAnsi="Arial"/>
                <w:sz w:val="22"/>
                <w:szCs w:val="22"/>
                <w:color w:val="auto"/>
              </w:rPr>
              <w:t>(98)</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gridSpan w:val="2"/>
          </w:tcPr>
          <w:p>
            <w:pPr>
              <w:jc w:val="right"/>
              <w:ind w:right="40"/>
              <w:spacing w:after="0" w:line="243" w:lineRule="exact"/>
              <w:rPr>
                <w:sz w:val="20"/>
                <w:szCs w:val="20"/>
                <w:color w:val="auto"/>
              </w:rPr>
            </w:pPr>
            <w:r>
              <w:rPr>
                <w:rFonts w:ascii="Arial" w:cs="Arial" w:eastAsia="Arial" w:hAnsi="Arial"/>
                <w:sz w:val="22"/>
                <w:szCs w:val="22"/>
                <w:color w:val="auto"/>
              </w:rPr>
              <w:t>(274)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800" w:type="dxa"/>
            <w:vAlign w:val="bottom"/>
          </w:tcPr>
          <w:p>
            <w:pPr>
              <w:spacing w:after="0" w:line="243" w:lineRule="exact"/>
              <w:rPr>
                <w:sz w:val="20"/>
                <w:szCs w:val="20"/>
                <w:color w:val="auto"/>
              </w:rPr>
            </w:pPr>
            <w:r>
              <w:rPr>
                <w:rFonts w:ascii="Arial" w:cs="Arial" w:eastAsia="Arial" w:hAnsi="Arial"/>
                <w:sz w:val="22"/>
                <w:szCs w:val="22"/>
                <w:color w:val="auto"/>
              </w:rPr>
              <w:t>Noncash equipment acquisitions on contracts</w:t>
            </w: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payable and capital leases</w:t>
            </w: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jc w:val="right"/>
              <w:ind w:right="180"/>
              <w:spacing w:after="0" w:line="243" w:lineRule="exact"/>
              <w:rPr>
                <w:sz w:val="20"/>
                <w:szCs w:val="20"/>
                <w:color w:val="auto"/>
              </w:rPr>
            </w:pPr>
            <w:r>
              <w:rPr>
                <w:rFonts w:ascii="Arial" w:cs="Arial" w:eastAsia="Arial" w:hAnsi="Arial"/>
                <w:sz w:val="22"/>
                <w:szCs w:val="22"/>
                <w:color w:val="auto"/>
              </w:rPr>
              <w:t>175</w:t>
            </w: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297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ind w:right="1040"/>
        <w:spacing w:after="0"/>
        <w:rPr>
          <w:sz w:val="20"/>
          <w:szCs w:val="20"/>
          <w:color w:val="auto"/>
        </w:rPr>
      </w:pPr>
      <w:r>
        <w:rPr>
          <w:rFonts w:ascii="Arial" w:cs="Arial" w:eastAsia="Arial" w:hAnsi="Arial"/>
          <w:sz w:val="22"/>
          <w:szCs w:val="22"/>
          <w:color w:val="auto"/>
        </w:rPr>
        <w:t>The company’s second quarters of fiscal 2009 and fiscal 2008 included 13 weeks, while the company’s first quarter of fiscal 2009 included 14 weeks. The company’s first six months of fiscal 2009 and fiscal 2008 included 27 weeks and 26 weeks, respectively.</w:t>
      </w:r>
    </w:p>
    <w:p>
      <w:pPr>
        <w:spacing w:after="0" w:line="213" w:lineRule="exact"/>
        <w:rPr>
          <w:sz w:val="20"/>
          <w:szCs w:val="20"/>
          <w:color w:val="auto"/>
        </w:rPr>
      </w:pPr>
    </w:p>
    <w:p>
      <w:pPr>
        <w:jc w:val="both"/>
        <w:ind w:left="380" w:hanging="367"/>
        <w:spacing w:after="0" w:line="297" w:lineRule="auto"/>
        <w:tabs>
          <w:tab w:leader="none" w:pos="380" w:val="left"/>
        </w:tabs>
        <w:numPr>
          <w:ilvl w:val="0"/>
          <w:numId w:val="1"/>
        </w:numPr>
        <w:rPr>
          <w:rFonts w:ascii="Arial" w:cs="Arial" w:eastAsia="Arial" w:hAnsi="Arial"/>
          <w:sz w:val="19"/>
          <w:szCs w:val="19"/>
          <w:color w:val="auto"/>
        </w:rPr>
      </w:pPr>
      <w:r>
        <w:rPr>
          <w:rFonts w:ascii="Arial" w:cs="Arial" w:eastAsia="Arial" w:hAnsi="Arial"/>
          <w:sz w:val="19"/>
          <w:szCs w:val="19"/>
          <w:color w:val="auto"/>
        </w:rPr>
        <w:t>The company’s results of operations for the second and first quarters of fiscal 2009 and second quarter of fiscal 2008 include charges of $234 million, $369 million and $15 million, respectively, to write down the carrying value of work in process and finished goods inventories of memory products (both DRAM and NAND Flash) to their estimated market values.</w:t>
      </w:r>
    </w:p>
    <w:p>
      <w:pPr>
        <w:spacing w:after="0" w:line="161" w:lineRule="exact"/>
        <w:rPr>
          <w:rFonts w:ascii="Arial" w:cs="Arial" w:eastAsia="Arial" w:hAnsi="Arial"/>
          <w:sz w:val="19"/>
          <w:szCs w:val="19"/>
          <w:color w:val="auto"/>
        </w:rPr>
      </w:pPr>
    </w:p>
    <w:p>
      <w:pPr>
        <w:jc w:val="both"/>
        <w:ind w:left="380" w:hanging="367"/>
        <w:spacing w:after="0" w:line="236" w:lineRule="auto"/>
        <w:tabs>
          <w:tab w:leader="none" w:pos="380" w:val="left"/>
        </w:tabs>
        <w:numPr>
          <w:ilvl w:val="0"/>
          <w:numId w:val="1"/>
        </w:numPr>
        <w:rPr>
          <w:rFonts w:ascii="Arial" w:cs="Arial" w:eastAsia="Arial" w:hAnsi="Arial"/>
          <w:sz w:val="22"/>
          <w:szCs w:val="22"/>
          <w:color w:val="auto"/>
        </w:rPr>
      </w:pPr>
      <w:r>
        <w:rPr>
          <w:rFonts w:ascii="Arial" w:cs="Arial" w:eastAsia="Arial" w:hAnsi="Arial"/>
          <w:sz w:val="22"/>
          <w:szCs w:val="22"/>
          <w:color w:val="auto"/>
        </w:rPr>
        <w:t>In the second quarter of fiscal 2009, in accordance with FASB Statement No. 142, “Goodwill and Other Intangible Assets,” the company performed a test to determine whether its goodwill associated with its Imaging segment was impaired. Based on the results of the test, the company wrote off all of the $58 million of goodwill associated with its Imaging segment as of March 5, 2009. Additionally, in the second quarter of fiscal 2008, the company wrote off all of the $463 million of goodwill associated with its Memory segment as of February 28,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216535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8" w:name="page9"/>
    <w:bookmarkEnd w:id="8"/>
    <w:p>
      <w:pPr>
        <w:ind w:left="292" w:right="400" w:hanging="292"/>
        <w:spacing w:after="0" w:line="279" w:lineRule="auto"/>
        <w:tabs>
          <w:tab w:leader="none" w:pos="292" w:val="left"/>
        </w:tabs>
        <w:numPr>
          <w:ilvl w:val="0"/>
          <w:numId w:val="2"/>
        </w:numPr>
        <w:rPr>
          <w:rFonts w:ascii="Arial" w:cs="Arial" w:eastAsia="Arial" w:hAnsi="Arial"/>
          <w:sz w:val="19"/>
          <w:szCs w:val="19"/>
          <w:color w:val="auto"/>
        </w:rPr>
      </w:pPr>
      <w:r>
        <w:rPr>
          <w:rFonts w:ascii="Arial" w:cs="Arial" w:eastAsia="Arial" w:hAnsi="Arial"/>
          <w:sz w:val="19"/>
          <w:szCs w:val="19"/>
          <w:color w:val="auto"/>
        </w:rPr>
        <w:t>In the second quarter of fiscal 2009, in response to a sustained severe downturn in the semiconductor memory industry and global economic conditions, the company announced that it would phase out all remaining 200mm wafer manufacturing operations at its Boise, Idaho, facility. The 200mm wafer manufacturing phase-out is expected to reduce employment at the company’s Boise facility by as many as 2,000 positions by the end of fiscal 2009. As a result of these actions, the company recorded a restructure charge of $105 million in the second quarter of fiscal 2009, including $87 million of equipment impairment charges and $17 million of severance and other employee related costs.</w:t>
      </w:r>
    </w:p>
    <w:p>
      <w:pPr>
        <w:spacing w:after="0" w:line="178" w:lineRule="exact"/>
        <w:rPr>
          <w:sz w:val="20"/>
          <w:szCs w:val="20"/>
          <w:color w:val="auto"/>
        </w:rPr>
      </w:pPr>
    </w:p>
    <w:p>
      <w:pPr>
        <w:ind w:left="252"/>
        <w:spacing w:after="0" w:line="236" w:lineRule="auto"/>
        <w:rPr>
          <w:sz w:val="20"/>
          <w:szCs w:val="20"/>
          <w:color w:val="auto"/>
        </w:rPr>
      </w:pPr>
      <w:r>
        <w:rPr>
          <w:rFonts w:ascii="Arial" w:cs="Arial" w:eastAsia="Arial" w:hAnsi="Arial"/>
          <w:sz w:val="22"/>
          <w:szCs w:val="22"/>
          <w:color w:val="auto"/>
        </w:rPr>
        <w:t>In the first quarter of fiscal 2009, the company announced a restructuring of its memory operations. As part of the restructure, IM Flash Technologies (“IMFT”), a joint venture between the company and Intel Corporation (“Intel”), terminated its agreement with the company to supply NAND Flash memory from the company’s Boise facility, reducing IMFT’s NAND Flash production by approximately 35,000 200mm wafers per month. As a result of these actions, the company recorded a net $66 million credit to restructure in the first quarter of fiscal 2009.</w:t>
      </w:r>
    </w:p>
    <w:p>
      <w:pPr>
        <w:spacing w:after="0" w:line="215" w:lineRule="exact"/>
        <w:rPr>
          <w:sz w:val="20"/>
          <w:szCs w:val="20"/>
          <w:color w:val="auto"/>
        </w:rPr>
      </w:pPr>
    </w:p>
    <w:p>
      <w:pPr>
        <w:ind w:left="312" w:right="140" w:hanging="312"/>
        <w:spacing w:after="0" w:line="236" w:lineRule="auto"/>
        <w:tabs>
          <w:tab w:leader="none" w:pos="312" w:val="left"/>
        </w:tabs>
        <w:numPr>
          <w:ilvl w:val="0"/>
          <w:numId w:val="3"/>
        </w:numPr>
        <w:rPr>
          <w:rFonts w:ascii="Arial" w:cs="Arial" w:eastAsia="Arial" w:hAnsi="Arial"/>
          <w:sz w:val="22"/>
          <w:szCs w:val="22"/>
          <w:color w:val="auto"/>
        </w:rPr>
      </w:pPr>
      <w:r>
        <w:rPr>
          <w:rFonts w:ascii="Arial" w:cs="Arial" w:eastAsia="Arial" w:hAnsi="Arial"/>
          <w:sz w:val="22"/>
          <w:szCs w:val="22"/>
          <w:color w:val="auto"/>
        </w:rPr>
        <w:t>Other operating (income) expense for the second quarter and first six months of fiscal 2009 include losses of $29 million and $43 million, respectively, on disposals of semiconductor equipment. Other operating (income) expense for the second quarter and first six months of fiscal 2008 includes gains of $47 million and $57 million, respectively, on disposals of semiconductor equipment and a gain of $38 million in receipts from the U.S. government in connection with anti-dumping tariffs, received in the first quarter of fiscal 2008.</w:t>
      </w:r>
    </w:p>
    <w:p>
      <w:pPr>
        <w:spacing w:after="0" w:line="214" w:lineRule="exact"/>
        <w:rPr>
          <w:rFonts w:ascii="Arial" w:cs="Arial" w:eastAsia="Arial" w:hAnsi="Arial"/>
          <w:sz w:val="22"/>
          <w:szCs w:val="22"/>
          <w:color w:val="auto"/>
        </w:rPr>
      </w:pPr>
    </w:p>
    <w:p>
      <w:pPr>
        <w:ind w:left="312" w:right="420" w:hanging="312"/>
        <w:spacing w:after="0" w:line="297" w:lineRule="auto"/>
        <w:tabs>
          <w:tab w:leader="none" w:pos="312" w:val="left"/>
        </w:tabs>
        <w:numPr>
          <w:ilvl w:val="0"/>
          <w:numId w:val="3"/>
        </w:numPr>
        <w:rPr>
          <w:rFonts w:ascii="Arial" w:cs="Arial" w:eastAsia="Arial" w:hAnsi="Arial"/>
          <w:sz w:val="19"/>
          <w:szCs w:val="19"/>
          <w:color w:val="auto"/>
        </w:rPr>
      </w:pPr>
      <w:r>
        <w:rPr>
          <w:rFonts w:ascii="Arial" w:cs="Arial" w:eastAsia="Arial" w:hAnsi="Arial"/>
          <w:sz w:val="19"/>
          <w:szCs w:val="19"/>
          <w:color w:val="auto"/>
        </w:rPr>
        <w:t>Income taxes for fiscal 2009 and 2008 primarily reflect taxes on the company’s non-U.S. operations and U.S. alternative minimum tax. The company has a valuation allowance for its net deferred tax asset associated with its U.S. operations. Tax attributable to U.S. operations in fiscal 2009 and 2008 were substantially offset by changes in the valuation allowance.</w:t>
      </w:r>
    </w:p>
    <w:p>
      <w:pPr>
        <w:spacing w:after="0" w:line="161" w:lineRule="exact"/>
        <w:rPr>
          <w:rFonts w:ascii="Arial" w:cs="Arial" w:eastAsia="Arial" w:hAnsi="Arial"/>
          <w:sz w:val="19"/>
          <w:szCs w:val="19"/>
          <w:color w:val="auto"/>
        </w:rPr>
      </w:pPr>
    </w:p>
    <w:p>
      <w:pPr>
        <w:ind w:left="312" w:right="80" w:hanging="312"/>
        <w:spacing w:after="0" w:line="236" w:lineRule="auto"/>
        <w:tabs>
          <w:tab w:leader="none" w:pos="312"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the first quarter of fiscal 2009, the company acquired from Qimonda AG approximately 35.5% of the outstanding common stock of Inotera Memories, Inc. (“Inotera”) in a series of transactions for $398 million. The company’s results of operations for the second quarter of fiscal 2009 include a $56 million net loss on equity method investments for the Company’s share of Inotera’s loss from the acquisition date to December 31, 2008. The carrying value of the company’s investment in Inotera as of March 5, 2009 was $323 million.</w:t>
      </w:r>
    </w:p>
    <w:p>
      <w:pPr>
        <w:spacing w:after="0" w:line="215" w:lineRule="exact"/>
        <w:rPr>
          <w:sz w:val="20"/>
          <w:szCs w:val="20"/>
          <w:color w:val="auto"/>
        </w:rPr>
      </w:pPr>
    </w:p>
    <w:p>
      <w:pPr>
        <w:ind w:left="252"/>
        <w:spacing w:after="0" w:line="234" w:lineRule="auto"/>
        <w:rPr>
          <w:sz w:val="20"/>
          <w:szCs w:val="20"/>
          <w:color w:val="auto"/>
        </w:rPr>
      </w:pPr>
      <w:r>
        <w:rPr>
          <w:rFonts w:ascii="Arial" w:cs="Arial" w:eastAsia="Arial" w:hAnsi="Arial"/>
          <w:sz w:val="22"/>
          <w:szCs w:val="22"/>
          <w:color w:val="auto"/>
        </w:rPr>
        <w:t>In connection with the acquisition, the company entered into a loan agreement with Nan Ya Plastics Corporation (“NPC”), pursuant to which NPC made a loan to the company in the principal amount of $200 million, the proceeds of which were used to pay for a portion of the purchase price of the shares in Inotera. In addition, the company entered into a loan agreement with Inotera, pursuant to which Inotera made a loan to the company in the principal amount of $85 million, the proceeds of which are to be used for general corporate purposes. The loans were recorded at their fair values and reflect an aggregate discount of $31 million from their face amounts. The aggregate discount was reflected as a reduction in the basis of the company’s investment in Inotera.</w:t>
      </w:r>
    </w:p>
    <w:sectPr>
      <w:pgSz w:w="11900" w:h="16838" w:orient="portrait"/>
      <w:cols w:equalWidth="0" w:num="1">
        <w:col w:w="11372"/>
      </w:cols>
      <w:pgMar w:left="248" w:top="36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1)"/>
      <w:numFmt w:val="decimal"/>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2019-12-10T05:00:12Z</dcterms:created>
  <dcterms:modified xsi:type="dcterms:W3CDTF">2019-12-10T05:00:12Z</dcterms:modified>
</cp:coreProperties>
</file>