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6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1" w:lineRule="exact"/>
        <w:rPr>
          <w:sz w:val="24"/>
          <w:szCs w:val="24"/>
          <w:color w:val="auto"/>
        </w:rPr>
      </w:pPr>
    </w:p>
    <w:p>
      <w:pPr>
        <w:ind w:left="360"/>
        <w:spacing w:after="0" w:line="25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-234950</wp:posOffset>
            </wp:positionV>
            <wp:extent cx="129540" cy="12954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540" cy="1295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1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4"/>
        </w:trPr>
        <w:tc>
          <w:tcPr>
            <w:tcW w:w="6260" w:type="dxa"/>
            <w:vAlign w:val="bottom"/>
          </w:tcPr>
          <w:p>
            <w:pPr>
              <w:jc w:val="center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37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17"/>
              <w:spacing w:after="0" w:line="18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5242560</wp:posOffset>
            </wp:positionH>
            <wp:positionV relativeFrom="paragraph">
              <wp:posOffset>-617855</wp:posOffset>
            </wp:positionV>
            <wp:extent cx="57785" cy="6311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3958590</wp:posOffset>
            </wp:positionH>
            <wp:positionV relativeFrom="paragraph">
              <wp:posOffset>-617855</wp:posOffset>
            </wp:positionV>
            <wp:extent cx="57785" cy="6311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-1661795</wp:posOffset>
            </wp:positionH>
            <wp:positionV relativeFrom="paragraph">
              <wp:posOffset>19050</wp:posOffset>
            </wp:positionV>
            <wp:extent cx="6995160" cy="93135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5160" cy="93135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5" w:lineRule="exact"/>
        <w:rPr>
          <w:sz w:val="24"/>
          <w:szCs w:val="24"/>
          <w:color w:val="auto"/>
        </w:rPr>
      </w:pPr>
    </w:p>
    <w:p>
      <w:pPr>
        <w:sectPr>
          <w:pgSz w:w="11900" w:h="16906" w:orient="portrait"/>
          <w:cols w:equalWidth="0" w:num="2">
            <w:col w:w="2220" w:space="380"/>
            <w:col w:w="8480"/>
          </w:cols>
          <w:pgMar w:left="460" w:top="220" w:right="359" w:bottom="0" w:gutter="0" w:footer="0" w:header="0"/>
        </w:sectPr>
      </w:pP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0"/>
          <w:szCs w:val="20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Bokan Michael W</w:t>
        </w:r>
      </w:hyperlink>
    </w:p>
    <w:p>
      <w:pPr>
        <w:spacing w:after="0" w:line="29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8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84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3"/>
              </w:rPr>
              <w:t>(Middle)</w:t>
            </w:r>
          </w:p>
        </w:tc>
      </w:tr>
      <w:tr>
        <w:trPr>
          <w:trHeight w:val="264"/>
        </w:trPr>
        <w:tc>
          <w:tcPr>
            <w:tcW w:w="21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8000 S. FEDERAL WAY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473"/>
        </w:trPr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26"/>
        </w:trPr>
        <w:tc>
          <w:tcPr>
            <w:tcW w:w="8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BOISE</w:t>
            </w:r>
          </w:p>
        </w:tc>
        <w:tc>
          <w:tcPr>
            <w:tcW w:w="12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ID</w:t>
            </w:r>
          </w:p>
        </w:tc>
        <w:tc>
          <w:tcPr>
            <w:tcW w:w="84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83716</w:t>
            </w:r>
          </w:p>
        </w:tc>
      </w:tr>
      <w:tr>
        <w:trPr>
          <w:trHeight w:val="461"/>
        </w:trPr>
        <w:tc>
          <w:tcPr>
            <w:tcW w:w="8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84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3840" w:type="dxa"/>
            <w:vAlign w:val="bottom"/>
            <w:gridSpan w:val="4"/>
          </w:tcPr>
          <w:p>
            <w:pPr>
              <w:ind w:left="60"/>
              <w:spacing w:after="0" w:line="136" w:lineRule="exact"/>
              <w:rPr>
                <w:rFonts w:ascii="Arial" w:cs="Arial" w:eastAsia="Arial" w:hAnsi="Arial"/>
                <w:sz w:val="15"/>
                <w:szCs w:val="15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5"/>
                  <w:szCs w:val="15"/>
                  <w:color w:val="0000EE"/>
                </w:rPr>
                <w:t xml:space="preserve">MICRON TECHNOLOGY INC </w:t>
              </w:r>
            </w:hyperlink>
            <w:r>
              <w:rPr>
                <w:rFonts w:ascii="Arial" w:cs="Arial" w:eastAsia="Arial" w:hAnsi="Arial"/>
                <w:sz w:val="15"/>
                <w:szCs w:val="15"/>
                <w:color w:val="000000"/>
              </w:rPr>
              <w:t>[</w:t>
            </w:r>
            <w:r>
              <w:rPr>
                <w:rFonts w:ascii="Arial" w:cs="Arial" w:eastAsia="Arial" w:hAnsi="Arial"/>
                <w:sz w:val="15"/>
                <w:szCs w:val="15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MU</w:t>
            </w:r>
            <w:r>
              <w:rPr>
                <w:rFonts w:ascii="Arial" w:cs="Arial" w:eastAsia="Arial" w:hAnsi="Arial"/>
                <w:sz w:val="15"/>
                <w:szCs w:val="15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5"/>
                <w:szCs w:val="15"/>
                <w:color w:val="000000"/>
              </w:rPr>
              <w:t>]</w:t>
            </w:r>
          </w:p>
        </w:tc>
        <w:tc>
          <w:tcPr>
            <w:tcW w:w="18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</w:t>
            </w:r>
          </w:p>
        </w:tc>
        <w:tc>
          <w:tcPr>
            <w:tcW w:w="36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00"/>
              <w:spacing w:after="0" w:line="11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60" w:type="dxa"/>
            <w:vAlign w:val="bottom"/>
          </w:tcPr>
          <w:p>
            <w:pPr>
              <w:ind w:left="340"/>
              <w:spacing w:after="0" w:line="11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9"/>
        </w:trPr>
        <w:tc>
          <w:tcPr>
            <w:tcW w:w="27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10/13/2023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SVP, Worldwide Sales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00"/>
        <w:spacing w:after="0" w:line="222" w:lineRule="auto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3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36" w:lineRule="exact"/>
        <w:rPr>
          <w:sz w:val="24"/>
          <w:szCs w:val="24"/>
          <w:color w:val="auto"/>
        </w:rPr>
      </w:pPr>
    </w:p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Rule 10b5-1(c) Transaction Indication</w:t>
      </w:r>
    </w:p>
    <w:p>
      <w:pPr>
        <w:spacing w:after="0" w:line="213" w:lineRule="exact"/>
        <w:rPr>
          <w:sz w:val="24"/>
          <w:szCs w:val="24"/>
          <w:color w:val="auto"/>
        </w:rPr>
      </w:pPr>
    </w:p>
    <w:p>
      <w:pPr>
        <w:ind w:left="320" w:right="380"/>
        <w:spacing w:after="0" w:line="27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71" w:lineRule="exact"/>
        <w:rPr>
          <w:sz w:val="24"/>
          <w:szCs w:val="24"/>
          <w:color w:val="auto"/>
        </w:rPr>
      </w:pPr>
    </w:p>
    <w:p>
      <w:pPr>
        <w:sectPr>
          <w:pgSz w:w="11900" w:h="16906" w:orient="portrait"/>
          <w:cols w:equalWidth="0" w:num="2">
            <w:col w:w="3120" w:space="720"/>
            <w:col w:w="7240"/>
          </w:cols>
          <w:pgMar w:left="460" w:top="220" w:right="359" w:bottom="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90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5"/>
          </w:tcPr>
          <w:p>
            <w:pPr>
              <w:ind w:left="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jc w:val="center"/>
              <w:ind w:left="58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60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10/13/2023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3"/>
              </w:rPr>
              <w:t>35,842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3"/>
                <w:vertAlign w:val="superscript"/>
              </w:rPr>
              <w:t>(1)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0.00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169,019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60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10/13/2023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3"/>
              </w:rPr>
              <w:t>16,846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3"/>
                <w:vertAlign w:val="superscript"/>
              </w:rPr>
              <w:t>(2)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0.00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185,865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60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10/13/2023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0"/>
              </w:rPr>
              <w:t>7,211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0"/>
                <w:vertAlign w:val="superscript"/>
              </w:rPr>
              <w:t>(3)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69.75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178,654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60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10/13/2023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3"/>
              </w:rPr>
              <w:t>6,691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3"/>
                <w:vertAlign w:val="superscript"/>
              </w:rPr>
              <w:t>(4)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0.00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185,345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60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10/13/2023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3"/>
              </w:rPr>
              <w:t>2,868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3"/>
                <w:vertAlign w:val="superscript"/>
              </w:rPr>
              <w:t>(3)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69.75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182,477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60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10/13/2023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3"/>
              </w:rPr>
              <w:t>1,391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3"/>
                <w:vertAlign w:val="superscript"/>
              </w:rPr>
              <w:t>(5)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0.00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183,868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60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10/13/2023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49"/>
              <w:spacing w:after="0" w:line="30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3"/>
                <w:szCs w:val="33"/>
                <w:color w:val="0000FF"/>
                <w:w w:val="75"/>
                <w:vertAlign w:val="subscript"/>
              </w:rPr>
              <w:t>661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5"/>
              </w:rPr>
              <w:t>(3)</w:t>
            </w: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69.75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183,207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60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10/13/2023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3"/>
              </w:rPr>
              <w:t>1,391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3"/>
                <w:vertAlign w:val="superscript"/>
              </w:rPr>
              <w:t>(5)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0.00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184,598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60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10/13/2023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3"/>
              </w:rPr>
              <w:t>661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3"/>
                <w:vertAlign w:val="superscript"/>
              </w:rPr>
              <w:t>(3)</w:t>
            </w: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69.75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183,937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60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10/13/2023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3"/>
              </w:rPr>
              <w:t>6,584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3"/>
                <w:vertAlign w:val="superscript"/>
              </w:rPr>
              <w:t>(6)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0.00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190,521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60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10/13/2023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3"/>
              </w:rPr>
              <w:t>3,128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3"/>
                <w:vertAlign w:val="superscript"/>
              </w:rPr>
              <w:t>(3)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69.75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187,393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60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10/13/2023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3"/>
              </w:rPr>
              <w:t>5,076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3"/>
                <w:vertAlign w:val="superscript"/>
              </w:rPr>
              <w:t>(3)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69.75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182,317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60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10/15/2023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3"/>
              </w:rPr>
              <w:t>6,777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3"/>
                <w:vertAlign w:val="superscript"/>
              </w:rPr>
              <w:t>(3)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69.21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175,540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60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10/16/2023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3"/>
              </w:rPr>
              <w:t>5,071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3"/>
                <w:vertAlign w:val="superscript"/>
              </w:rPr>
              <w:t>(3)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69.21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170,469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17,201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Trust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(7)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0" w:type="dxa"/>
            <w:vAlign w:val="bottom"/>
            <w:gridSpan w:val="14"/>
          </w:tcPr>
          <w:p>
            <w:pPr>
              <w:jc w:val="right"/>
              <w:ind w:right="1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6"/>
              </w:rPr>
              <w:t>Table II - Derivative Securities Acquired, Disposed of, or Beneficially Owned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00" w:type="dxa"/>
            <w:vAlign w:val="bottom"/>
            <w:gridSpan w:val="12"/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0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ind w:right="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</w:t>
            </w:r>
          </w:p>
        </w:tc>
        <w:tc>
          <w:tcPr>
            <w:tcW w:w="9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ind w:right="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3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 Derivative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right"/>
              <w:ind w:right="1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 (Instr. 3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right"/>
              <w:ind w:right="1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Performance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ind w:right="1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(8)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3"/>
              </w:rPr>
              <w:t>16,846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3"/>
                <w:vertAlign w:val="superscript"/>
              </w:rPr>
              <w:t>(2)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60" w:type="dxa"/>
            <w:vAlign w:val="bottom"/>
          </w:tcPr>
          <w:p>
            <w:pPr>
              <w:ind w:left="2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1000" w:type="dxa"/>
            <w:vAlign w:val="bottom"/>
          </w:tcPr>
          <w:p>
            <w:pPr>
              <w:jc w:val="center"/>
              <w:ind w:left="39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10/13/2023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38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8,423</w:t>
            </w: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ind w:right="43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94"/>
              </w:rPr>
              <w:t>0.00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ind w:left="18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0.00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32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 Units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Performance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(9)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ind w:right="1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(9)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0"/>
              </w:rPr>
              <w:t>6,691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0"/>
                <w:vertAlign w:val="superscript"/>
              </w:rPr>
              <w:t>(4)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60" w:type="dxa"/>
            <w:vAlign w:val="bottom"/>
          </w:tcPr>
          <w:p>
            <w:pPr>
              <w:ind w:left="2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1000" w:type="dxa"/>
            <w:vAlign w:val="bottom"/>
          </w:tcPr>
          <w:p>
            <w:pPr>
              <w:jc w:val="center"/>
              <w:ind w:left="39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10/13/2023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38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7,118</w:t>
            </w: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ind w:right="43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94"/>
              </w:rPr>
              <w:t>0.00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ind w:left="18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0.00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32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 Units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Performance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91"/>
              </w:rPr>
              <w:t>(10)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ind w:right="1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91"/>
              </w:rPr>
              <w:t>(10)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0"/>
              </w:rPr>
              <w:t>1,391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0"/>
                <w:vertAlign w:val="superscript"/>
              </w:rPr>
              <w:t>(5)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60" w:type="dxa"/>
            <w:vAlign w:val="bottom"/>
          </w:tcPr>
          <w:p>
            <w:pPr>
              <w:ind w:left="2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1000" w:type="dxa"/>
            <w:vAlign w:val="bottom"/>
          </w:tcPr>
          <w:p>
            <w:pPr>
              <w:jc w:val="center"/>
              <w:ind w:left="39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10/13/2023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38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4,215</w:t>
            </w: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ind w:right="43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94"/>
              </w:rPr>
              <w:t>0.00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ind w:left="18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4,216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32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 Units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Performance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91"/>
              </w:rPr>
              <w:t>(11)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ind w:right="1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1"/>
              </w:rPr>
              <w:t>(11)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0"/>
              </w:rPr>
              <w:t>1,391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0"/>
                <w:vertAlign w:val="superscript"/>
              </w:rPr>
              <w:t>(5)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60" w:type="dxa"/>
            <w:vAlign w:val="bottom"/>
          </w:tcPr>
          <w:p>
            <w:pPr>
              <w:ind w:left="2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1000" w:type="dxa"/>
            <w:vAlign w:val="bottom"/>
          </w:tcPr>
          <w:p>
            <w:pPr>
              <w:jc w:val="center"/>
              <w:ind w:left="39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10/13/2023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38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4,215</w:t>
            </w: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ind w:right="43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94"/>
              </w:rPr>
              <w:t>0.00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ind w:left="18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4,216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32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 Units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Performance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91"/>
              </w:rPr>
              <w:t>(12)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ind w:right="1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91"/>
              </w:rPr>
              <w:t>(12)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0"/>
              </w:rPr>
              <w:t>6,584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0"/>
                <w:vertAlign w:val="superscript"/>
              </w:rPr>
              <w:t>(6)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60" w:type="dxa"/>
            <w:vAlign w:val="bottom"/>
          </w:tcPr>
          <w:p>
            <w:pPr>
              <w:ind w:left="2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1000" w:type="dxa"/>
            <w:vAlign w:val="bottom"/>
          </w:tcPr>
          <w:p>
            <w:pPr>
              <w:jc w:val="center"/>
              <w:ind w:left="39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10/13/2023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38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7,080</w:t>
            </w: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ind w:right="43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94"/>
              </w:rPr>
              <w:t>0.00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ind w:left="18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7,080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32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 Units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7007225</wp:posOffset>
            </wp:positionH>
            <wp:positionV relativeFrom="paragraph">
              <wp:posOffset>-3291205</wp:posOffset>
            </wp:positionV>
            <wp:extent cx="28575" cy="329628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" cy="3296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ectPr>
          <w:pgSz w:w="11900" w:h="16906" w:orient="portrait"/>
          <w:cols w:equalWidth="0" w:num="1">
            <w:col w:w="11080"/>
          </w:cols>
          <w:pgMar w:left="460" w:top="220" w:right="359" w:bottom="0" w:gutter="0" w:footer="0" w:header="0"/>
          <w:type w:val="continuous"/>
        </w:sectPr>
      </w:pPr>
    </w:p>
    <w:bookmarkStart w:id="1" w:name="page2"/>
    <w:bookmarkEnd w:id="1"/>
    <w:p>
      <w:pPr>
        <w:ind w:left="120" w:hanging="120"/>
        <w:spacing w:after="0"/>
        <w:tabs>
          <w:tab w:leader="none" w:pos="12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Restricted Stock Award vests in 33 1/3% increments annually on the anniversary of the grant.</w:t>
      </w:r>
    </w:p>
    <w:p>
      <w:pPr>
        <w:spacing w:after="0" w:line="4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right="40"/>
        <w:spacing w:after="0" w:line="253" w:lineRule="auto"/>
        <w:tabs>
          <w:tab w:leader="none" w:pos="127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The Compensation Committee certified achievement of pre-established performance goals related to NAND delivery and solutions at 200% of target under the performance-based restricted stock units ("PRSU") with a 3-year performance period previously awarded on October 16, 2020. As reported at grant, the PRSU could result in a payout (if earned) that varies (starting at 0%) based on actual achievement of the goals, subject to a 200% aggregate limit on the total target shares that may be received under the PRSUs awarded on October 16, 2020. 100% of any shares earned as a result of the achievement of the performance goals measured at the end of year 3 of the performance period as well as certain unvested shares earned as a result of the achievement of performance goals measured at the end of year 2 of the performance period which remained subject to vesting vested upon certification of the achievement of performance goals in year 3 of the performance period.</w:t>
      </w:r>
    </w:p>
    <w:p>
      <w:pPr>
        <w:spacing w:after="0" w:line="23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120" w:hanging="120"/>
        <w:spacing w:after="0"/>
        <w:tabs>
          <w:tab w:leader="none" w:pos="12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Withholding of shares of common stock to satisfy tax withholding obligations in connection with the vesting of previously granted awards.</w:t>
      </w:r>
    </w:p>
    <w:p>
      <w:pPr>
        <w:spacing w:after="0" w:line="4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right="60"/>
        <w:spacing w:after="0" w:line="282" w:lineRule="auto"/>
        <w:tabs>
          <w:tab w:leader="none" w:pos="127" w:val="left"/>
        </w:tabs>
        <w:numPr>
          <w:ilvl w:val="0"/>
          <w:numId w:val="1"/>
        </w:numPr>
        <w:rPr>
          <w:rFonts w:ascii="Arial" w:cs="Arial" w:eastAsia="Arial" w:hAnsi="Arial"/>
          <w:sz w:val="11"/>
          <w:szCs w:val="11"/>
          <w:color w:val="008000"/>
        </w:rPr>
      </w:pPr>
      <w:r>
        <w:rPr>
          <w:rFonts w:ascii="Arial" w:cs="Arial" w:eastAsia="Arial" w:hAnsi="Arial"/>
          <w:sz w:val="11"/>
          <w:szCs w:val="11"/>
          <w:color w:val="008000"/>
        </w:rPr>
        <w:t>The Compensation Committee certified achievement of pre-established performance goals related to relative total shareholder return at a level of 93% of target under the performance-based restricted stock units ("PRSU") with a 3-year performance period previously awarded on October 16, 2020. As reported at grant, the PRSU could result in a payout (if earned) that varies (starting at 0%) based on actual achievement of the goals, subject to a 200% aggregate limit on the total target shares that may be received under the PRSUs awarded on October 16, 2020. 100% of any shares earned as a result of the achievement of the performance goals measured at the end of year 3 of the performance period as well as certain unvested shares earned as a result of the achievement of performance goals measured at the end of year 2 of the performance period which remained subject to vesting vested upon certification of the achievement of performance goals at the end of year 3 of the performance period.</w:t>
      </w:r>
    </w:p>
    <w:p>
      <w:pPr>
        <w:spacing w:after="0" w:line="7" w:lineRule="exact"/>
        <w:rPr>
          <w:rFonts w:ascii="Arial" w:cs="Arial" w:eastAsia="Arial" w:hAnsi="Arial"/>
          <w:sz w:val="11"/>
          <w:szCs w:val="11"/>
          <w:color w:val="008000"/>
        </w:rPr>
      </w:pPr>
    </w:p>
    <w:p>
      <w:pPr>
        <w:ind w:right="20"/>
        <w:spacing w:after="0" w:line="233" w:lineRule="auto"/>
        <w:tabs>
          <w:tab w:leader="none" w:pos="127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Compensation Committee certified achievement of pre-established performance goals at a level of 33% of target under the performance-based restricted stock units ("PRSU") with a 3-year performance period previously awarded on October 13, 2021. As reported at grant, the PRSU could result in a payout (if earned) that varies (starting at 0%) based on actual achievement of the goals, subject to a 200% aggregate limit on the total target shares that may be received under the PRSUs awarded on October 13, 2021. 50% of the shares earned vested upon certification of the performance and 50% remain subject to vesting until the certification of the achievement of performance goals at the end of year 3 of the performance period.</w:t>
      </w:r>
    </w:p>
    <w:p>
      <w:pPr>
        <w:spacing w:after="0" w:line="29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jc w:val="both"/>
        <w:ind w:right="40"/>
        <w:spacing w:after="0" w:line="256" w:lineRule="auto"/>
        <w:tabs>
          <w:tab w:leader="none" w:pos="127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The Compensation Committee certified achievement of pre-established performance goals related to relative total shareholder return at a level of 93% of target under the performance-based restricted stock units ("PRSU") with a 3-year performance period previously awarded on October 13, 2021. As reported at grant, the PRSU could result in a payout (if earned) that varies (starting at 0%) based on actual achievement of the goals, subject to a 200% aggregate limit on the total target shares that may be received under the PRSU awarded on October 13, 2021. 50% of the shares earned vested upon certification of the performance and 50% remain subject to vesting until the certification of performance goals at the end of year 3 of the performance period.</w:t>
      </w:r>
    </w:p>
    <w:p>
      <w:pPr>
        <w:spacing w:after="0" w:line="21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120" w:hanging="120"/>
        <w:spacing w:after="0"/>
        <w:tabs>
          <w:tab w:leader="none" w:pos="12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Shares held in a Trust for the benefit of the reporting person and his family, with the reporting person as a co-trustee with his spouse.</w:t>
      </w:r>
    </w:p>
    <w:p>
      <w:pPr>
        <w:spacing w:after="0" w:line="4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right="80"/>
        <w:spacing w:after="0" w:line="236" w:lineRule="auto"/>
        <w:tabs>
          <w:tab w:leader="none" w:pos="127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performance-based restricted stock unit ("PRSU") represents the right to receive, following vesting, a percentage of one share of common stock based upon the achievement of pre-established performance goals related to NAND delivery and solutions over a 3-year performance period beginning September 4, 2020 and ending August 31, 2023 (subject to a 200% aggregate limit on the total target shares that may be received under the PRSUs awarded on October 16, 2020), and certification of such performance by the Compensation Committee.</w:t>
      </w:r>
    </w:p>
    <w:p>
      <w:pPr>
        <w:spacing w:after="0" w:line="29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jc w:val="both"/>
        <w:ind w:right="60"/>
        <w:spacing w:after="0" w:line="263" w:lineRule="auto"/>
        <w:tabs>
          <w:tab w:leader="none" w:pos="127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Each performance-based restricted stock unit ("PRSU") represents the right to receive, following vesting, a percentage of one share of common stock based upon the achievement of pre-established performance goals related to relative total shareholder return over a 3-year performance period beginning September 4, 2020 and ending August 31, 2023 (subject to a 200% aggregate limit on the total target shares that may be received under the PRSUs awarded on October 16, 2020), and certification of such performance by the Compensation Committee.</w:t>
      </w:r>
    </w:p>
    <w:p>
      <w:pPr>
        <w:spacing w:after="0" w:line="16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spacing w:after="0" w:line="263" w:lineRule="auto"/>
        <w:tabs>
          <w:tab w:leader="none" w:pos="191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Each performance-based restricted stock unit ("PRSU") represents the right to receive, following vesting, a percentage of one share of common stock based upon the achievement of pre-established performance goals related to Data Center NAND delivery and solutions over a 3-year performance period beginning September 3, 2021 and ending August 29, 2024 (subject to a 200% aggregate limit on the total target shares that may be received under the PRSUs awarded on October 13, 2021), and certification of such performance by the Compensation Committee.</w:t>
      </w:r>
    </w:p>
    <w:p>
      <w:pPr>
        <w:spacing w:after="0" w:line="16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right="20"/>
        <w:spacing w:after="0" w:line="263" w:lineRule="auto"/>
        <w:tabs>
          <w:tab w:leader="none" w:pos="186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Each performance-based restricted stock unit ("PRSU") represents the right to receive, following vesting, a percentage of one share of common stock based upon the achievement of pre-established performance goals related to High Value NAND delivery and solutions over a 3-year performance period beginning September 3, 2021 and ending August 29, 2024 (subject to a 200% aggregate limit on the total target shares that may be received under the PRSUs awarded on October 13, 2021), and certification of such performance by the Compensation Committee.</w:t>
      </w:r>
    </w:p>
    <w:p>
      <w:pPr>
        <w:spacing w:after="0" w:line="16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spacing w:after="0" w:line="263" w:lineRule="auto"/>
        <w:tabs>
          <w:tab w:leader="none" w:pos="191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Each performance-based restricted stock unit ("PRSU") represents the right to receive, following vesting, a percentage of one share of common stock based upon the achievement of pre-established performance goals related to relative total shareholder return over a 3-year performance period beginning September 3, 2021 and ending August 29, 2024 (subject to a 200% aggregate limit on the total target shares that may be received under the PRSUs awarded on October 13, 2021), and certification of such performance by the Compensation Committee.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09" w:lineRule="exact"/>
        <w:rPr>
          <w:sz w:val="20"/>
          <w:szCs w:val="20"/>
          <w:color w:val="auto"/>
        </w:rPr>
      </w:pPr>
    </w:p>
    <w:tbl>
      <w:tblPr>
        <w:tblLayout w:type="fixed"/>
        <w:tblInd w:w="65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Mai Lan Bui, Attorney-in-fact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10/17/2023</w:t>
            </w:r>
          </w:p>
        </w:tc>
      </w:tr>
      <w:tr>
        <w:trPr>
          <w:trHeight w:val="222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3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jc w:val="both"/>
        <w:ind w:right="3540"/>
        <w:spacing w:after="0" w:line="328" w:lineRule="auto"/>
        <w:tabs>
          <w:tab w:leader="none" w:pos="134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880"/>
      </w:cols>
      <w:pgMar w:left="500" w:top="182" w:right="5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754666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2023-10-17T19:21:16Z</dcterms:created>
  <dcterms:modified xsi:type="dcterms:W3CDTF">2023-10-17T19:21:16Z</dcterms:modified>
</cp:coreProperties>
</file>