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900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900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LICCIARDELLO MARIO</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 MS 1-557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10/11/2010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4"/>
        <w:spacing w:after="0"/>
        <w:rPr>
          <w:sz w:val="20"/>
          <w:szCs w:val="20"/>
          <w:color w:val="auto"/>
        </w:rPr>
      </w:pPr>
      <w:r>
        <w:rPr>
          <w:rFonts w:ascii="Arial" w:cs="Arial" w:eastAsia="Arial" w:hAnsi="Arial"/>
          <w:sz w:val="17"/>
          <w:szCs w:val="17"/>
          <w:color w:val="0000FF"/>
        </w:rPr>
        <w:t>VP, Wireless Solutions</w:t>
      </w:r>
    </w:p>
    <w:p>
      <w:pPr>
        <w:spacing w:after="0" w:line="308" w:lineRule="exact"/>
        <w:rPr>
          <w:sz w:val="24"/>
          <w:szCs w:val="24"/>
          <w:color w:val="auto"/>
        </w:rPr>
      </w:pPr>
    </w:p>
    <w:p>
      <w:pPr>
        <w:sectPr>
          <w:pgSz w:w="11900" w:h="16838" w:orient="portrait"/>
          <w:cols w:equalWidth="0" w:num="3">
            <w:col w:w="3340" w:space="720"/>
            <w:col w:w="3300" w:space="676"/>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9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940" w:type="dxa"/>
            <w:vAlign w:val="bottom"/>
            <w:gridSpan w:val="7"/>
            <w:vMerge w:val="continue"/>
          </w:tcPr>
          <w:p>
            <w:pPr>
              <w:spacing w:after="0"/>
              <w:rPr>
                <w:sz w:val="7"/>
                <w:szCs w:val="7"/>
                <w:color w:val="auto"/>
              </w:rPr>
            </w:pPr>
          </w:p>
        </w:tc>
        <w:tc>
          <w:tcPr>
            <w:tcW w:w="36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gridSpan w:val="3"/>
          </w:tcPr>
          <w:p>
            <w:pPr>
              <w:ind w:left="240"/>
              <w:spacing w:after="0" w:line="183" w:lineRule="exact"/>
              <w:rPr>
                <w:sz w:val="20"/>
                <w:szCs w:val="20"/>
                <w:color w:val="auto"/>
              </w:rPr>
            </w:pPr>
            <w:r>
              <w:rPr>
                <w:rFonts w:ascii="Arial" w:cs="Arial" w:eastAsia="Arial" w:hAnsi="Arial"/>
                <w:sz w:val="17"/>
                <w:szCs w:val="17"/>
                <w:color w:val="0000FF"/>
              </w:rPr>
              <w:t>10/13/2010</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0000FF"/>
              </w:rPr>
              <w:t>BOISE</w:t>
            </w:r>
          </w:p>
        </w:tc>
        <w:tc>
          <w:tcPr>
            <w:tcW w:w="800" w:type="dxa"/>
            <w:vAlign w:val="bottom"/>
          </w:tcPr>
          <w:p>
            <w:pPr>
              <w:ind w:left="580"/>
              <w:spacing w:after="0"/>
              <w:rPr>
                <w:sz w:val="20"/>
                <w:szCs w:val="20"/>
                <w:color w:val="auto"/>
              </w:rPr>
            </w:pPr>
            <w:r>
              <w:rPr>
                <w:rFonts w:ascii="Arial" w:cs="Arial" w:eastAsia="Arial" w:hAnsi="Arial"/>
                <w:sz w:val="17"/>
                <w:szCs w:val="17"/>
                <w:color w:val="0000FF"/>
              </w:rPr>
              <w:t>ID</w:t>
            </w:r>
          </w:p>
        </w:tc>
        <w:tc>
          <w:tcPr>
            <w:tcW w:w="10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83716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ind w:left="40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1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8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gridSpan w:val="3"/>
          </w:tcPr>
          <w:p>
            <w:pPr>
              <w:ind w:left="86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2"/>
          </w:tcPr>
          <w:p>
            <w:pPr>
              <w:ind w:left="360"/>
              <w:spacing w:after="0"/>
              <w:rPr>
                <w:sz w:val="20"/>
                <w:szCs w:val="20"/>
                <w:color w:val="auto"/>
              </w:rPr>
            </w:pPr>
            <w:r>
              <w:rPr>
                <w:rFonts w:ascii="Arial" w:cs="Arial" w:eastAsia="Arial" w:hAnsi="Arial"/>
                <w:sz w:val="17"/>
                <w:szCs w:val="17"/>
                <w:color w:val="0000FF"/>
              </w:rPr>
              <w:t>85,692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4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78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7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280"/>
              <w:spacing w:after="0" w:line="248"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40" w:type="dxa"/>
            <w:vAlign w:val="bottom"/>
          </w:tcPr>
          <w:p>
            <w:pPr>
              <w:jc w:val="right"/>
              <w:ind w:right="135"/>
              <w:spacing w:after="0"/>
              <w:rPr>
                <w:sz w:val="20"/>
                <w:szCs w:val="20"/>
                <w:color w:val="auto"/>
              </w:rPr>
            </w:pPr>
            <w:r>
              <w:rPr>
                <w:rFonts w:ascii="Arial" w:cs="Arial" w:eastAsia="Arial" w:hAnsi="Arial"/>
                <w:sz w:val="13"/>
                <w:szCs w:val="13"/>
                <w:color w:val="0000FF"/>
              </w:rPr>
              <w:t>10/11/2010</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rPr>
                <w:sz w:val="20"/>
                <w:szCs w:val="20"/>
                <w:color w:val="auto"/>
              </w:rPr>
            </w:pPr>
            <w:r>
              <w:rPr>
                <w:rFonts w:ascii="Arial" w:cs="Arial" w:eastAsia="Arial" w:hAnsi="Arial"/>
                <w:sz w:val="13"/>
                <w:szCs w:val="13"/>
                <w:color w:val="0000FF"/>
              </w:rPr>
              <w:t>49,000</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color w:val="0000FF"/>
                <w:w w:val="92"/>
              </w:rPr>
              <w:t>10/11/2011</w:t>
            </w:r>
            <w:r>
              <w:rPr>
                <w:rFonts w:ascii="Arial" w:cs="Arial" w:eastAsia="Arial" w:hAnsi="Arial"/>
                <w:sz w:val="21"/>
                <w:szCs w:val="21"/>
                <w:color w:val="008000"/>
                <w:w w:val="92"/>
                <w:vertAlign w:val="superscript"/>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10/11/2014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49,000</w:t>
            </w:r>
          </w:p>
        </w:tc>
        <w:tc>
          <w:tcPr>
            <w:tcW w:w="60" w:type="dxa"/>
            <w:vAlign w:val="bottom"/>
          </w:tcPr>
          <w:p>
            <w:pPr>
              <w:spacing w:after="0"/>
              <w:rPr>
                <w:sz w:val="21"/>
                <w:szCs w:val="21"/>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80"/>
              <w:spacing w:after="0"/>
              <w:rPr>
                <w:sz w:val="20"/>
                <w:szCs w:val="20"/>
                <w:color w:val="auto"/>
              </w:rPr>
            </w:pPr>
            <w:r>
              <w:rPr>
                <w:rFonts w:ascii="Arial" w:cs="Arial" w:eastAsia="Arial" w:hAnsi="Arial"/>
                <w:sz w:val="13"/>
                <w:szCs w:val="13"/>
                <w:color w:val="0000FF"/>
              </w:rPr>
              <w:t>49,000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line="144" w:lineRule="exact"/>
              <w:rPr>
                <w:sz w:val="20"/>
                <w:szCs w:val="20"/>
                <w:color w:val="auto"/>
              </w:rPr>
            </w:pPr>
            <w:r>
              <w:rPr>
                <w:rFonts w:ascii="Arial" w:cs="Arial" w:eastAsia="Arial" w:hAnsi="Arial"/>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80"/>
              <w:spacing w:after="0" w:line="144"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w w:val="96"/>
              </w:rPr>
              <w:t>Performance</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62,000</w:t>
            </w:r>
            <w:r>
              <w:rPr>
                <w:rFonts w:ascii="Arial" w:cs="Arial" w:eastAsia="Arial" w:hAnsi="Arial"/>
                <w:sz w:val="21"/>
                <w:szCs w:val="21"/>
                <w:color w:val="008000"/>
                <w:vertAlign w:val="superscript"/>
              </w:rPr>
              <w:t>(2)</w:t>
            </w:r>
          </w:p>
        </w:tc>
        <w:tc>
          <w:tcPr>
            <w:tcW w:w="30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color w:val="0000FF"/>
                <w:w w:val="92"/>
              </w:rPr>
              <w:t>10/11/2011</w:t>
            </w:r>
            <w:r>
              <w:rPr>
                <w:rFonts w:ascii="Arial" w:cs="Arial" w:eastAsia="Arial" w:hAnsi="Arial"/>
                <w:sz w:val="21"/>
                <w:szCs w:val="21"/>
                <w:color w:val="008000"/>
                <w:w w:val="92"/>
                <w:vertAlign w:val="superscript"/>
              </w:rPr>
              <w:t>(4)</w:t>
            </w: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62,000</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Restricted</w:t>
            </w:r>
          </w:p>
        </w:tc>
        <w:tc>
          <w:tcPr>
            <w:tcW w:w="800" w:type="dxa"/>
            <w:vAlign w:val="bottom"/>
            <w:vMerge w:val="continue"/>
          </w:tcPr>
          <w:p>
            <w:pPr>
              <w:spacing w:after="0"/>
              <w:rPr>
                <w:sz w:val="12"/>
                <w:szCs w:val="12"/>
                <w:color w:val="auto"/>
              </w:rPr>
            </w:pPr>
          </w:p>
        </w:tc>
        <w:tc>
          <w:tcPr>
            <w:tcW w:w="1040" w:type="dxa"/>
            <w:vAlign w:val="bottom"/>
          </w:tcPr>
          <w:p>
            <w:pPr>
              <w:jc w:val="right"/>
              <w:ind w:right="135"/>
              <w:spacing w:after="0" w:line="140" w:lineRule="exact"/>
              <w:rPr>
                <w:sz w:val="20"/>
                <w:szCs w:val="20"/>
                <w:color w:val="auto"/>
              </w:rPr>
            </w:pPr>
            <w:r>
              <w:rPr>
                <w:rFonts w:ascii="Arial" w:cs="Arial" w:eastAsia="Arial" w:hAnsi="Arial"/>
                <w:sz w:val="13"/>
                <w:szCs w:val="13"/>
                <w:color w:val="0000FF"/>
              </w:rPr>
              <w:t>10/11/2010</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tcPr>
          <w:p>
            <w:pPr>
              <w:ind w:left="60"/>
              <w:spacing w:after="0" w:line="140" w:lineRule="exact"/>
              <w:rPr>
                <w:sz w:val="20"/>
                <w:szCs w:val="20"/>
                <w:color w:val="auto"/>
              </w:rPr>
            </w:pPr>
            <w:r>
              <w:rPr>
                <w:rFonts w:ascii="Arial" w:cs="Arial" w:eastAsia="Arial" w:hAnsi="Arial"/>
                <w:sz w:val="13"/>
                <w:szCs w:val="13"/>
                <w:color w:val="0000FF"/>
                <w:w w:val="98"/>
              </w:rPr>
              <w:t>08/29/2013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80"/>
              <w:spacing w:after="0" w:line="140" w:lineRule="exact"/>
              <w:rPr>
                <w:sz w:val="20"/>
                <w:szCs w:val="20"/>
                <w:color w:val="auto"/>
              </w:rPr>
            </w:pPr>
            <w:r>
              <w:rPr>
                <w:rFonts w:ascii="Arial" w:cs="Arial" w:eastAsia="Arial" w:hAnsi="Arial"/>
                <w:sz w:val="13"/>
                <w:szCs w:val="13"/>
                <w:color w:val="0000FF"/>
              </w:rPr>
              <w:t>62,000</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180"/>
              <w:spacing w:after="0" w:line="131"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 - grant of restricted stock units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convertible to one share of Common Stock at vest.</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vest in 25% increments annually on anniversary date of grant.</w:t>
      </w:r>
    </w:p>
    <w:p>
      <w:pPr>
        <w:spacing w:after="0" w:line="46" w:lineRule="exact"/>
        <w:rPr>
          <w:rFonts w:ascii="Arial" w:cs="Arial" w:eastAsia="Arial" w:hAnsi="Arial"/>
          <w:sz w:val="13"/>
          <w:szCs w:val="13"/>
          <w:color w:val="008000"/>
        </w:rPr>
      </w:pPr>
    </w:p>
    <w:p>
      <w:pPr>
        <w:ind w:left="40" w:right="5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vesting of performance restricted stock units is subject to achievement of certain performance criteria. In the event that the performance criteria are not met, the performance restricted stock units will be forfeited.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Katie Reid, Attorney-in-fact</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10/29/2010</w:t>
            </w:r>
          </w:p>
        </w:tc>
      </w:tr>
      <w:tr>
        <w:trPr>
          <w:trHeight w:val="227"/>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6403"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2019-12-16T04:18:19Z</dcterms:created>
  <dcterms:modified xsi:type="dcterms:W3CDTF">2019-12-16T04:18:19Z</dcterms:modified>
</cp:coreProperties>
</file>