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-600710</wp:posOffset>
            </wp:positionV>
            <wp:extent cx="56515" cy="614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3909060</wp:posOffset>
            </wp:positionH>
            <wp:positionV relativeFrom="paragraph">
              <wp:posOffset>-600710</wp:posOffset>
            </wp:positionV>
            <wp:extent cx="5651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6591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659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MEHROTRA SANJAY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8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MU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CEO and President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8000 S. FEDERAL WAY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10/13/2021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BOISE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83716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jc w:val="center"/>
              <w:ind w:left="73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135,114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727,598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A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176,109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903,707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3,578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907,285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1,690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905,595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10/13/2021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63,815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66.72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841,780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90,354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GRAT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73,946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73,946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73,946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44,027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44,027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44,027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(7)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(7)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44,027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44,027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44,027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6"/>
              </w:rPr>
              <w:t>135,114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38,604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38,605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Performance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(9)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(9)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5"/>
              </w:rPr>
              <w:t>3,578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10/13/2021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30,769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30,770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-2961640</wp:posOffset>
            </wp:positionV>
            <wp:extent cx="28575" cy="2967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67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140" w:hanging="4"/>
        <w:spacing w:after="0" w:line="252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Compensation Committee certified achievement of the pre-established performance goals at a level resulting in a vest of 100% of the total target shares under the performance-based restricted stock units previously awarded on October 16, 2019. As reported at grant, the performance-based restricted stock unit could result in a payout that varies based on actual achievement of the goals, subject to a 200% aggregate limit on the payout of target shares.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Awards vest in 33 1/3% increments annually on the anniversary of the grant.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performance restricted stock units awarded under the Issuer's 2004 Equity Incentive Plan.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Grantor retained annuity trust for the benefit of the reporting person and his family.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hanging="4"/>
        <w:spacing w:after="0" w:line="252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relative total shareholder return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hanging="4"/>
        <w:spacing w:after="0" w:line="285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Data Center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60" w:hanging="4"/>
        <w:spacing w:after="0" w:line="252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which percentage varies based upon the achievement of pre-established performance metrics related to High Value NAND delivery and solutions over a 3-year period beginning September 3, 2021 and ending on August 29, 2024 (subject to a 200% aggregate limit on the total target shares that may be received under the performance-based restricted stock units awarded on October 13, 2021),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80" w:hanging="4"/>
        <w:spacing w:after="0" w:line="252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NAND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2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80" w:hanging="4"/>
        <w:spacing w:after="0" w:line="252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represents the right to receive, following vesting, a percentage of one share of common stock based upon the achievement of pre-established performance metrics related to relative total shareholder return over a 3-year performance period beginning August 30, 2019 and ending on September 1, 2022 (subject to a 200% aggregate limit on the total target shares that may be received under the performance-based restricted stock units awarded on October 16, 2019), and certification of such performance by the Compensation Committee.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Rob Beard, Attorney-in-fact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10/15/2021</w:t>
            </w:r>
          </w:p>
        </w:tc>
      </w:tr>
      <w:tr>
        <w:trPr>
          <w:trHeight w:val="21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" w:right="2839" w:hanging="4"/>
        <w:spacing w:after="0" w:line="320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3"/>
      </w:cols>
      <w:pgMar w:left="496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2021-10-18T05:12:29Z</dcterms:created>
  <dcterms:modified xsi:type="dcterms:W3CDTF">2021-10-18T05:12:29Z</dcterms:modified>
</cp:coreProperties>
</file>