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75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595112103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65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275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jc w:val="both"/>
        <w:ind w:right="26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4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203"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jc w:val="right"/>
        <w:ind w:right="2659"/>
        <w:spacing w:after="0" w:line="238" w:lineRule="auto"/>
        <w:rPr>
          <w:sz w:val="20"/>
          <w:szCs w:val="20"/>
          <w:color w:val="auto"/>
        </w:rPr>
      </w:pPr>
      <w:r>
        <w:rPr>
          <w:rFonts w:ascii="Courier New" w:cs="Courier New" w:eastAsia="Courier New" w:hAnsi="Courier New"/>
          <w:sz w:val="18"/>
          <w:szCs w:val="18"/>
          <w:color w:val="auto"/>
        </w:rPr>
        <w:t>(a)</w:t>
      </w:r>
    </w:p>
    <w:p>
      <w:pPr>
        <w:spacing w:after="0" w:line="201" w:lineRule="exact"/>
        <w:rPr>
          <w:sz w:val="24"/>
          <w:szCs w:val="24"/>
          <w:color w:val="auto"/>
        </w:rPr>
      </w:pPr>
    </w:p>
    <w:p>
      <w:pPr>
        <w:jc w:val="right"/>
        <w:ind w:right="2659"/>
        <w:spacing w:after="0"/>
        <w:rPr>
          <w:sz w:val="20"/>
          <w:szCs w:val="20"/>
          <w:color w:val="auto"/>
        </w:rPr>
      </w:pPr>
      <w:r>
        <w:rPr>
          <w:rFonts w:ascii="Courier New" w:cs="Courier New" w:eastAsia="Courier New" w:hAnsi="Courier New"/>
          <w:sz w:val="18"/>
          <w:szCs w:val="18"/>
          <w:color w:val="auto"/>
        </w:rPr>
        <w:t>(b)</w:t>
      </w:r>
    </w:p>
    <w:p>
      <w:pPr>
        <w:sectPr>
          <w:pgSz w:w="11900" w:h="16838" w:orient="portrait"/>
          <w:cols w:equalWidth="0" w:num="1">
            <w:col w:w="10139"/>
          </w:cols>
          <w:pgMar w:left="320" w:top="447" w:right="1440" w:bottom="0" w:gutter="0" w:footer="0" w:header="0"/>
        </w:sectPr>
      </w:pPr>
    </w:p>
    <w:bookmarkStart w:id="1" w:name="page2"/>
    <w:bookmarkEnd w:id="1"/>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right="5819" w:hanging="427"/>
        <w:spacing w:after="0" w:line="469"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6" w:lineRule="exact"/>
        <w:rPr>
          <w:sz w:val="20"/>
          <w:szCs w:val="20"/>
          <w:color w:val="auto"/>
        </w:rPr>
      </w:pPr>
    </w:p>
    <w:p>
      <w:pPr>
        <w:ind w:left="1900" w:right="6439" w:hanging="418"/>
        <w:spacing w:after="0" w:line="469"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10"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line="238" w:lineRule="auto"/>
        <w:rPr>
          <w:sz w:val="20"/>
          <w:szCs w:val="20"/>
          <w:color w:val="auto"/>
        </w:rPr>
      </w:pPr>
      <w:r>
        <w:rPr>
          <w:rFonts w:ascii="Courier New" w:cs="Courier New" w:eastAsia="Courier New" w:hAnsi="Courier New"/>
          <w:sz w:val="18"/>
          <w:szCs w:val="18"/>
          <w:color w:val="auto"/>
        </w:rPr>
        <w:t>SHARES</w:t>
      </w:r>
    </w:p>
    <w:p>
      <w:pPr>
        <w:ind w:left="1900"/>
        <w:spacing w:after="0"/>
        <w:rPr>
          <w:sz w:val="20"/>
          <w:szCs w:val="20"/>
          <w:color w:val="auto"/>
        </w:rPr>
      </w:pPr>
      <w:r>
        <w:rPr>
          <w:rFonts w:ascii="Courier New" w:cs="Courier New" w:eastAsia="Courier New" w:hAnsi="Courier New"/>
          <w:sz w:val="18"/>
          <w:szCs w:val="18"/>
          <w:color w:val="auto"/>
        </w:rPr>
        <w:t>NONE</w:t>
      </w:r>
    </w:p>
    <w:p>
      <w:pPr>
        <w:spacing w:after="0" w:line="3" w:lineRule="exact"/>
        <w:rPr>
          <w:sz w:val="20"/>
          <w:szCs w:val="20"/>
          <w:color w:val="auto"/>
        </w:rPr>
      </w:pPr>
    </w:p>
    <w:p>
      <w:pPr>
        <w:jc w:val="right"/>
        <w:ind w:right="897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897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8" w:lineRule="auto"/>
        <w:rPr>
          <w:sz w:val="20"/>
          <w:szCs w:val="20"/>
          <w:color w:val="auto"/>
        </w:rPr>
      </w:pPr>
      <w:r>
        <w:rPr>
          <w:rFonts w:ascii="Courier New" w:cs="Courier New" w:eastAsia="Courier New" w:hAnsi="Courier New"/>
          <w:sz w:val="18"/>
          <w:szCs w:val="18"/>
          <w:color w:val="auto"/>
        </w:rPr>
        <w:t>EACH</w:t>
      </w:r>
    </w:p>
    <w:p>
      <w:pPr>
        <w:ind w:left="120"/>
        <w:spacing w:after="0"/>
        <w:rPr>
          <w:sz w:val="20"/>
          <w:szCs w:val="20"/>
          <w:color w:val="auto"/>
        </w:rPr>
      </w:pPr>
      <w:r>
        <w:rPr>
          <w:rFonts w:ascii="Courier New" w:cs="Courier New" w:eastAsia="Courier New" w:hAnsi="Courier New"/>
          <w:sz w:val="18"/>
          <w:szCs w:val="18"/>
          <w:color w:val="auto"/>
        </w:rPr>
        <w:t>REPORTING</w:t>
      </w:r>
    </w:p>
    <w:p>
      <w:pPr>
        <w:ind w:left="1900"/>
        <w:spacing w:after="0" w:line="237" w:lineRule="auto"/>
        <w:rPr>
          <w:sz w:val="20"/>
          <w:szCs w:val="20"/>
          <w:color w:val="auto"/>
        </w:rPr>
      </w:pPr>
      <w:r>
        <w:rPr>
          <w:rFonts w:ascii="Courier New" w:cs="Courier New" w:eastAsia="Courier New" w:hAnsi="Courier New"/>
          <w:sz w:val="18"/>
          <w:szCs w:val="18"/>
          <w:color w:val="auto"/>
        </w:rPr>
        <w:t>20,621,060</w:t>
      </w:r>
    </w:p>
    <w:p>
      <w:pPr>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10" w:lineRule="exact"/>
        <w:rPr>
          <w:sz w:val="20"/>
          <w:szCs w:val="20"/>
          <w:color w:val="auto"/>
        </w:rPr>
      </w:pPr>
    </w:p>
    <w:p>
      <w:pPr>
        <w:ind w:left="1900" w:right="5699" w:hanging="418"/>
        <w:spacing w:after="0" w:line="469"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6" w:lineRule="exact"/>
        <w:rPr>
          <w:sz w:val="20"/>
          <w:szCs w:val="20"/>
          <w:color w:val="auto"/>
        </w:rPr>
      </w:pPr>
    </w:p>
    <w:p>
      <w:pPr>
        <w:ind w:left="540" w:right="2559" w:hanging="427"/>
        <w:spacing w:after="0" w:line="469"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20,621,060 Beneficial ownership disclaimed pursuant to Rule 13d-4</w:t>
      </w:r>
    </w:p>
    <w:p>
      <w:pPr>
        <w:spacing w:after="0" w:line="216"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659" w:hanging="427"/>
        <w:spacing w:after="0" w:line="469"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8.1%</w:t>
      </w:r>
    </w:p>
    <w:p>
      <w:pPr>
        <w:spacing w:after="0" w:line="215" w:lineRule="exact"/>
        <w:rPr>
          <w:rFonts w:ascii="Courier New" w:cs="Courier New" w:eastAsia="Courier New" w:hAnsi="Courier New"/>
          <w:sz w:val="18"/>
          <w:szCs w:val="18"/>
          <w:color w:val="auto"/>
        </w:rPr>
      </w:pPr>
    </w:p>
    <w:p>
      <w:pPr>
        <w:ind w:left="540" w:right="6979" w:hanging="427"/>
        <w:spacing w:after="0" w:line="469"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1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139"/>
          </w:cols>
          <w:pgMar w:left="320" w:top="339" w:right="1440" w:bottom="1440" w:gutter="0" w:footer="0" w:header="0"/>
        </w:sectPr>
      </w:pPr>
    </w:p>
    <w:bookmarkStart w:id="2" w:name="page3"/>
    <w:bookmarkEnd w:id="2"/>
    <w:p>
      <w:pPr>
        <w:jc w:val="center"/>
        <w:ind w:right="2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8"/>
          <w:szCs w:val="18"/>
          <w:color w:val="auto"/>
        </w:rPr>
        <w:t>Schedule 13G</w:t>
      </w:r>
    </w:p>
    <w:p>
      <w:pPr>
        <w:jc w:val="center"/>
        <w:ind w:right="26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8000 S. Federal Way</w:t>
      </w:r>
    </w:p>
    <w:p>
      <w:pPr>
        <w:ind w:left="740"/>
        <w:spacing w:after="0" w:line="238" w:lineRule="auto"/>
        <w:rPr>
          <w:sz w:val="20"/>
          <w:szCs w:val="20"/>
          <w:color w:val="auto"/>
        </w:rPr>
      </w:pPr>
      <w:r>
        <w:rPr>
          <w:rFonts w:ascii="Courier New" w:cs="Courier New" w:eastAsia="Courier New" w:hAnsi="Courier New"/>
          <w:sz w:val="18"/>
          <w:szCs w:val="18"/>
          <w:color w:val="auto"/>
        </w:rPr>
        <w:t>P.O. Box 6</w:t>
      </w:r>
    </w:p>
    <w:p>
      <w:pPr>
        <w:ind w:left="740"/>
        <w:spacing w:after="0"/>
        <w:tabs>
          <w:tab w:leader="none" w:pos="188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83707-0006</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7" w:lineRule="exact"/>
        <w:rPr>
          <w:sz w:val="20"/>
          <w:szCs w:val="20"/>
          <w:color w:val="auto"/>
        </w:rPr>
      </w:pPr>
    </w:p>
    <w:p>
      <w:pPr>
        <w:ind w:left="1280" w:right="2759" w:hanging="535"/>
        <w:spacing w:after="0" w:line="235" w:lineRule="auto"/>
        <w:tabs>
          <w:tab w:leader="none" w:pos="149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jc w:val="both"/>
        <w:ind w:left="740" w:right="2859"/>
        <w:spacing w:after="0" w:line="271" w:lineRule="auto"/>
        <w:rPr>
          <w:sz w:val="20"/>
          <w:szCs w:val="20"/>
          <w:color w:val="auto"/>
        </w:rPr>
      </w:pPr>
      <w:r>
        <w:rPr>
          <w:rFonts w:ascii="Courier New" w:cs="Courier New" w:eastAsia="Courier New" w:hAnsi="Courier New"/>
          <w:sz w:val="16"/>
          <w:szCs w:val="16"/>
          <w:color w:val="auto"/>
        </w:rPr>
        <w:t>Capital Research and Management Company, an investment adviser registered under Section 203 of the Investment Advisers Act of 1940 is deemed to be the beneficial owner of 20,621,060 shares or 8.1% of the 254,369,360 shares of Common Stock believed to be outstanding as a result of acting as investment adviser to various investment companies registered under Section 8 of the Investment Company Act of 1940.</w:t>
      </w:r>
    </w:p>
    <w:p>
      <w:pPr>
        <w:spacing w:after="0" w:line="187" w:lineRule="exact"/>
        <w:rPr>
          <w:sz w:val="20"/>
          <w:szCs w:val="20"/>
          <w:color w:val="auto"/>
        </w:rPr>
      </w:pPr>
    </w:p>
    <w:p>
      <w:pPr>
        <w:ind w:left="740" w:right="2859"/>
        <w:spacing w:after="0" w:line="237" w:lineRule="auto"/>
        <w:rPr>
          <w:sz w:val="20"/>
          <w:szCs w:val="20"/>
          <w:color w:val="auto"/>
        </w:rPr>
      </w:pPr>
      <w:r>
        <w:rPr>
          <w:rFonts w:ascii="Courier New" w:cs="Courier New" w:eastAsia="Courier New" w:hAnsi="Courier New"/>
          <w:sz w:val="18"/>
          <w:szCs w:val="18"/>
          <w:color w:val="auto"/>
        </w:rPr>
        <w:t>Shares reported by Capital Research and Management Company includes 741,360 shares resulting from the assumed conversion of $50,000,000 principal amount of the 7.00% Convertible Note, due 2004.</w:t>
      </w:r>
    </w:p>
    <w:p>
      <w:pPr>
        <w:sectPr>
          <w:pgSz w:w="11900" w:h="16838" w:orient="portrait"/>
          <w:cols w:equalWidth="0" w:num="1">
            <w:col w:w="10139"/>
          </w:cols>
          <w:pgMar w:left="320" w:top="919"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5% or Less of a Class: [ ]</w:t>
      </w:r>
    </w:p>
    <w:p>
      <w:pPr>
        <w:spacing w:after="0" w:line="200" w:lineRule="exact"/>
        <w:rPr>
          <w:sz w:val="20"/>
          <w:szCs w:val="20"/>
          <w:color w:val="auto"/>
        </w:rPr>
      </w:pPr>
    </w:p>
    <w:p>
      <w:pPr>
        <w:sectPr>
          <w:pgSz w:w="11900" w:h="16838" w:orient="portrait"/>
          <w:cols w:equalWidth="0" w:num="2">
            <w:col w:w="640" w:space="320"/>
            <w:col w:w="9179"/>
          </w:cols>
          <w:pgMar w:left="320" w:top="91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More than 5% on Behalf of Another Person: N/A</w:t>
      </w:r>
    </w:p>
    <w:p>
      <w:pPr>
        <w:spacing w:after="0" w:line="200" w:lineRule="exact"/>
        <w:rPr>
          <w:sz w:val="20"/>
          <w:szCs w:val="20"/>
          <w:color w:val="auto"/>
        </w:rPr>
      </w:pPr>
    </w:p>
    <w:p>
      <w:pPr>
        <w:sectPr>
          <w:pgSz w:w="11900" w:h="16838" w:orient="portrait"/>
          <w:cols w:equalWidth="0" w:num="2">
            <w:col w:w="640" w:space="320"/>
            <w:col w:w="9179"/>
          </w:cols>
          <w:pgMar w:left="320" w:top="919"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979" w:firstLine="211"/>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 N/A</w:t>
      </w:r>
    </w:p>
    <w:p>
      <w:pPr>
        <w:spacing w:after="0" w:line="200" w:lineRule="exact"/>
        <w:rPr>
          <w:sz w:val="20"/>
          <w:szCs w:val="20"/>
          <w:color w:val="auto"/>
        </w:rPr>
      </w:pPr>
    </w:p>
    <w:p>
      <w:pPr>
        <w:sectPr>
          <w:pgSz w:w="11900" w:h="16838" w:orient="portrait"/>
          <w:cols w:equalWidth="0" w:num="2">
            <w:col w:w="640" w:space="100"/>
            <w:col w:w="9399"/>
          </w:cols>
          <w:pgMar w:left="320" w:top="919" w:right="1440" w:bottom="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595112103</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4</w:t>
      </w:r>
    </w:p>
    <w:p>
      <w:pPr>
        <w:spacing w:after="0" w:line="200" w:lineRule="exact"/>
        <w:rPr>
          <w:sz w:val="20"/>
          <w:szCs w:val="20"/>
          <w:color w:val="auto"/>
        </w:rPr>
      </w:pPr>
    </w:p>
    <w:p>
      <w:pPr>
        <w:sectPr>
          <w:pgSz w:w="11900" w:h="16838" w:orient="portrait"/>
          <w:cols w:equalWidth="0" w:num="2">
            <w:col w:w="6020" w:space="720"/>
            <w:col w:w="3399"/>
          </w:cols>
          <w:pgMar w:left="320" w:top="919" w:right="1440" w:bottom="0" w:gutter="0" w:footer="0" w:header="0"/>
          <w:type w:val="continuous"/>
        </w:sectPr>
      </w:pPr>
    </w:p>
    <w:p>
      <w:pPr>
        <w:spacing w:after="0" w:line="2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N/A</w:t>
      </w:r>
    </w:p>
    <w:p>
      <w:pPr>
        <w:sectPr>
          <w:pgSz w:w="11900" w:h="16838" w:orient="portrait"/>
          <w:cols w:equalWidth="0" w:num="1">
            <w:col w:w="10139"/>
          </w:cols>
          <w:pgMar w:left="320" w:top="919"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the Group:</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640" w:space="320"/>
            <w:col w:w="3680" w:space="220"/>
            <w:col w:w="5279"/>
          </w:cols>
          <w:pgMar w:left="320" w:top="919"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7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ectPr>
          <w:pgSz w:w="11900" w:h="16838" w:orient="portrait"/>
          <w:cols w:equalWidth="0" w:num="1">
            <w:col w:w="10139"/>
          </w:cols>
          <w:pgMar w:left="320" w:top="919"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420" w:right="30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0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420" w:type="dxa"/>
            <w:vAlign w:val="bottom"/>
          </w:tcPr>
          <w:p>
            <w:pPr>
              <w:ind w:left="520"/>
              <w:spacing w:after="0"/>
              <w:rPr>
                <w:sz w:val="20"/>
                <w:szCs w:val="20"/>
                <w:color w:val="auto"/>
              </w:rPr>
            </w:pPr>
            <w:r>
              <w:rPr>
                <w:rFonts w:ascii="Courier New" w:cs="Courier New" w:eastAsia="Courier New" w:hAnsi="Courier New"/>
                <w:sz w:val="18"/>
                <w:szCs w:val="18"/>
                <w:color w:val="auto"/>
              </w:rPr>
              <w:t>February</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w w:val="96"/>
              </w:rPr>
              <w:t>2000 (For the period ended</w:t>
            </w:r>
          </w:p>
        </w:tc>
      </w:tr>
      <w:tr>
        <w:trPr>
          <w:trHeight w:val="203"/>
        </w:trPr>
        <w:tc>
          <w:tcPr>
            <w:tcW w:w="1040" w:type="dxa"/>
            <w:vAlign w:val="bottom"/>
          </w:tcPr>
          <w:p>
            <w:pPr>
              <w:spacing w:after="0"/>
              <w:rPr>
                <w:sz w:val="17"/>
                <w:szCs w:val="17"/>
                <w:color w:val="auto"/>
              </w:rPr>
            </w:pPr>
          </w:p>
        </w:tc>
        <w:tc>
          <w:tcPr>
            <w:tcW w:w="1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December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1999)</w:t>
            </w:r>
          </w:p>
        </w:tc>
      </w:tr>
    </w:tbl>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208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540"/>
        <w:spacing w:after="0"/>
        <w:tabs>
          <w:tab w:leader="none" w:pos="208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ind w:left="210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1" w:lineRule="exact"/>
        <w:rPr>
          <w:sz w:val="20"/>
          <w:szCs w:val="20"/>
          <w:color w:val="auto"/>
        </w:rPr>
      </w:pPr>
    </w:p>
    <w:p>
      <w:pPr>
        <w:ind w:left="210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James P. Ryan</w:t>
      </w:r>
    </w:p>
    <w:p>
      <w:pPr>
        <w:ind w:left="126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260" w:right="265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18, 2000 included as an Exhibit to Schedule 13G filed with the Securities and Exchange Commission by Capital Research and Management Company on February 10, 2000 with respect to 3COM Corporation</w:t>
      </w:r>
    </w:p>
    <w:sectPr>
      <w:pgSz w:w="11900" w:h="16838" w:orient="portrait"/>
      <w:cols w:equalWidth="0" w:num="1">
        <w:col w:w="9819"/>
      </w:cols>
      <w:pgMar w:left="6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5"/>
      <w:numFmt w:val="bullet"/>
      <w:start w:val="1"/>
    </w:lvl>
  </w:abstractNum>
  <w:abstractNum w:abstractNumId="4">
    <w:nsid w:val="2EB141F2"/>
    <w:multiLevelType w:val="hybridMultilevel"/>
    <w:lvl w:ilvl="0">
      <w:lvlJc w:val="left"/>
      <w:lvlText w:val="8"/>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decimal"/>
      <w:start w:val="10"/>
    </w:lvl>
  </w:abstractNum>
  <w:abstractNum w:abstractNumId="7">
    <w:nsid w:val="7545E146"/>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2020-10-06T11:33:16Z</dcterms:created>
  <dcterms:modified xsi:type="dcterms:W3CDTF">2020-10-06T11:33:16Z</dcterms:modified>
</cp:coreProperties>
</file>