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16, 2007</w:t>
      </w:r>
    </w:p>
    <w:p>
      <w:pPr>
        <w:spacing w:after="0" w:line="204" w:lineRule="exact"/>
        <w:rPr>
          <w:sz w:val="24"/>
          <w:szCs w:val="24"/>
          <w:color w:val="auto"/>
        </w:rPr>
      </w:pPr>
    </w:p>
    <w:p>
      <w:pPr>
        <w:ind w:left="99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tbl>
      <w:tblPr>
        <w:tblLayout w:type="fixed"/>
        <w:tblInd w:w="1440" w:type="dxa"/>
        <w:tblCellMar>
          <w:top w:w="0" w:type="dxa"/>
          <w:left w:w="0" w:type="dxa"/>
          <w:bottom w:w="0" w:type="dxa"/>
          <w:right w:w="0" w:type="dxa"/>
        </w:tblCellMar>
      </w:tblPr>
      <w:tr>
        <w:trPr>
          <w:trHeight w:val="284"/>
        </w:trPr>
        <w:tc>
          <w:tcPr>
            <w:tcW w:w="2440" w:type="dxa"/>
            <w:vAlign w:val="bottom"/>
          </w:tcPr>
          <w:p>
            <w:pPr>
              <w:spacing w:after="0"/>
              <w:rPr>
                <w:sz w:val="24"/>
                <w:szCs w:val="24"/>
                <w:color w:val="auto"/>
              </w:rPr>
            </w:pPr>
          </w:p>
        </w:tc>
        <w:tc>
          <w:tcPr>
            <w:tcW w:w="5720" w:type="dxa"/>
            <w:vAlign w:val="bottom"/>
            <w:gridSpan w:val="3"/>
          </w:tcPr>
          <w:p>
            <w:pPr>
              <w:jc w:val="center"/>
              <w:ind w:right="1992"/>
              <w:spacing w:after="0"/>
              <w:rPr>
                <w:sz w:val="20"/>
                <w:szCs w:val="20"/>
                <w:color w:val="auto"/>
              </w:rPr>
            </w:pPr>
            <w:r>
              <w:rPr>
                <w:rFonts w:ascii="Arial" w:cs="Arial" w:eastAsia="Arial" w:hAnsi="Arial"/>
                <w:sz w:val="24"/>
                <w:szCs w:val="24"/>
                <w:b w:val="1"/>
                <w:bCs w:val="1"/>
                <w:color w:val="auto"/>
                <w:w w:val="99"/>
              </w:rPr>
              <w:t>UNITED STATES</w:t>
            </w:r>
          </w:p>
        </w:tc>
      </w:tr>
      <w:tr>
        <w:trPr>
          <w:trHeight w:val="299"/>
        </w:trPr>
        <w:tc>
          <w:tcPr>
            <w:tcW w:w="8160" w:type="dxa"/>
            <w:vAlign w:val="bottom"/>
            <w:gridSpan w:val="4"/>
          </w:tcPr>
          <w:p>
            <w:pPr>
              <w:jc w:val="center"/>
              <w:ind w:left="328"/>
              <w:spacing w:after="0"/>
              <w:rPr>
                <w:sz w:val="20"/>
                <w:szCs w:val="20"/>
                <w:color w:val="auto"/>
              </w:rPr>
            </w:pPr>
            <w:r>
              <w:rPr>
                <w:rFonts w:ascii="Arial" w:cs="Arial" w:eastAsia="Arial" w:hAnsi="Arial"/>
                <w:sz w:val="24"/>
                <w:szCs w:val="24"/>
                <w:b w:val="1"/>
                <w:bCs w:val="1"/>
                <w:color w:val="auto"/>
              </w:rPr>
              <w:t>SECURITIES AND EXCHANGE COMMISSION</w:t>
            </w:r>
          </w:p>
        </w:tc>
      </w:tr>
      <w:tr>
        <w:trPr>
          <w:trHeight w:val="174"/>
        </w:trPr>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00" w:type="dxa"/>
            <w:vAlign w:val="bottom"/>
            <w:gridSpan w:val="2"/>
          </w:tcPr>
          <w:p>
            <w:pPr>
              <w:jc w:val="center"/>
              <w:ind w:right="2992"/>
              <w:spacing w:after="0"/>
              <w:rPr>
                <w:sz w:val="20"/>
                <w:szCs w:val="20"/>
                <w:color w:val="auto"/>
              </w:rPr>
            </w:pPr>
            <w:r>
              <w:rPr>
                <w:rFonts w:ascii="Arial" w:cs="Arial" w:eastAsia="Arial" w:hAnsi="Arial"/>
                <w:sz w:val="14"/>
                <w:szCs w:val="14"/>
                <w:b w:val="1"/>
                <w:bCs w:val="1"/>
                <w:color w:val="auto"/>
                <w:w w:val="88"/>
              </w:rPr>
              <w:t>Washington, D.C. 20549</w:t>
            </w:r>
          </w:p>
        </w:tc>
      </w:tr>
      <w:tr>
        <w:trPr>
          <w:trHeight w:val="213"/>
        </w:trPr>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060" w:type="dxa"/>
            <w:vAlign w:val="bottom"/>
          </w:tcPr>
          <w:p>
            <w:pPr>
              <w:spacing w:after="0"/>
              <w:rPr>
                <w:sz w:val="18"/>
                <w:szCs w:val="18"/>
                <w:color w:val="auto"/>
              </w:rPr>
            </w:pPr>
          </w:p>
        </w:tc>
      </w:tr>
      <w:tr>
        <w:trPr>
          <w:trHeight w:val="484"/>
        </w:trPr>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00" w:type="dxa"/>
            <w:vAlign w:val="bottom"/>
            <w:gridSpan w:val="2"/>
          </w:tcPr>
          <w:p>
            <w:pPr>
              <w:jc w:val="center"/>
              <w:ind w:right="3012"/>
              <w:spacing w:after="0"/>
              <w:rPr>
                <w:sz w:val="20"/>
                <w:szCs w:val="20"/>
                <w:color w:val="auto"/>
              </w:rPr>
            </w:pPr>
            <w:r>
              <w:rPr>
                <w:rFonts w:ascii="Arial" w:cs="Arial" w:eastAsia="Arial" w:hAnsi="Arial"/>
                <w:sz w:val="24"/>
                <w:szCs w:val="24"/>
                <w:b w:val="1"/>
                <w:bCs w:val="1"/>
                <w:color w:val="auto"/>
                <w:w w:val="99"/>
              </w:rPr>
              <w:t>FORM S-3</w:t>
            </w:r>
          </w:p>
        </w:tc>
      </w:tr>
      <w:tr>
        <w:trPr>
          <w:trHeight w:val="149"/>
        </w:trPr>
        <w:tc>
          <w:tcPr>
            <w:tcW w:w="2440" w:type="dxa"/>
            <w:vAlign w:val="bottom"/>
          </w:tcPr>
          <w:p>
            <w:pPr>
              <w:spacing w:after="0"/>
              <w:rPr>
                <w:sz w:val="12"/>
                <w:szCs w:val="12"/>
                <w:color w:val="auto"/>
              </w:rPr>
            </w:pPr>
          </w:p>
        </w:tc>
        <w:tc>
          <w:tcPr>
            <w:tcW w:w="5720" w:type="dxa"/>
            <w:vAlign w:val="bottom"/>
            <w:gridSpan w:val="3"/>
          </w:tcPr>
          <w:p>
            <w:pPr>
              <w:jc w:val="center"/>
              <w:ind w:right="1992"/>
              <w:spacing w:after="0" w:line="149" w:lineRule="exact"/>
              <w:rPr>
                <w:sz w:val="20"/>
                <w:szCs w:val="20"/>
                <w:color w:val="auto"/>
              </w:rPr>
            </w:pPr>
            <w:r>
              <w:rPr>
                <w:rFonts w:ascii="Arial" w:cs="Arial" w:eastAsia="Arial" w:hAnsi="Arial"/>
                <w:sz w:val="14"/>
                <w:szCs w:val="14"/>
                <w:b w:val="1"/>
                <w:bCs w:val="1"/>
                <w:color w:val="auto"/>
                <w:w w:val="97"/>
              </w:rPr>
              <w:t>REGISTRATION STATEMENT</w:t>
            </w:r>
          </w:p>
        </w:tc>
      </w:tr>
      <w:tr>
        <w:trPr>
          <w:trHeight w:val="149"/>
        </w:trPr>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700" w:type="dxa"/>
            <w:vAlign w:val="bottom"/>
            <w:gridSpan w:val="2"/>
          </w:tcPr>
          <w:p>
            <w:pPr>
              <w:jc w:val="center"/>
              <w:ind w:right="2992"/>
              <w:spacing w:after="0" w:line="149" w:lineRule="exact"/>
              <w:rPr>
                <w:sz w:val="20"/>
                <w:szCs w:val="20"/>
                <w:color w:val="auto"/>
              </w:rPr>
            </w:pPr>
            <w:r>
              <w:rPr>
                <w:rFonts w:ascii="Arial" w:cs="Arial" w:eastAsia="Arial" w:hAnsi="Arial"/>
                <w:sz w:val="14"/>
                <w:szCs w:val="14"/>
                <w:b w:val="1"/>
                <w:bCs w:val="1"/>
                <w:color w:val="auto"/>
                <w:w w:val="96"/>
              </w:rPr>
              <w:t>UNDER</w:t>
            </w:r>
          </w:p>
        </w:tc>
      </w:tr>
      <w:tr>
        <w:trPr>
          <w:trHeight w:val="174"/>
        </w:trPr>
        <w:tc>
          <w:tcPr>
            <w:tcW w:w="2440" w:type="dxa"/>
            <w:vAlign w:val="bottom"/>
          </w:tcPr>
          <w:p>
            <w:pPr>
              <w:spacing w:after="0"/>
              <w:rPr>
                <w:sz w:val="15"/>
                <w:szCs w:val="15"/>
                <w:color w:val="auto"/>
              </w:rPr>
            </w:pPr>
          </w:p>
        </w:tc>
        <w:tc>
          <w:tcPr>
            <w:tcW w:w="57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95"/>
              </w:rPr>
              <w:t>THE SECURITIES ACT OF 1933</w:t>
            </w:r>
          </w:p>
        </w:tc>
      </w:tr>
      <w:tr>
        <w:trPr>
          <w:trHeight w:val="213"/>
        </w:trPr>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060" w:type="dxa"/>
            <w:vAlign w:val="bottom"/>
          </w:tcPr>
          <w:p>
            <w:pPr>
              <w:spacing w:after="0"/>
              <w:rPr>
                <w:sz w:val="18"/>
                <w:szCs w:val="18"/>
                <w:color w:val="auto"/>
              </w:rPr>
            </w:pPr>
          </w:p>
        </w:tc>
      </w:tr>
      <w:tr>
        <w:trPr>
          <w:trHeight w:val="486"/>
        </w:trPr>
        <w:tc>
          <w:tcPr>
            <w:tcW w:w="2440" w:type="dxa"/>
            <w:vAlign w:val="bottom"/>
          </w:tcPr>
          <w:p>
            <w:pPr>
              <w:spacing w:after="0"/>
              <w:rPr>
                <w:sz w:val="24"/>
                <w:szCs w:val="24"/>
                <w:color w:val="auto"/>
              </w:rPr>
            </w:pPr>
          </w:p>
        </w:tc>
        <w:tc>
          <w:tcPr>
            <w:tcW w:w="5720" w:type="dxa"/>
            <w:vAlign w:val="bottom"/>
            <w:gridSpan w:val="3"/>
          </w:tcPr>
          <w:p>
            <w:pPr>
              <w:jc w:val="center"/>
              <w:ind w:right="1972"/>
              <w:spacing w:after="0"/>
              <w:rPr>
                <w:sz w:val="20"/>
                <w:szCs w:val="20"/>
                <w:color w:val="auto"/>
              </w:rPr>
            </w:pPr>
            <w:r>
              <w:rPr>
                <w:rFonts w:ascii="Arial" w:cs="Arial" w:eastAsia="Arial" w:hAnsi="Arial"/>
                <w:sz w:val="24"/>
                <w:szCs w:val="24"/>
                <w:b w:val="1"/>
                <w:bCs w:val="1"/>
                <w:color w:val="auto"/>
              </w:rPr>
              <w:t>MICRON TECHNOLOGY, INC.</w:t>
            </w:r>
          </w:p>
        </w:tc>
      </w:tr>
      <w:tr>
        <w:trPr>
          <w:trHeight w:val="172"/>
        </w:trPr>
        <w:tc>
          <w:tcPr>
            <w:tcW w:w="2440" w:type="dxa"/>
            <w:vAlign w:val="bottom"/>
          </w:tcPr>
          <w:p>
            <w:pPr>
              <w:spacing w:after="0"/>
              <w:rPr>
                <w:sz w:val="14"/>
                <w:szCs w:val="14"/>
                <w:color w:val="auto"/>
              </w:rPr>
            </w:pPr>
          </w:p>
        </w:tc>
        <w:tc>
          <w:tcPr>
            <w:tcW w:w="5720" w:type="dxa"/>
            <w:vAlign w:val="bottom"/>
            <w:gridSpan w:val="3"/>
          </w:tcPr>
          <w:p>
            <w:pPr>
              <w:jc w:val="center"/>
              <w:ind w:right="1972"/>
              <w:spacing w:after="0"/>
              <w:rPr>
                <w:sz w:val="20"/>
                <w:szCs w:val="20"/>
                <w:color w:val="auto"/>
              </w:rPr>
            </w:pPr>
            <w:r>
              <w:rPr>
                <w:rFonts w:ascii="Arial" w:cs="Arial" w:eastAsia="Arial" w:hAnsi="Arial"/>
                <w:sz w:val="14"/>
                <w:szCs w:val="14"/>
                <w:color w:val="auto"/>
                <w:w w:val="86"/>
              </w:rPr>
              <w:t>(Exact name of Registrant as specified in its charters)</w:t>
            </w:r>
          </w:p>
        </w:tc>
      </w:tr>
      <w:tr>
        <w:trPr>
          <w:trHeight w:val="213"/>
        </w:trPr>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060" w:type="dxa"/>
            <w:vAlign w:val="bottom"/>
          </w:tcPr>
          <w:p>
            <w:pPr>
              <w:spacing w:after="0"/>
              <w:rPr>
                <w:sz w:val="18"/>
                <w:szCs w:val="18"/>
                <w:color w:val="auto"/>
              </w:rPr>
            </w:pPr>
          </w:p>
        </w:tc>
      </w:tr>
      <w:tr>
        <w:trPr>
          <w:trHeight w:val="243"/>
        </w:trPr>
        <w:tc>
          <w:tcPr>
            <w:tcW w:w="2440" w:type="dxa"/>
            <w:vAlign w:val="bottom"/>
          </w:tcPr>
          <w:p>
            <w:pPr>
              <w:jc w:val="center"/>
              <w:ind w:right="748"/>
              <w:spacing w:after="0"/>
              <w:rPr>
                <w:sz w:val="20"/>
                <w:szCs w:val="20"/>
                <w:color w:val="auto"/>
              </w:rPr>
            </w:pPr>
            <w:r>
              <w:rPr>
                <w:rFonts w:ascii="Arial" w:cs="Arial" w:eastAsia="Arial" w:hAnsi="Arial"/>
                <w:sz w:val="14"/>
                <w:szCs w:val="14"/>
                <w:b w:val="1"/>
                <w:bCs w:val="1"/>
                <w:color w:val="auto"/>
                <w:w w:val="87"/>
              </w:rPr>
              <w:t>Delaware</w:t>
            </w:r>
          </w:p>
        </w:tc>
        <w:tc>
          <w:tcPr>
            <w:tcW w:w="572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85"/>
              </w:rPr>
              <w:t>75-1618004</w:t>
            </w:r>
          </w:p>
        </w:tc>
      </w:tr>
      <w:tr>
        <w:trPr>
          <w:trHeight w:val="149"/>
        </w:trPr>
        <w:tc>
          <w:tcPr>
            <w:tcW w:w="2440" w:type="dxa"/>
            <w:vAlign w:val="bottom"/>
          </w:tcPr>
          <w:p>
            <w:pPr>
              <w:jc w:val="center"/>
              <w:ind w:right="748"/>
              <w:spacing w:after="0" w:line="149" w:lineRule="exact"/>
              <w:rPr>
                <w:sz w:val="20"/>
                <w:szCs w:val="20"/>
                <w:color w:val="auto"/>
              </w:rPr>
            </w:pPr>
            <w:r>
              <w:rPr>
                <w:rFonts w:ascii="Arial" w:cs="Arial" w:eastAsia="Arial" w:hAnsi="Arial"/>
                <w:sz w:val="14"/>
                <w:szCs w:val="14"/>
                <w:color w:val="auto"/>
                <w:w w:val="90"/>
              </w:rPr>
              <w:t>(State or other jurisdiction of</w:t>
            </w:r>
          </w:p>
        </w:tc>
        <w:tc>
          <w:tcPr>
            <w:tcW w:w="1020" w:type="dxa"/>
            <w:vAlign w:val="bottom"/>
          </w:tcPr>
          <w:p>
            <w:pPr>
              <w:spacing w:after="0"/>
              <w:rPr>
                <w:sz w:val="12"/>
                <w:szCs w:val="12"/>
                <w:color w:val="auto"/>
              </w:rPr>
            </w:pPr>
          </w:p>
        </w:tc>
        <w:tc>
          <w:tcPr>
            <w:tcW w:w="4700" w:type="dxa"/>
            <w:vAlign w:val="bottom"/>
            <w:gridSpan w:val="2"/>
          </w:tcPr>
          <w:p>
            <w:pPr>
              <w:jc w:val="center"/>
              <w:ind w:right="6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440" w:type="dxa"/>
            <w:vAlign w:val="bottom"/>
          </w:tcPr>
          <w:p>
            <w:pPr>
              <w:jc w:val="center"/>
              <w:ind w:right="748"/>
              <w:spacing w:after="0"/>
              <w:rPr>
                <w:sz w:val="20"/>
                <w:szCs w:val="20"/>
                <w:color w:val="auto"/>
              </w:rPr>
            </w:pPr>
            <w:r>
              <w:rPr>
                <w:rFonts w:ascii="Arial" w:cs="Arial" w:eastAsia="Arial" w:hAnsi="Arial"/>
                <w:sz w:val="14"/>
                <w:szCs w:val="14"/>
                <w:color w:val="auto"/>
                <w:w w:val="88"/>
              </w:rPr>
              <w:t>incorporation or organization)</w:t>
            </w:r>
          </w:p>
        </w:tc>
        <w:tc>
          <w:tcPr>
            <w:tcW w:w="1020" w:type="dxa"/>
            <w:vAlign w:val="bottom"/>
          </w:tcPr>
          <w:p>
            <w:pPr>
              <w:spacing w:after="0"/>
              <w:rPr>
                <w:sz w:val="14"/>
                <w:szCs w:val="14"/>
                <w:color w:val="auto"/>
              </w:rPr>
            </w:pPr>
          </w:p>
        </w:tc>
        <w:tc>
          <w:tcPr>
            <w:tcW w:w="4700" w:type="dxa"/>
            <w:vAlign w:val="bottom"/>
            <w:gridSpan w:val="2"/>
          </w:tcPr>
          <w:p>
            <w:pPr>
              <w:jc w:val="center"/>
              <w:ind w:right="632"/>
              <w:spacing w:after="0"/>
              <w:rPr>
                <w:sz w:val="20"/>
                <w:szCs w:val="20"/>
                <w:color w:val="auto"/>
              </w:rPr>
            </w:pPr>
            <w:r>
              <w:rPr>
                <w:rFonts w:ascii="Arial" w:cs="Arial" w:eastAsia="Arial" w:hAnsi="Arial"/>
                <w:sz w:val="14"/>
                <w:szCs w:val="14"/>
                <w:color w:val="auto"/>
                <w:w w:val="90"/>
              </w:rPr>
              <w:t>Identification Number)</w:t>
            </w:r>
          </w:p>
        </w:tc>
      </w:tr>
      <w:tr>
        <w:trPr>
          <w:trHeight w:val="339"/>
        </w:trPr>
        <w:tc>
          <w:tcPr>
            <w:tcW w:w="2440" w:type="dxa"/>
            <w:vAlign w:val="bottom"/>
          </w:tcPr>
          <w:p>
            <w:pPr>
              <w:spacing w:after="0"/>
              <w:rPr>
                <w:sz w:val="24"/>
                <w:szCs w:val="24"/>
                <w:color w:val="auto"/>
              </w:rPr>
            </w:pPr>
          </w:p>
        </w:tc>
        <w:tc>
          <w:tcPr>
            <w:tcW w:w="57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7"/>
              </w:rPr>
              <w:t>8000 South Federal Way, P.O. Box 6</w:t>
            </w:r>
          </w:p>
        </w:tc>
      </w:tr>
      <w:tr>
        <w:trPr>
          <w:trHeight w:val="149"/>
        </w:trPr>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700" w:type="dxa"/>
            <w:vAlign w:val="bottom"/>
            <w:gridSpan w:val="2"/>
          </w:tcPr>
          <w:p>
            <w:pPr>
              <w:jc w:val="center"/>
              <w:ind w:right="2992"/>
              <w:spacing w:after="0" w:line="149" w:lineRule="exact"/>
              <w:rPr>
                <w:sz w:val="20"/>
                <w:szCs w:val="20"/>
                <w:color w:val="auto"/>
              </w:rPr>
            </w:pPr>
            <w:r>
              <w:rPr>
                <w:rFonts w:ascii="Arial" w:cs="Arial" w:eastAsia="Arial" w:hAnsi="Arial"/>
                <w:sz w:val="14"/>
                <w:szCs w:val="14"/>
                <w:b w:val="1"/>
                <w:bCs w:val="1"/>
                <w:color w:val="auto"/>
                <w:w w:val="86"/>
              </w:rPr>
              <w:t>Boise, Idaho 83707-0006</w:t>
            </w:r>
          </w:p>
        </w:tc>
      </w:tr>
      <w:tr>
        <w:trPr>
          <w:trHeight w:val="174"/>
        </w:trPr>
        <w:tc>
          <w:tcPr>
            <w:tcW w:w="2440" w:type="dxa"/>
            <w:vAlign w:val="bottom"/>
          </w:tcPr>
          <w:p>
            <w:pPr>
              <w:spacing w:after="0"/>
              <w:rPr>
                <w:sz w:val="15"/>
                <w:szCs w:val="15"/>
                <w:color w:val="auto"/>
              </w:rPr>
            </w:pPr>
          </w:p>
        </w:tc>
        <w:tc>
          <w:tcPr>
            <w:tcW w:w="2660" w:type="dxa"/>
            <w:vAlign w:val="bottom"/>
            <w:gridSpan w:val="2"/>
          </w:tcPr>
          <w:p>
            <w:pPr>
              <w:jc w:val="center"/>
              <w:ind w:left="944"/>
              <w:spacing w:after="0"/>
              <w:rPr>
                <w:sz w:val="20"/>
                <w:szCs w:val="20"/>
                <w:color w:val="auto"/>
              </w:rPr>
            </w:pPr>
            <w:r>
              <w:rPr>
                <w:rFonts w:ascii="Arial" w:cs="Arial" w:eastAsia="Arial" w:hAnsi="Arial"/>
                <w:sz w:val="14"/>
                <w:szCs w:val="14"/>
                <w:b w:val="1"/>
                <w:bCs w:val="1"/>
                <w:color w:val="auto"/>
                <w:w w:val="87"/>
              </w:rPr>
              <w:t>(208) 368-4000</w:t>
            </w:r>
          </w:p>
        </w:tc>
        <w:tc>
          <w:tcPr>
            <w:tcW w:w="3060" w:type="dxa"/>
            <w:vAlign w:val="bottom"/>
          </w:tcPr>
          <w:p>
            <w:pPr>
              <w:spacing w:after="0"/>
              <w:rPr>
                <w:sz w:val="15"/>
                <w:szCs w:val="15"/>
                <w:color w:val="auto"/>
              </w:rPr>
            </w:pPr>
          </w:p>
        </w:tc>
      </w:tr>
      <w:tr>
        <w:trPr>
          <w:trHeight w:val="341"/>
        </w:trPr>
        <w:tc>
          <w:tcPr>
            <w:tcW w:w="2440" w:type="dxa"/>
            <w:vAlign w:val="bottom"/>
          </w:tcPr>
          <w:p>
            <w:pPr>
              <w:spacing w:after="0"/>
              <w:rPr>
                <w:sz w:val="24"/>
                <w:szCs w:val="24"/>
                <w:color w:val="auto"/>
              </w:rPr>
            </w:pPr>
          </w:p>
        </w:tc>
        <w:tc>
          <w:tcPr>
            <w:tcW w:w="5720" w:type="dxa"/>
            <w:vAlign w:val="bottom"/>
            <w:gridSpan w:val="3"/>
          </w:tcPr>
          <w:p>
            <w:pPr>
              <w:jc w:val="center"/>
              <w:ind w:right="1972"/>
              <w:spacing w:after="0"/>
              <w:rPr>
                <w:sz w:val="20"/>
                <w:szCs w:val="20"/>
                <w:color w:val="auto"/>
              </w:rPr>
            </w:pPr>
            <w:r>
              <w:rPr>
                <w:rFonts w:ascii="Arial" w:cs="Arial" w:eastAsia="Arial" w:hAnsi="Arial"/>
                <w:sz w:val="14"/>
                <w:szCs w:val="14"/>
                <w:color w:val="auto"/>
                <w:w w:val="88"/>
              </w:rPr>
              <w:t>(Address, including zip code, and telephone number, including</w:t>
            </w:r>
          </w:p>
        </w:tc>
      </w:tr>
      <w:tr>
        <w:trPr>
          <w:trHeight w:val="172"/>
        </w:trPr>
        <w:tc>
          <w:tcPr>
            <w:tcW w:w="2440" w:type="dxa"/>
            <w:vAlign w:val="bottom"/>
          </w:tcPr>
          <w:p>
            <w:pPr>
              <w:spacing w:after="0"/>
              <w:rPr>
                <w:sz w:val="14"/>
                <w:szCs w:val="14"/>
                <w:color w:val="auto"/>
              </w:rPr>
            </w:pPr>
          </w:p>
        </w:tc>
        <w:tc>
          <w:tcPr>
            <w:tcW w:w="5720" w:type="dxa"/>
            <w:vAlign w:val="bottom"/>
            <w:gridSpan w:val="3"/>
          </w:tcPr>
          <w:p>
            <w:pPr>
              <w:jc w:val="center"/>
              <w:ind w:right="1992"/>
              <w:spacing w:after="0"/>
              <w:rPr>
                <w:sz w:val="20"/>
                <w:szCs w:val="20"/>
                <w:color w:val="auto"/>
              </w:rPr>
            </w:pPr>
            <w:r>
              <w:rPr>
                <w:rFonts w:ascii="Arial" w:cs="Arial" w:eastAsia="Arial" w:hAnsi="Arial"/>
                <w:sz w:val="14"/>
                <w:szCs w:val="14"/>
                <w:color w:val="auto"/>
                <w:w w:val="87"/>
              </w:rPr>
              <w:t>area code, of Registrants' principal executive offices)</w:t>
            </w:r>
          </w:p>
        </w:tc>
      </w:tr>
      <w:tr>
        <w:trPr>
          <w:trHeight w:val="213"/>
        </w:trPr>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060" w:type="dxa"/>
            <w:vAlign w:val="bottom"/>
          </w:tcPr>
          <w:p>
            <w:pPr>
              <w:spacing w:after="0"/>
              <w:rPr>
                <w:sz w:val="18"/>
                <w:szCs w:val="18"/>
                <w:color w:val="auto"/>
              </w:rPr>
            </w:pPr>
          </w:p>
        </w:tc>
      </w:tr>
      <w:tr>
        <w:trPr>
          <w:trHeight w:val="349"/>
        </w:trPr>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00" w:type="dxa"/>
            <w:vAlign w:val="bottom"/>
            <w:gridSpan w:val="2"/>
          </w:tcPr>
          <w:p>
            <w:pPr>
              <w:jc w:val="center"/>
              <w:ind w:right="3012"/>
              <w:spacing w:after="0"/>
              <w:rPr>
                <w:sz w:val="20"/>
                <w:szCs w:val="20"/>
                <w:color w:val="auto"/>
              </w:rPr>
            </w:pPr>
            <w:r>
              <w:rPr>
                <w:rFonts w:ascii="Arial" w:cs="Arial" w:eastAsia="Arial" w:hAnsi="Arial"/>
                <w:sz w:val="14"/>
                <w:szCs w:val="14"/>
                <w:b w:val="1"/>
                <w:bCs w:val="1"/>
                <w:color w:val="auto"/>
                <w:w w:val="86"/>
              </w:rPr>
              <w:t>W. G. Stover, Jr.</w:t>
            </w:r>
          </w:p>
        </w:tc>
      </w:tr>
      <w:tr>
        <w:trPr>
          <w:trHeight w:val="149"/>
        </w:trPr>
        <w:tc>
          <w:tcPr>
            <w:tcW w:w="2440" w:type="dxa"/>
            <w:vAlign w:val="bottom"/>
          </w:tcPr>
          <w:p>
            <w:pPr>
              <w:spacing w:after="0"/>
              <w:rPr>
                <w:sz w:val="12"/>
                <w:szCs w:val="12"/>
                <w:color w:val="auto"/>
              </w:rPr>
            </w:pPr>
          </w:p>
        </w:tc>
        <w:tc>
          <w:tcPr>
            <w:tcW w:w="5720" w:type="dxa"/>
            <w:vAlign w:val="bottom"/>
            <w:gridSpan w:val="3"/>
          </w:tcPr>
          <w:p>
            <w:pPr>
              <w:jc w:val="center"/>
              <w:ind w:right="1972"/>
              <w:spacing w:after="0" w:line="149" w:lineRule="exact"/>
              <w:rPr>
                <w:sz w:val="20"/>
                <w:szCs w:val="20"/>
                <w:color w:val="auto"/>
              </w:rPr>
            </w:pPr>
            <w:r>
              <w:rPr>
                <w:rFonts w:ascii="Arial" w:cs="Arial" w:eastAsia="Arial" w:hAnsi="Arial"/>
                <w:sz w:val="14"/>
                <w:szCs w:val="14"/>
                <w:b w:val="1"/>
                <w:bCs w:val="1"/>
                <w:color w:val="auto"/>
                <w:w w:val="87"/>
              </w:rPr>
              <w:t>Vice President of Finance and Chief Financial Officer</w:t>
            </w:r>
          </w:p>
        </w:tc>
      </w:tr>
      <w:tr>
        <w:trPr>
          <w:trHeight w:val="149"/>
        </w:trPr>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700" w:type="dxa"/>
            <w:vAlign w:val="bottom"/>
            <w:gridSpan w:val="2"/>
          </w:tcPr>
          <w:p>
            <w:pPr>
              <w:jc w:val="center"/>
              <w:ind w:right="2992"/>
              <w:spacing w:after="0" w:line="149" w:lineRule="exact"/>
              <w:rPr>
                <w:sz w:val="20"/>
                <w:szCs w:val="20"/>
                <w:color w:val="auto"/>
              </w:rPr>
            </w:pPr>
            <w:r>
              <w:rPr>
                <w:rFonts w:ascii="Arial" w:cs="Arial" w:eastAsia="Arial" w:hAnsi="Arial"/>
                <w:sz w:val="14"/>
                <w:szCs w:val="14"/>
                <w:b w:val="1"/>
                <w:bCs w:val="1"/>
                <w:color w:val="auto"/>
                <w:w w:val="87"/>
              </w:rPr>
              <w:t>Micron Technology, Inc.</w:t>
            </w:r>
          </w:p>
        </w:tc>
      </w:tr>
      <w:tr>
        <w:trPr>
          <w:trHeight w:val="149"/>
        </w:trPr>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700" w:type="dxa"/>
            <w:vAlign w:val="bottom"/>
            <w:gridSpan w:val="2"/>
          </w:tcPr>
          <w:p>
            <w:pPr>
              <w:jc w:val="center"/>
              <w:ind w:right="3012"/>
              <w:spacing w:after="0" w:line="149" w:lineRule="exact"/>
              <w:rPr>
                <w:sz w:val="20"/>
                <w:szCs w:val="20"/>
                <w:color w:val="auto"/>
              </w:rPr>
            </w:pPr>
            <w:r>
              <w:rPr>
                <w:rFonts w:ascii="Arial" w:cs="Arial" w:eastAsia="Arial" w:hAnsi="Arial"/>
                <w:sz w:val="14"/>
                <w:szCs w:val="14"/>
                <w:b w:val="1"/>
                <w:bCs w:val="1"/>
                <w:color w:val="auto"/>
                <w:w w:val="88"/>
              </w:rPr>
              <w:t>8000 South Federal Way</w:t>
            </w:r>
          </w:p>
        </w:tc>
      </w:tr>
      <w:tr>
        <w:trPr>
          <w:trHeight w:val="149"/>
        </w:trPr>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700" w:type="dxa"/>
            <w:vAlign w:val="bottom"/>
            <w:gridSpan w:val="2"/>
          </w:tcPr>
          <w:p>
            <w:pPr>
              <w:jc w:val="center"/>
              <w:ind w:right="2992"/>
              <w:spacing w:after="0" w:line="149" w:lineRule="exact"/>
              <w:rPr>
                <w:sz w:val="20"/>
                <w:szCs w:val="20"/>
                <w:color w:val="auto"/>
              </w:rPr>
            </w:pPr>
            <w:r>
              <w:rPr>
                <w:rFonts w:ascii="Arial" w:cs="Arial" w:eastAsia="Arial" w:hAnsi="Arial"/>
                <w:sz w:val="14"/>
                <w:szCs w:val="14"/>
                <w:b w:val="1"/>
                <w:bCs w:val="1"/>
                <w:color w:val="auto"/>
                <w:w w:val="86"/>
              </w:rPr>
              <w:t>Boise, Idaho 83716-9632</w:t>
            </w:r>
          </w:p>
        </w:tc>
      </w:tr>
      <w:tr>
        <w:trPr>
          <w:trHeight w:val="174"/>
        </w:trPr>
        <w:tc>
          <w:tcPr>
            <w:tcW w:w="2440" w:type="dxa"/>
            <w:vAlign w:val="bottom"/>
          </w:tcPr>
          <w:p>
            <w:pPr>
              <w:spacing w:after="0"/>
              <w:rPr>
                <w:sz w:val="15"/>
                <w:szCs w:val="15"/>
                <w:color w:val="auto"/>
              </w:rPr>
            </w:pPr>
          </w:p>
        </w:tc>
        <w:tc>
          <w:tcPr>
            <w:tcW w:w="2660" w:type="dxa"/>
            <w:vAlign w:val="bottom"/>
            <w:gridSpan w:val="2"/>
          </w:tcPr>
          <w:p>
            <w:pPr>
              <w:jc w:val="center"/>
              <w:ind w:left="944"/>
              <w:spacing w:after="0"/>
              <w:rPr>
                <w:sz w:val="20"/>
                <w:szCs w:val="20"/>
                <w:color w:val="auto"/>
              </w:rPr>
            </w:pPr>
            <w:r>
              <w:rPr>
                <w:rFonts w:ascii="Arial" w:cs="Arial" w:eastAsia="Arial" w:hAnsi="Arial"/>
                <w:sz w:val="14"/>
                <w:szCs w:val="14"/>
                <w:b w:val="1"/>
                <w:bCs w:val="1"/>
                <w:color w:val="auto"/>
                <w:w w:val="87"/>
              </w:rPr>
              <w:t>(208) 368-4000</w:t>
            </w:r>
          </w:p>
        </w:tc>
        <w:tc>
          <w:tcPr>
            <w:tcW w:w="3060" w:type="dxa"/>
            <w:vAlign w:val="bottom"/>
          </w:tcPr>
          <w:p>
            <w:pPr>
              <w:spacing w:after="0"/>
              <w:rPr>
                <w:sz w:val="15"/>
                <w:szCs w:val="15"/>
                <w:color w:val="auto"/>
              </w:rPr>
            </w:pPr>
          </w:p>
        </w:tc>
      </w:tr>
      <w:tr>
        <w:trPr>
          <w:trHeight w:val="365"/>
        </w:trPr>
        <w:tc>
          <w:tcPr>
            <w:tcW w:w="8160" w:type="dxa"/>
            <w:vAlign w:val="bottom"/>
            <w:gridSpan w:val="4"/>
          </w:tcPr>
          <w:p>
            <w:pPr>
              <w:jc w:val="center"/>
              <w:ind w:left="308"/>
              <w:spacing w:after="0"/>
              <w:rPr>
                <w:sz w:val="20"/>
                <w:szCs w:val="20"/>
                <w:color w:val="auto"/>
              </w:rPr>
            </w:pPr>
            <w:r>
              <w:rPr>
                <w:rFonts w:ascii="Arial" w:cs="Arial" w:eastAsia="Arial" w:hAnsi="Arial"/>
                <w:sz w:val="14"/>
                <w:szCs w:val="14"/>
                <w:color w:val="auto"/>
                <w:w w:val="87"/>
              </w:rPr>
              <w:t>(Name, address, including zip code, and telephone number, including area code, of agent for service)</w:t>
            </w:r>
          </w:p>
        </w:tc>
      </w:tr>
      <w:tr>
        <w:trPr>
          <w:trHeight w:val="365"/>
        </w:trPr>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00" w:type="dxa"/>
            <w:vAlign w:val="bottom"/>
            <w:gridSpan w:val="2"/>
          </w:tcPr>
          <w:p>
            <w:pPr>
              <w:jc w:val="center"/>
              <w:ind w:right="3012"/>
              <w:spacing w:after="0"/>
              <w:rPr>
                <w:sz w:val="20"/>
                <w:szCs w:val="20"/>
                <w:color w:val="auto"/>
              </w:rPr>
            </w:pPr>
            <w:r>
              <w:rPr>
                <w:rFonts w:ascii="Arial" w:cs="Arial" w:eastAsia="Arial" w:hAnsi="Arial"/>
                <w:sz w:val="14"/>
                <w:szCs w:val="14"/>
                <w:b w:val="1"/>
                <w:bCs w:val="1"/>
                <w:color w:val="auto"/>
                <w:w w:val="84"/>
              </w:rPr>
              <w:t>Copies to:</w:t>
            </w:r>
          </w:p>
        </w:tc>
      </w:tr>
      <w:tr>
        <w:trPr>
          <w:trHeight w:val="487"/>
        </w:trPr>
        <w:tc>
          <w:tcPr>
            <w:tcW w:w="2440" w:type="dxa"/>
            <w:vAlign w:val="bottom"/>
          </w:tcPr>
          <w:p>
            <w:pPr>
              <w:jc w:val="center"/>
              <w:ind w:left="228"/>
              <w:spacing w:after="0"/>
              <w:rPr>
                <w:sz w:val="20"/>
                <w:szCs w:val="20"/>
                <w:color w:val="auto"/>
              </w:rPr>
            </w:pPr>
            <w:r>
              <w:rPr>
                <w:rFonts w:ascii="Arial" w:cs="Arial" w:eastAsia="Arial" w:hAnsi="Arial"/>
                <w:sz w:val="14"/>
                <w:szCs w:val="14"/>
                <w:b w:val="1"/>
                <w:bCs w:val="1"/>
                <w:color w:val="auto"/>
                <w:w w:val="86"/>
              </w:rPr>
              <w:t>John A. Fore, Esq.</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60" w:type="dxa"/>
            <w:vAlign w:val="bottom"/>
          </w:tcPr>
          <w:p>
            <w:pPr>
              <w:jc w:val="center"/>
              <w:ind w:left="1052"/>
              <w:spacing w:after="0"/>
              <w:rPr>
                <w:sz w:val="20"/>
                <w:szCs w:val="20"/>
                <w:color w:val="auto"/>
              </w:rPr>
            </w:pPr>
            <w:r>
              <w:rPr>
                <w:rFonts w:ascii="Arial" w:cs="Arial" w:eastAsia="Arial" w:hAnsi="Arial"/>
                <w:sz w:val="14"/>
                <w:szCs w:val="14"/>
                <w:b w:val="1"/>
                <w:bCs w:val="1"/>
                <w:color w:val="auto"/>
                <w:w w:val="91"/>
              </w:rPr>
              <w:t>William H. Hinman, Esq.</w:t>
            </w:r>
          </w:p>
        </w:tc>
      </w:tr>
      <w:tr>
        <w:trPr>
          <w:trHeight w:val="149"/>
        </w:trPr>
        <w:tc>
          <w:tcPr>
            <w:tcW w:w="2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Wilson Sonsini Goodrich &amp; Rosati</w:t>
            </w:r>
          </w:p>
        </w:tc>
        <w:tc>
          <w:tcPr>
            <w:tcW w:w="1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6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0"/>
              </w:rPr>
              <w:t>Simpson Thacher &amp; Bartlett LLP</w:t>
            </w:r>
          </w:p>
        </w:tc>
      </w:tr>
      <w:tr>
        <w:trPr>
          <w:trHeight w:val="149"/>
        </w:trPr>
        <w:tc>
          <w:tcPr>
            <w:tcW w:w="2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6"/>
              </w:rPr>
              <w:t>Professional Corporation</w:t>
            </w:r>
          </w:p>
        </w:tc>
        <w:tc>
          <w:tcPr>
            <w:tcW w:w="1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6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87"/>
              </w:rPr>
              <w:t>2550 Hanover Street</w:t>
            </w:r>
          </w:p>
        </w:tc>
      </w:tr>
      <w:tr>
        <w:trPr>
          <w:trHeight w:val="149"/>
        </w:trPr>
        <w:tc>
          <w:tcPr>
            <w:tcW w:w="2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650 Page Mill Road</w:t>
            </w:r>
          </w:p>
        </w:tc>
        <w:tc>
          <w:tcPr>
            <w:tcW w:w="1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6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8"/>
              </w:rPr>
              <w:t>Palo Alto, CA 94304</w:t>
            </w:r>
          </w:p>
        </w:tc>
      </w:tr>
      <w:tr>
        <w:trPr>
          <w:trHeight w:val="149"/>
        </w:trPr>
        <w:tc>
          <w:tcPr>
            <w:tcW w:w="2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Palo Alto, CA 94304</w:t>
            </w:r>
          </w:p>
        </w:tc>
        <w:tc>
          <w:tcPr>
            <w:tcW w:w="5720" w:type="dxa"/>
            <w:vAlign w:val="bottom"/>
            <w:gridSpan w:val="3"/>
          </w:tcPr>
          <w:p>
            <w:pPr>
              <w:jc w:val="center"/>
              <w:ind w:left="3684"/>
              <w:spacing w:after="0" w:line="149" w:lineRule="exact"/>
              <w:rPr>
                <w:sz w:val="20"/>
                <w:szCs w:val="20"/>
                <w:color w:val="auto"/>
              </w:rPr>
            </w:pPr>
            <w:r>
              <w:rPr>
                <w:rFonts w:ascii="Arial" w:cs="Arial" w:eastAsia="Arial" w:hAnsi="Arial"/>
                <w:sz w:val="14"/>
                <w:szCs w:val="14"/>
                <w:b w:val="1"/>
                <w:bCs w:val="1"/>
                <w:color w:val="auto"/>
                <w:w w:val="87"/>
              </w:rPr>
              <w:t>(650) 251-5000</w:t>
            </w:r>
          </w:p>
        </w:tc>
      </w:tr>
      <w:tr>
        <w:trPr>
          <w:trHeight w:val="174"/>
        </w:trPr>
        <w:tc>
          <w:tcPr>
            <w:tcW w:w="24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(650) 493-9300</w:t>
            </w: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105"/>
        </w:trPr>
        <w:tc>
          <w:tcPr>
            <w:tcW w:w="2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-4636770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-4636770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-3881755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-3881755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-3315970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-3315970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-2063750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-2063750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From time to time after the effective date of this registration statement. </w:t>
      </w:r>
      <w:r>
        <w:rPr>
          <w:rFonts w:ascii="Arial" w:cs="Arial" w:eastAsia="Arial" w:hAnsi="Arial"/>
          <w:sz w:val="14"/>
          <w:szCs w:val="14"/>
          <w:i w:val="1"/>
          <w:i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280"/>
        <w:spacing w:after="0"/>
        <w:tabs>
          <w:tab w:leader="none" w:pos="86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40" w:firstLine="270"/>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100" w:firstLine="270"/>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80" w:firstLine="270"/>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40" w:firstLine="270"/>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6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Proposed maximum</w:t>
            </w:r>
          </w:p>
        </w:tc>
        <w:tc>
          <w:tcPr>
            <w:tcW w:w="18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49"/>
        </w:trPr>
        <w:tc>
          <w:tcPr>
            <w:tcW w:w="4180" w:type="dxa"/>
            <w:vAlign w:val="bottom"/>
          </w:tcPr>
          <w:p>
            <w:pPr>
              <w:spacing w:after="0"/>
              <w:rPr>
                <w:sz w:val="12"/>
                <w:szCs w:val="12"/>
                <w:color w:val="auto"/>
              </w:rPr>
            </w:pPr>
          </w:p>
        </w:tc>
        <w:tc>
          <w:tcPr>
            <w:tcW w:w="17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Amount to be</w:t>
            </w:r>
          </w:p>
        </w:tc>
        <w:tc>
          <w:tcPr>
            <w:tcW w:w="20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aggregate offering price per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Proposed maximum</w:t>
            </w:r>
          </w:p>
        </w:tc>
        <w:tc>
          <w:tcPr>
            <w:tcW w:w="16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5"/>
              </w:rPr>
              <w:t>Amount of registration</w:t>
            </w:r>
          </w:p>
        </w:tc>
      </w:tr>
      <w:tr>
        <w:trPr>
          <w:trHeight w:val="174"/>
        </w:trPr>
        <w:tc>
          <w:tcPr>
            <w:tcW w:w="4180" w:type="dxa"/>
            <w:vAlign w:val="bottom"/>
          </w:tcPr>
          <w:p>
            <w:pPr>
              <w:ind w:left="720"/>
              <w:spacing w:after="0"/>
              <w:rPr>
                <w:sz w:val="20"/>
                <w:szCs w:val="20"/>
                <w:color w:val="auto"/>
              </w:rPr>
            </w:pPr>
            <w:r>
              <w:rPr>
                <w:rFonts w:ascii="Arial" w:cs="Arial" w:eastAsia="Arial" w:hAnsi="Arial"/>
                <w:sz w:val="14"/>
                <w:szCs w:val="14"/>
                <w:b w:val="1"/>
                <w:bCs w:val="1"/>
                <w:color w:val="auto"/>
              </w:rPr>
              <w:t>Title of each class of securities to be registered(1)</w:t>
            </w:r>
          </w:p>
        </w:tc>
        <w:tc>
          <w:tcPr>
            <w:tcW w:w="174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registered(2)</w:t>
            </w:r>
          </w:p>
        </w:tc>
        <w:tc>
          <w:tcPr>
            <w:tcW w:w="2060" w:type="dxa"/>
            <w:vAlign w:val="bottom"/>
          </w:tcPr>
          <w:p>
            <w:pPr>
              <w:jc w:val="center"/>
              <w:ind w:left="132"/>
              <w:spacing w:after="0"/>
              <w:rPr>
                <w:sz w:val="20"/>
                <w:szCs w:val="20"/>
                <w:color w:val="auto"/>
              </w:rPr>
            </w:pPr>
            <w:r>
              <w:rPr>
                <w:rFonts w:ascii="Arial" w:cs="Arial" w:eastAsia="Arial" w:hAnsi="Arial"/>
                <w:sz w:val="14"/>
                <w:szCs w:val="14"/>
                <w:b w:val="1"/>
                <w:bCs w:val="1"/>
                <w:color w:val="auto"/>
                <w:w w:val="88"/>
              </w:rPr>
              <w:t>unit(2)</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 offering price(2)</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fee(2)</w:t>
            </w:r>
          </w:p>
        </w:tc>
      </w:tr>
      <w:tr>
        <w:trPr>
          <w:trHeight w:val="105"/>
        </w:trPr>
        <w:tc>
          <w:tcPr>
            <w:tcW w:w="41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266"/>
        </w:trPr>
        <w:tc>
          <w:tcPr>
            <w:tcW w:w="4180" w:type="dxa"/>
            <w:vAlign w:val="bottom"/>
          </w:tcPr>
          <w:p>
            <w:pPr>
              <w:spacing w:after="0"/>
              <w:rPr>
                <w:sz w:val="20"/>
                <w:szCs w:val="20"/>
                <w:color w:val="auto"/>
              </w:rPr>
            </w:pPr>
            <w:r>
              <w:rPr>
                <w:rFonts w:ascii="Arial" w:cs="Arial" w:eastAsia="Arial" w:hAnsi="Arial"/>
                <w:sz w:val="14"/>
                <w:szCs w:val="14"/>
                <w:color w:val="auto"/>
              </w:rPr>
              <w:t>Convertible Senior Notes</w:t>
            </w:r>
          </w:p>
        </w:tc>
        <w:tc>
          <w:tcPr>
            <w:tcW w:w="1740" w:type="dxa"/>
            <w:vAlign w:val="bottom"/>
          </w:tcPr>
          <w:p>
            <w:pPr>
              <w:jc w:val="center"/>
              <w:ind w:left="252"/>
              <w:spacing w:after="0"/>
              <w:rPr>
                <w:sz w:val="20"/>
                <w:szCs w:val="20"/>
                <w:color w:val="auto"/>
              </w:rPr>
            </w:pPr>
            <w:r>
              <w:rPr>
                <w:rFonts w:ascii="Arial" w:cs="Arial" w:eastAsia="Arial" w:hAnsi="Arial"/>
                <w:sz w:val="14"/>
                <w:szCs w:val="14"/>
                <w:color w:val="auto"/>
                <w:w w:val="99"/>
              </w:rPr>
              <w:t>—</w:t>
            </w:r>
          </w:p>
        </w:tc>
        <w:tc>
          <w:tcPr>
            <w:tcW w:w="206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05"/>
        </w:trPr>
        <w:tc>
          <w:tcPr>
            <w:tcW w:w="41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266"/>
        </w:trPr>
        <w:tc>
          <w:tcPr>
            <w:tcW w:w="4180" w:type="dxa"/>
            <w:vAlign w:val="bottom"/>
          </w:tcPr>
          <w:p>
            <w:pPr>
              <w:spacing w:after="0"/>
              <w:rPr>
                <w:sz w:val="20"/>
                <w:szCs w:val="20"/>
                <w:color w:val="auto"/>
              </w:rPr>
            </w:pPr>
            <w:r>
              <w:rPr>
                <w:rFonts w:ascii="Arial" w:cs="Arial" w:eastAsia="Arial" w:hAnsi="Arial"/>
                <w:sz w:val="14"/>
                <w:szCs w:val="14"/>
                <w:color w:val="auto"/>
              </w:rPr>
              <w:t>Common Stock $0.10 par value per share</w:t>
            </w:r>
          </w:p>
        </w:tc>
        <w:tc>
          <w:tcPr>
            <w:tcW w:w="1740" w:type="dxa"/>
            <w:vAlign w:val="bottom"/>
          </w:tcPr>
          <w:p>
            <w:pPr>
              <w:jc w:val="center"/>
              <w:ind w:left="252"/>
              <w:spacing w:after="0"/>
              <w:rPr>
                <w:sz w:val="20"/>
                <w:szCs w:val="20"/>
                <w:color w:val="auto"/>
              </w:rPr>
            </w:pPr>
            <w:r>
              <w:rPr>
                <w:rFonts w:ascii="Arial" w:cs="Arial" w:eastAsia="Arial" w:hAnsi="Arial"/>
                <w:sz w:val="14"/>
                <w:szCs w:val="14"/>
                <w:color w:val="auto"/>
                <w:w w:val="99"/>
              </w:rPr>
              <w:t>—</w:t>
            </w:r>
          </w:p>
        </w:tc>
        <w:tc>
          <w:tcPr>
            <w:tcW w:w="206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-431800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sectPr>
      </w:pPr>
    </w:p>
    <w:bookmarkStart w:id="1" w:name="page2"/>
    <w:bookmarkEnd w:id="1"/>
    <w:p>
      <w:pPr>
        <w:spacing w:after="0"/>
        <w:tabs>
          <w:tab w:leader="none" w:pos="5120" w:val="left"/>
          <w:tab w:leader="none" w:pos="6960" w:val="left"/>
          <w:tab w:leader="none" w:pos="8780" w:val="left"/>
          <w:tab w:leader="none" w:pos="105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Total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40" w:right="6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number of or aggregate principal amount of the securities of each identified class is being registered as may at various times be issued at indeterminate prices. The registrant is deferring payment of the amount of the registration fee in reliance on Rule 456(b) and Rule 457(r) under the Securities Act.</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aggregate initial offering price or number of the securities of each identified class is being registered as may from time to time be offered at unspecified prices. In accordance with Rules 456(b) and 457(r),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667385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264" w:right="619" w:bottom="1440" w:gutter="0" w:footer="0" w:header="0"/>
        </w:sectPr>
      </w:pPr>
    </w:p>
    <w:bookmarkStart w:id="2" w:name="page3"/>
    <w:bookmarkEnd w:id="2"/>
    <w:p>
      <w:pPr>
        <w:spacing w:after="0" w:line="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FF4040"/>
        </w:rPr>
        <w:t>The information in this prospectus is not complete and may be changed. This prospectus is not an offer to sell these securities nor a solicitation of an offer to buy these securities in any jurisdiction where the offer or sale is not permitted.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FF4040"/>
        </w:rPr>
        <w:t>PROSPECTUS (Subject to completion)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FF4040"/>
        </w:rPr>
        <w:t>Issued May 16,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148590</wp:posOffset>
            </wp:positionV>
            <wp:extent cx="167259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7259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auto"/>
        </w:rPr>
        <w:t>Micron Technology,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$1,100,000,000</w:t>
      </w:r>
    </w:p>
    <w:p>
      <w:pPr>
        <w:spacing w:after="0" w:line="13" w:lineRule="exact"/>
        <w:rPr>
          <w:sz w:val="20"/>
          <w:szCs w:val="20"/>
          <w:color w:val="auto"/>
        </w:rPr>
      </w:pPr>
    </w:p>
    <w:p>
      <w:pPr>
        <w:jc w:val="both"/>
        <w:ind w:left="4180" w:right="4180" w:firstLine="359"/>
        <w:spacing w:after="0" w:line="930" w:lineRule="auto"/>
        <w:tabs>
          <w:tab w:leader="none" w:pos="4725"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Convertible Senior Notes due 2014 Interest payable on June 1 and December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-578485</wp:posOffset>
            </wp:positionV>
            <wp:extent cx="79311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3115" cy="215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-149860</wp:posOffset>
            </wp:positionV>
            <wp:extent cx="79311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tabs>
          <w:tab w:leader="none" w:pos="2100" w:val="left"/>
          <w:tab w:leader="none" w:pos="8300" w:val="left"/>
        </w:tabs>
        <w:rPr>
          <w:sz w:val="20"/>
          <w:szCs w:val="20"/>
          <w:color w:val="auto"/>
        </w:rPr>
      </w:pPr>
      <w:r>
        <w:rPr>
          <w:rFonts w:ascii="Arial" w:cs="Arial" w:eastAsia="Arial" w:hAnsi="Arial"/>
          <w:sz w:val="18"/>
          <w:szCs w:val="18"/>
          <w:b w:val="1"/>
          <w:bCs w:val="1"/>
          <w:i w:val="1"/>
          <w:iCs w:val="1"/>
          <w:color w:val="auto"/>
        </w:rPr>
        <w:t>Holders may convert their</w:t>
        <w:tab/>
        <w:t>% Convertible Senior Notes due June 1, 2014, based on a conversion rate of</w:t>
      </w:r>
      <w:r>
        <w:rPr>
          <w:sz w:val="20"/>
          <w:szCs w:val="20"/>
          <w:color w:val="auto"/>
        </w:rPr>
        <w:tab/>
      </w:r>
      <w:r>
        <w:rPr>
          <w:rFonts w:ascii="Arial" w:cs="Arial" w:eastAsia="Arial" w:hAnsi="Arial"/>
          <w:sz w:val="14"/>
          <w:szCs w:val="14"/>
          <w:b w:val="1"/>
          <w:bCs w:val="1"/>
          <w:i w:val="1"/>
          <w:iCs w:val="1"/>
          <w:color w:val="auto"/>
        </w:rPr>
        <w:t>shares of common stock per $1,000</w:t>
      </w:r>
    </w:p>
    <w:p>
      <w:pPr>
        <w:spacing w:after="0" w:line="15"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b w:val="1"/>
          <w:bCs w:val="1"/>
          <w:i w:val="1"/>
          <w:iCs w:val="1"/>
          <w:color w:val="auto"/>
        </w:rPr>
        <w:t>principal amount of notes (which is equal to an initial conversion price of approximately $</w:t>
      </w:r>
      <w:r>
        <w:rPr>
          <w:sz w:val="20"/>
          <w:szCs w:val="20"/>
          <w:color w:val="auto"/>
        </w:rPr>
        <w:tab/>
      </w:r>
      <w:r>
        <w:rPr>
          <w:rFonts w:ascii="Arial" w:cs="Arial" w:eastAsia="Arial" w:hAnsi="Arial"/>
          <w:sz w:val="14"/>
          <w:szCs w:val="14"/>
          <w:b w:val="1"/>
          <w:bCs w:val="1"/>
          <w:i w:val="1"/>
          <w:iCs w:val="1"/>
          <w:color w:val="auto"/>
        </w:rPr>
        <w:t>per share of common stock), subject to adjustment, on or</w:t>
      </w:r>
    </w:p>
    <w:p>
      <w:pPr>
        <w:spacing w:after="0" w:line="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prior to the close of business on the business day immediately preceding the maturity date for the notes only under the following circumstances: (1) if the closing price of our common stock reaches a specified threshold and remains at or exceeds such threshold for a specified period, (2) if the notes are called for redemption, (3) if specified distributions to holders of our common stock are made or specified corporate events occur, (4) during the five business days after any five consecutive trading day period in which the trading price per $1,000 principal amount of notes for each day of that period was less than 98% of the product of the closing price of our common stock and the then applicable conversion rate or (5) during the last three months prior to the maturity date of the notes. Upon conversion, we will have the right to deliver, in lieu of shares of our common stock, cash or a combination of cash and shares of our common stock. At any time on or prior to the maturity date of the notes, we may irrevocably elect to deliver cash up to the aggregate principal amount of the notes to be converted, and shares of our common stock, cash or a combination thereof in respect of the remainder, if any, of our conversion obligation in excess of the aggregate principal amount of the notes being converted. If a holder elects to convert its notes in connection with a make-whole change in control (as defined in this prospectus), we will, in certain circumstances, pay a make-whole premium by increasing the conversion rate for notes converted in connection with such make-whole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114300</wp:posOffset>
            </wp:positionV>
            <wp:extent cx="79311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On or after June 6, 2011, we may redeem for cash all or part of the notes if the last reported sale price of our common stock has been at least 130% of the conversion price then in effect for at least 20 trading days during any 30 consecutive trading day period ending within five trading days prior to the date on which we provide notice of redemption. If we experience a change in control or a termination of trading, holders may require us to repurchase for cash all or a portion of the notes, at a price equal to 100% of the principal amount of the notes, plus accrued and unpaid interest, if any, to, but excluding,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128270</wp:posOffset>
            </wp:positionV>
            <wp:extent cx="79311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notes will rank equally with all of our existing and future senior debt and senior to all our future subordinated debt. The notes will be structurally subordinated to the indebtedness and other liabilities of our subsidiaries. For a more detailed description of the notes, see "Description of Notes" beginning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126365</wp:posOffset>
            </wp:positionV>
            <wp:extent cx="79311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b w:val="1"/>
          <w:bCs w:val="1"/>
          <w:i w:val="1"/>
          <w:iCs w:val="1"/>
          <w:color w:val="auto"/>
        </w:rPr>
        <w:t>The notes will not be listed on any securities exchange nor included in any automatic quotation system. Our common stock is listed on The New York Stock Exchange under the symbol "MU." On May 15, 2007, the last reported sale price of our common stock was $12.07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91440</wp:posOffset>
            </wp:positionV>
            <wp:extent cx="79311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Investing in the notes involves risks.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153035</wp:posOffset>
            </wp:positionV>
            <wp:extent cx="79311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PRICE 100% AND ACCRUED 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146050</wp:posOffset>
            </wp:positionV>
            <wp:extent cx="79311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Underwriting Discounts and</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9"/>
              </w:rPr>
              <w:t>Proceeds to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Price to Public</w:t>
            </w: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0"/>
              </w:rPr>
              <w:t>Commissions</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Micron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 Note</w:t>
            </w:r>
          </w:p>
        </w:tc>
        <w:tc>
          <w:tcPr>
            <w:tcW w:w="1720" w:type="dxa"/>
            <w:vAlign w:val="bottom"/>
            <w:shd w:val="clear" w:color="auto" w:fill="CCEEFF"/>
          </w:tcPr>
          <w:p>
            <w:pPr>
              <w:jc w:val="right"/>
              <w:ind w:right="699"/>
              <w:spacing w:after="0"/>
              <w:rPr>
                <w:sz w:val="20"/>
                <w:szCs w:val="20"/>
                <w:color w:val="auto"/>
              </w:rPr>
            </w:pPr>
            <w:r>
              <w:rPr>
                <w:rFonts w:ascii="Arial" w:cs="Arial" w:eastAsia="Arial" w:hAnsi="Arial"/>
                <w:sz w:val="18"/>
                <w:szCs w:val="18"/>
                <w:i w:val="1"/>
                <w:iCs w:val="1"/>
                <w:color w:val="auto"/>
              </w:rPr>
              <w:t>%</w:t>
            </w:r>
          </w:p>
        </w:tc>
        <w:tc>
          <w:tcPr>
            <w:tcW w:w="1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i w:val="1"/>
                <w:iCs w:val="1"/>
                <w:color w:val="auto"/>
                <w:w w:val="87"/>
              </w:rPr>
              <w:t>%</w:t>
            </w:r>
          </w:p>
        </w:tc>
        <w:tc>
          <w:tcPr>
            <w:tcW w:w="1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i w:val="1"/>
                <w:iCs w:val="1"/>
                <w:color w:val="auto"/>
                <w:w w:val="87"/>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1720" w:type="dxa"/>
            <w:vAlign w:val="bottom"/>
          </w:tcPr>
          <w:p>
            <w:pPr>
              <w:jc w:val="right"/>
              <w:ind w:right="1039"/>
              <w:spacing w:after="0"/>
              <w:rPr>
                <w:sz w:val="20"/>
                <w:szCs w:val="20"/>
                <w:color w:val="auto"/>
              </w:rPr>
            </w:pPr>
            <w:r>
              <w:rPr>
                <w:rFonts w:ascii="Arial" w:cs="Arial" w:eastAsia="Arial" w:hAnsi="Arial"/>
                <w:sz w:val="18"/>
                <w:szCs w:val="18"/>
                <w:i w:val="1"/>
                <w:iCs w:val="1"/>
                <w:color w:val="auto"/>
              </w:rPr>
              <w:t>$</w:t>
            </w:r>
          </w:p>
        </w:tc>
        <w:tc>
          <w:tcPr>
            <w:tcW w:w="1920" w:type="dxa"/>
            <w:vAlign w:val="bottom"/>
            <w:gridSpan w:val="2"/>
          </w:tcPr>
          <w:p>
            <w:pPr>
              <w:jc w:val="right"/>
              <w:ind w:right="1052"/>
              <w:spacing w:after="0"/>
              <w:rPr>
                <w:sz w:val="20"/>
                <w:szCs w:val="20"/>
                <w:color w:val="auto"/>
              </w:rPr>
            </w:pPr>
            <w:r>
              <w:rPr>
                <w:rFonts w:ascii="Arial" w:cs="Arial" w:eastAsia="Arial" w:hAnsi="Arial"/>
                <w:sz w:val="18"/>
                <w:szCs w:val="18"/>
                <w:i w:val="1"/>
                <w:iCs w:val="1"/>
                <w:color w:val="auto"/>
              </w:rPr>
              <w:t>$</w:t>
            </w:r>
          </w:p>
        </w:tc>
        <w:tc>
          <w:tcPr>
            <w:tcW w:w="1920" w:type="dxa"/>
            <w:vAlign w:val="bottom"/>
            <w:gridSpan w:val="2"/>
          </w:tcPr>
          <w:p>
            <w:pPr>
              <w:jc w:val="right"/>
              <w:ind w:right="105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-359410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-359410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-359410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-359410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-359410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-359410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have granted the underwriters the right to purchase up to an additional $165,000,000 principal amount of the notes, solely to cover over-allotments.</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i w:val="1"/>
          <w:iCs w:val="1"/>
          <w:color w:val="auto"/>
        </w:rPr>
        <w:t>The underwriters expect to deliver the notes to purchasers on May</w:t>
      </w:r>
      <w:r>
        <w:rPr>
          <w:sz w:val="20"/>
          <w:szCs w:val="20"/>
          <w:color w:val="auto"/>
        </w:rPr>
        <w:tab/>
      </w:r>
      <w:r>
        <w:rPr>
          <w:rFonts w:ascii="Arial" w:cs="Arial" w:eastAsia="Arial" w:hAnsi="Arial"/>
          <w:sz w:val="15"/>
          <w:szCs w:val="15"/>
          <w:i w:val="1"/>
          <w:iCs w:val="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146050</wp:posOffset>
            </wp:positionV>
            <wp:extent cx="79311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ectPr>
          <w:pgSz w:w="11900" w:h="16889" w:orient="portrait"/>
          <w:cols w:equalWidth="0" w:num="1">
            <w:col w:w="11420"/>
          </w:cols>
          <w:pgMar w:left="240" w:top="131" w:right="239" w:bottom="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MORGAN STANLEY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Lehman Brothers</w:t>
      </w:r>
    </w:p>
    <w:p>
      <w:pPr>
        <w:sectPr>
          <w:pgSz w:w="11900" w:h="16889" w:orient="portrait"/>
          <w:cols w:equalWidth="0" w:num="1">
            <w:col w:w="11420"/>
          </w:cols>
          <w:pgMar w:left="240" w:top="131" w:right="239" w:bottom="0" w:gutter="0" w:footer="0" w:header="0"/>
          <w:type w:val="continuous"/>
        </w:sectPr>
      </w:pPr>
    </w:p>
    <w:bookmarkStart w:id="3" w:name="page4"/>
    <w:bookmarkEnd w:id="3"/>
    <w:p>
      <w:pPr>
        <w:spacing w:after="0"/>
        <w:tabs>
          <w:tab w:leader="none" w:pos="520" w:val="left"/>
        </w:tabs>
        <w:rPr>
          <w:sz w:val="20"/>
          <w:szCs w:val="20"/>
          <w:color w:val="auto"/>
        </w:rPr>
      </w:pPr>
      <w:r>
        <w:rPr>
          <w:rFonts w:ascii="Arial" w:cs="Arial" w:eastAsia="Arial" w:hAnsi="Arial"/>
          <w:sz w:val="15"/>
          <w:szCs w:val="15"/>
          <w:i w:val="1"/>
          <w:iCs w:val="1"/>
          <w:color w:val="auto"/>
        </w:rPr>
        <w:t>May</w:t>
        <w:tab/>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300" w:type="dxa"/>
            <w:vAlign w:val="bottom"/>
            <w:gridSpan w:val="4"/>
          </w:tcPr>
          <w:p>
            <w:pPr>
              <w:jc w:val="right"/>
              <w:ind w:right="471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05"/>
        </w:trPr>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280"/>
        </w:trPr>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420" w:type="dxa"/>
            <w:vAlign w:val="bottom"/>
            <w:gridSpan w:val="16"/>
          </w:tcPr>
          <w:p>
            <w:pPr>
              <w:spacing w:after="0"/>
              <w:rPr>
                <w:sz w:val="24"/>
                <w:szCs w:val="24"/>
                <w:color w:val="auto"/>
              </w:rPr>
            </w:pPr>
          </w:p>
        </w:tc>
        <w:tc>
          <w:tcPr>
            <w:tcW w:w="730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12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r>
      <w:tr>
        <w:trPr>
          <w:trHeight w:val="196"/>
        </w:trPr>
        <w:tc>
          <w:tcPr>
            <w:tcW w:w="412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Consolidated Financial Data</w:t>
              </w:r>
            </w:hyperlink>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64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Ratio of Earnings to Fixed Charges</w:t>
              </w:r>
            </w:hyperlink>
          </w:p>
        </w:tc>
        <w:tc>
          <w:tcPr>
            <w:tcW w:w="1480" w:type="dxa"/>
            <w:vAlign w:val="bottom"/>
            <w:gridSpan w:val="4"/>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1560" w:type="dxa"/>
            <w:vAlign w:val="bottom"/>
            <w:tcBorders>
              <w:top w:val="single" w:sz="8" w:color="0000EE"/>
            </w:tcBorders>
            <w:gridSpan w:val="10"/>
          </w:tcPr>
          <w:p>
            <w:pPr>
              <w:spacing w:after="0"/>
              <w:rPr>
                <w:sz w:val="17"/>
                <w:szCs w:val="17"/>
                <w:color w:val="auto"/>
              </w:rPr>
            </w:pPr>
          </w:p>
        </w:tc>
        <w:tc>
          <w:tcPr>
            <w:tcW w:w="1640" w:type="dxa"/>
            <w:vAlign w:val="bottom"/>
            <w:gridSpan w:val="5"/>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1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Price Range of Common Stock</w:t>
              </w:r>
            </w:hyperlink>
          </w:p>
        </w:tc>
        <w:tc>
          <w:tcPr>
            <w:tcW w:w="1920" w:type="dxa"/>
            <w:vAlign w:val="bottom"/>
            <w:gridSpan w:val="6"/>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Dividend Policy</w:t>
              </w:r>
            </w:hyperlink>
          </w:p>
        </w:tc>
        <w:tc>
          <w:tcPr>
            <w:tcW w:w="2960" w:type="dxa"/>
            <w:vAlign w:val="bottom"/>
            <w:gridSpan w:val="11"/>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Capitalization</w:t>
              </w:r>
            </w:hyperlink>
          </w:p>
        </w:tc>
        <w:tc>
          <w:tcPr>
            <w:tcW w:w="3120" w:type="dxa"/>
            <w:vAlign w:val="bottom"/>
            <w:gridSpan w:val="13"/>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Notes</w:t>
              </w:r>
            </w:hyperlink>
          </w:p>
        </w:tc>
        <w:tc>
          <w:tcPr>
            <w:tcW w:w="2640" w:type="dxa"/>
            <w:vAlign w:val="bottom"/>
            <w:gridSpan w:val="9"/>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Description of Capital Stock</w:t>
              </w:r>
            </w:hyperlink>
          </w:p>
        </w:tc>
        <w:tc>
          <w:tcPr>
            <w:tcW w:w="2100" w:type="dxa"/>
            <w:vAlign w:val="bottom"/>
            <w:gridSpan w:val="7"/>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8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Capped Call Transactions</w:t>
              </w:r>
            </w:hyperlink>
          </w:p>
        </w:tc>
        <w:tc>
          <w:tcPr>
            <w:tcW w:w="2300" w:type="dxa"/>
            <w:vAlign w:val="bottom"/>
            <w:gridSpan w:val="8"/>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120" w:type="dxa"/>
            <w:vAlign w:val="bottom"/>
            <w:gridSpan w:val="1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Material U.S. Federal Income Tax Considerations</w:t>
              </w:r>
            </w:hyperlink>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Underwriters</w:t>
              </w:r>
            </w:hyperlink>
          </w:p>
        </w:tc>
        <w:tc>
          <w:tcPr>
            <w:tcW w:w="2560" w:type="dxa"/>
            <w:vAlign w:val="bottom"/>
            <w:tcBorders>
              <w:top w:val="single" w:sz="8" w:color="0000EE"/>
            </w:tcBorders>
            <w:gridSpan w:val="13"/>
          </w:tcPr>
          <w:p>
            <w:pPr>
              <w:spacing w:after="0"/>
              <w:rPr>
                <w:sz w:val="17"/>
                <w:szCs w:val="17"/>
                <w:color w:val="auto"/>
              </w:rPr>
            </w:pPr>
          </w:p>
        </w:tc>
        <w:tc>
          <w:tcPr>
            <w:tcW w:w="620" w:type="dxa"/>
            <w:vAlign w:val="bottom"/>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120" w:type="dxa"/>
            <w:vAlign w:val="bottom"/>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Validity of the Notes</w:t>
              </w:r>
            </w:hyperlink>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4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2660" w:type="dxa"/>
            <w:vAlign w:val="bottom"/>
            <w:gridSpan w:val="10"/>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r>
      <w:tr>
        <w:trPr>
          <w:trHeight w:val="196"/>
        </w:trPr>
        <w:tc>
          <w:tcPr>
            <w:tcW w:w="4120" w:type="dxa"/>
            <w:vAlign w:val="bottom"/>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Certain Documents Incorporated by Reference</w:t>
              </w:r>
            </w:hyperlink>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Where You Can Find More Information</w:t>
              </w:r>
            </w:hyperlink>
          </w:p>
        </w:tc>
        <w:tc>
          <w:tcPr>
            <w:tcW w:w="840" w:type="dxa"/>
            <w:vAlign w:val="bottom"/>
            <w:gridSpan w:val="2"/>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39"/>
        </w:trPr>
        <w:tc>
          <w:tcPr>
            <w:tcW w:w="5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430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-2638425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60" w:firstLine="345"/>
        <w:spacing w:after="0" w:line="253"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"free writing prospectus" we may authorize to be delivered to you. Neither we nor the underwriters have authorized anyone to provide you with information that is different from that contained or incorporated by reference in this prospectus. This prospectus is not an offer to sell or a solicitation of an offer to buy shares in any jurisdiction where such offer to sale of shares would be unlawful. You should not assume that the information in this prospectus, including any information incorporated by reference, is accurate as of any date other than their respective dates.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i w:val="1"/>
          <w:iCs w:val="1"/>
          <w:color w:val="auto"/>
        </w:rPr>
        <w:t>Because this is a summary, it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incorporated by reference, before making an investment decision. For purposes of the discussion of the notes on the cover page, in the summary of the offering and the "Description of Notes," references to "the Company," "Micron," "Issuer," "we," "us," and "our" refer only to Micron Technology, Inc. and do not include our subsidiaries, except where the context otherwise requires or as otherwise indicated. For purposes of the remaining portions of the prospectus, including the summary below and "Risk Factors—Risks Related to Our Business," such references refer to Micron Technology, Inc. and our subsidiaries, except where the context otherwise requires.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semiconductor product portfolio, efficient utilization of our manufacturing infrastructure, successful ongoing development of advanced process technologies and generation of sufficient return on research and development investments.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strategically diversified our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our highest volume products, DDR and DDR2 DRAM. We leverage our expertise in semiconductor memory manufacturing and product and process technology to provide products that are differentiated from competitors' products based on performance characteristics. In 2006 and the first six months of 2007, approximately half of our revenue came from sales of specialty memory products, NAND Flash memory products and CMOS image sensors. We believe the strategic diversification of our product portfolio will strengthen our ability to allocate manufacturing resources to achieve the highest rate of return.</w:t>
      </w:r>
    </w:p>
    <w:p>
      <w:pPr>
        <w:spacing w:after="0" w:line="20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have partnered with Intel to form two NAND Flash manufacturing joint ventures: IM Flash Technologies, LLC and IM Flash Singapore LLP (collectively "IM Flash"). IM Flash operations include two 300mm wafer fabrication facilities that are expected to greatly increase our production of NAND Flash in 2007. IM Flash Singapore LLP plans to begin construction of a new 300mm wafer fabrication facility in Singapore in 2007. We expect to contribute approximately $2 billion in cash to IM Flash over the next three years, with similar contributions to be made by Intel. As of March 1, 2007, we owned 51% and Intel owned 49% of IM Flash. We share output of IM Flash generally in proportion to our ownership in IM Flash.</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make significant ongoing investments to implement our proprietary product and process technology in our facilities in the United States, Europe and Asia to manufacture semiconductor products with increasing functionality and performance at lower costs. We continue to introduce new generations of products that offer improved performance characteristics, such as higher data transfer rates, reduced package size, lower power consumption and increased megapixel count. We generally reduce the manufacturing cost of each generation of product through advancements in product and process technology such as our leading-edge line width process technology and innovative array architecture.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120" w:firstLine="351"/>
        <w:spacing w:after="0" w:line="289" w:lineRule="auto"/>
        <w:rPr>
          <w:sz w:val="20"/>
          <w:szCs w:val="20"/>
          <w:color w:val="auto"/>
        </w:rPr>
      </w:pPr>
      <w:r>
        <w:rPr>
          <w:rFonts w:ascii="Arial" w:cs="Arial" w:eastAsia="Arial" w:hAnsi="Arial"/>
          <w:sz w:val="16"/>
          <w:szCs w:val="16"/>
          <w:color w:val="auto"/>
        </w:rPr>
        <w:t>In order to maximize returns from investments in research and development ("R&amp;D"), we develop process technology that effectively reduces production costs and leverages our capital expenditures. To leverage our R&amp;D investments, we have formed strategic joint ventures under which the costs of developing NAND Flash memory product and process technologies are shared with our joint venture partner. In addition, from time to time, we have also sold and/or licensed technology to third parties. To be successfully incorporated in customers' end products, we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We must make significant investments in R&amp;D to expand our product offering and develop our leading-edge product and process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first two months of the third fiscal quarter, we believe, based on published industry reports, average selling prices for DDR2 DRAM products and NAND Flash products were approximately 45% and 20% lower, respectively, as compared to industry average selling prices for the second fiscal quarter of 2007. Our results of operations for the fiscal quarter ending May 31, 2007 will reflect these declines. See "Risk Factors—We have experienced dramatic declines in average selling prices for our semiconductor memory products which have adversely affected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109220</wp:posOffset>
            </wp:positionV>
            <wp:extent cx="10502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0"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were originally incorporated in Idaho in 1978. In 1984 we were reincorporated in Delaware. Our executive offices are located at 8000 South Federal Way, Boise, Idaho 83716-9632, and our telephone number is (208) 368-4000. Our website is located at www.micron.com. The information contained or incorporated in our website is not part of this prospectus.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 w:name="page8"/>
    <w:bookmarkEnd w:id="7"/>
    <w:p>
      <w:pPr>
        <w:jc w:val="center"/>
        <w:ind w:right="-59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Thus, it does not contain all the information that is important to you. For a more detailed description of the notes you should read the section titled "Description of Notes."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3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Micron Technology, Inc.</w:t>
            </w:r>
          </w:p>
        </w:tc>
        <w:tc>
          <w:tcPr>
            <w:tcW w:w="2340" w:type="dxa"/>
            <w:vAlign w:val="bottom"/>
            <w:shd w:val="clear" w:color="auto" w:fill="CCEEFF"/>
          </w:tcPr>
          <w:p>
            <w:pPr>
              <w:spacing w:after="0"/>
              <w:rPr>
                <w:sz w:val="18"/>
                <w:szCs w:val="18"/>
                <w:color w:val="auto"/>
              </w:rPr>
            </w:pP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Notes Offered</w:t>
            </w:r>
          </w:p>
        </w:tc>
        <w:tc>
          <w:tcPr>
            <w:tcW w:w="3960" w:type="dxa"/>
            <w:vAlign w:val="bottom"/>
            <w:gridSpan w:val="2"/>
          </w:tcPr>
          <w:p>
            <w:pPr>
              <w:ind w:left="520"/>
              <w:spacing w:after="0"/>
              <w:rPr>
                <w:sz w:val="20"/>
                <w:szCs w:val="20"/>
                <w:color w:val="auto"/>
              </w:rPr>
            </w:pPr>
            <w:r>
              <w:rPr>
                <w:rFonts w:ascii="Arial" w:cs="Arial" w:eastAsia="Arial" w:hAnsi="Arial"/>
                <w:sz w:val="18"/>
                <w:szCs w:val="18"/>
                <w:color w:val="auto"/>
                <w:w w:val="92"/>
              </w:rPr>
              <w:t>$1,100,000,000 aggregate principal amount of</w:t>
            </w:r>
          </w:p>
        </w:tc>
        <w:tc>
          <w:tcPr>
            <w:tcW w:w="2340" w:type="dxa"/>
            <w:vAlign w:val="bottom"/>
          </w:tcPr>
          <w:p>
            <w:pPr>
              <w:ind w:left="160"/>
              <w:spacing w:after="0"/>
              <w:rPr>
                <w:sz w:val="20"/>
                <w:szCs w:val="20"/>
                <w:color w:val="auto"/>
              </w:rPr>
            </w:pPr>
            <w:r>
              <w:rPr>
                <w:rFonts w:ascii="Arial" w:cs="Arial" w:eastAsia="Arial" w:hAnsi="Arial"/>
                <w:sz w:val="18"/>
                <w:szCs w:val="18"/>
                <w:color w:val="auto"/>
                <w:w w:val="97"/>
              </w:rPr>
              <w:t>% Convertible Senior Notes</w:t>
            </w:r>
          </w:p>
        </w:tc>
      </w:tr>
      <w:tr>
        <w:trPr>
          <w:trHeight w:val="222"/>
        </w:trPr>
        <w:tc>
          <w:tcPr>
            <w:tcW w:w="2480" w:type="dxa"/>
            <w:vAlign w:val="bottom"/>
          </w:tcPr>
          <w:p>
            <w:pPr>
              <w:spacing w:after="0"/>
              <w:rPr>
                <w:sz w:val="19"/>
                <w:szCs w:val="19"/>
                <w:color w:val="auto"/>
              </w:rPr>
            </w:pPr>
          </w:p>
        </w:tc>
        <w:tc>
          <w:tcPr>
            <w:tcW w:w="3960" w:type="dxa"/>
            <w:vAlign w:val="bottom"/>
            <w:gridSpan w:val="2"/>
          </w:tcPr>
          <w:p>
            <w:pPr>
              <w:ind w:left="520"/>
              <w:spacing w:after="0"/>
              <w:rPr>
                <w:sz w:val="20"/>
                <w:szCs w:val="20"/>
                <w:color w:val="auto"/>
              </w:rPr>
            </w:pPr>
            <w:r>
              <w:rPr>
                <w:rFonts w:ascii="Arial" w:cs="Arial" w:eastAsia="Arial" w:hAnsi="Arial"/>
                <w:sz w:val="18"/>
                <w:szCs w:val="18"/>
                <w:color w:val="auto"/>
              </w:rPr>
              <w:t>due June 1, 2014.</w:t>
            </w:r>
          </w:p>
        </w:tc>
        <w:tc>
          <w:tcPr>
            <w:tcW w:w="2340" w:type="dxa"/>
            <w:vAlign w:val="bottom"/>
          </w:tcPr>
          <w:p>
            <w:pPr>
              <w:spacing w:after="0"/>
              <w:rPr>
                <w:sz w:val="19"/>
                <w:szCs w:val="19"/>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6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9"/>
              </w:rPr>
              <w:t>The notes will mature on June 1, 2014, subject to earlier repurchase, redemption</w:t>
            </w:r>
          </w:p>
        </w:tc>
      </w:tr>
      <w:tr>
        <w:trPr>
          <w:trHeight w:val="224"/>
        </w:trPr>
        <w:tc>
          <w:tcPr>
            <w:tcW w:w="248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or conversion.</w:t>
            </w:r>
          </w:p>
        </w:tc>
        <w:tc>
          <w:tcPr>
            <w:tcW w:w="2340" w:type="dxa"/>
            <w:vAlign w:val="bottom"/>
            <w:shd w:val="clear" w:color="auto" w:fill="CCEEFF"/>
          </w:tcPr>
          <w:p>
            <w:pPr>
              <w:spacing w:after="0"/>
              <w:rPr>
                <w:sz w:val="19"/>
                <w:szCs w:val="19"/>
                <w:color w:val="auto"/>
              </w:rPr>
            </w:pP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74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 per year on the principal amount accruing from May   , 2007, and</w:t>
            </w:r>
          </w:p>
        </w:tc>
      </w:tr>
      <w:tr>
        <w:trPr>
          <w:trHeight w:val="216"/>
        </w:trPr>
        <w:tc>
          <w:tcPr>
            <w:tcW w:w="2480" w:type="dxa"/>
            <w:vAlign w:val="bottom"/>
          </w:tcPr>
          <w:p>
            <w:pPr>
              <w:spacing w:after="0"/>
              <w:rPr>
                <w:sz w:val="18"/>
                <w:szCs w:val="18"/>
                <w:color w:val="auto"/>
              </w:rPr>
            </w:pPr>
          </w:p>
        </w:tc>
        <w:tc>
          <w:tcPr>
            <w:tcW w:w="6300" w:type="dxa"/>
            <w:vAlign w:val="bottom"/>
            <w:gridSpan w:val="3"/>
          </w:tcPr>
          <w:p>
            <w:pPr>
              <w:ind w:left="520"/>
              <w:spacing w:after="0"/>
              <w:rPr>
                <w:sz w:val="20"/>
                <w:szCs w:val="20"/>
                <w:color w:val="auto"/>
              </w:rPr>
            </w:pPr>
            <w:r>
              <w:rPr>
                <w:rFonts w:ascii="Arial" w:cs="Arial" w:eastAsia="Arial" w:hAnsi="Arial"/>
                <w:sz w:val="18"/>
                <w:szCs w:val="18"/>
                <w:color w:val="auto"/>
                <w:w w:val="88"/>
              </w:rPr>
              <w:t>payable semiannually in arrears in cash on June 1 and December 1 of each year,</w:t>
            </w:r>
          </w:p>
        </w:tc>
      </w:tr>
      <w:tr>
        <w:trPr>
          <w:trHeight w:val="222"/>
        </w:trPr>
        <w:tc>
          <w:tcPr>
            <w:tcW w:w="2480" w:type="dxa"/>
            <w:vAlign w:val="bottom"/>
          </w:tcPr>
          <w:p>
            <w:pPr>
              <w:spacing w:after="0"/>
              <w:rPr>
                <w:sz w:val="19"/>
                <w:szCs w:val="19"/>
                <w:color w:val="auto"/>
              </w:rPr>
            </w:pPr>
          </w:p>
        </w:tc>
        <w:tc>
          <w:tcPr>
            <w:tcW w:w="3960" w:type="dxa"/>
            <w:vAlign w:val="bottom"/>
            <w:gridSpan w:val="2"/>
          </w:tcPr>
          <w:p>
            <w:pPr>
              <w:ind w:left="520"/>
              <w:spacing w:after="0"/>
              <w:rPr>
                <w:sz w:val="20"/>
                <w:szCs w:val="20"/>
                <w:color w:val="auto"/>
              </w:rPr>
            </w:pPr>
            <w:r>
              <w:rPr>
                <w:rFonts w:ascii="Arial" w:cs="Arial" w:eastAsia="Arial" w:hAnsi="Arial"/>
                <w:sz w:val="18"/>
                <w:szCs w:val="18"/>
                <w:color w:val="auto"/>
              </w:rPr>
              <w:t>beginning December 1, 2007.</w:t>
            </w:r>
          </w:p>
        </w:tc>
        <w:tc>
          <w:tcPr>
            <w:tcW w:w="2340" w:type="dxa"/>
            <w:vAlign w:val="bottom"/>
          </w:tcPr>
          <w:p>
            <w:pPr>
              <w:spacing w:after="0"/>
              <w:rPr>
                <w:sz w:val="19"/>
                <w:szCs w:val="19"/>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Conversion Rights</w:t>
            </w:r>
          </w:p>
        </w:tc>
        <w:tc>
          <w:tcPr>
            <w:tcW w:w="6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8"/>
              </w:rPr>
              <w:t>Holders may surrender their notes for conversion prior to the close of business on</w:t>
            </w:r>
          </w:p>
        </w:tc>
      </w:tr>
      <w:tr>
        <w:trPr>
          <w:trHeight w:val="216"/>
        </w:trPr>
        <w:tc>
          <w:tcPr>
            <w:tcW w:w="24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8"/>
              </w:rPr>
              <w:t>the business day immediately preceding the maturity date for the notes only under</w:t>
            </w:r>
          </w:p>
        </w:tc>
      </w:tr>
      <w:tr>
        <w:trPr>
          <w:trHeight w:val="224"/>
        </w:trPr>
        <w:tc>
          <w:tcPr>
            <w:tcW w:w="248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the following circumstances:</w:t>
            </w:r>
          </w:p>
        </w:tc>
        <w:tc>
          <w:tcPr>
            <w:tcW w:w="2340" w:type="dxa"/>
            <w:vAlign w:val="bottom"/>
            <w:shd w:val="clear" w:color="auto" w:fill="CCEEFF"/>
          </w:tcPr>
          <w:p>
            <w:pPr>
              <w:spacing w:after="0"/>
              <w:rPr>
                <w:sz w:val="19"/>
                <w:szCs w:val="19"/>
                <w:color w:val="auto"/>
              </w:rPr>
            </w:pPr>
          </w:p>
        </w:tc>
      </w:tr>
      <w:tr>
        <w:trPr>
          <w:trHeight w:val="208"/>
        </w:trPr>
        <w:tc>
          <w:tcPr>
            <w:tcW w:w="248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93"/>
              </w:rPr>
              <w:t>during any calendar quarter beginning after August 30, 2007 (and only</w:t>
            </w: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89"/>
              </w:rPr>
              <w:t>during such calendar quarter), if the closing price of our common stock for</w:t>
            </w: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90"/>
              </w:rPr>
              <w:t>at least 20 trading days in the 30 consecutive trading days ending on the</w:t>
            </w: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94"/>
              </w:rPr>
              <w:t>last trading day of the immediately preceding calendar quarter is more</w:t>
            </w: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89"/>
              </w:rPr>
              <w:t>than 130% of the then applicable conversion price per share of the notes,</w:t>
            </w: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95"/>
              </w:rPr>
              <w:t>which is $1,000, divided by the then applicable conversion rate of the</w:t>
            </w:r>
          </w:p>
        </w:tc>
      </w:tr>
      <w:tr>
        <w:trPr>
          <w:trHeight w:val="223"/>
        </w:trPr>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20" w:type="dxa"/>
            <w:vAlign w:val="bottom"/>
          </w:tcPr>
          <w:p>
            <w:pPr>
              <w:ind w:left="300"/>
              <w:spacing w:after="0"/>
              <w:rPr>
                <w:sz w:val="20"/>
                <w:szCs w:val="20"/>
                <w:color w:val="auto"/>
              </w:rPr>
            </w:pPr>
            <w:r>
              <w:rPr>
                <w:rFonts w:ascii="Arial" w:cs="Arial" w:eastAsia="Arial" w:hAnsi="Arial"/>
                <w:sz w:val="18"/>
                <w:szCs w:val="18"/>
                <w:color w:val="auto"/>
              </w:rPr>
              <w:t>notes;</w:t>
            </w:r>
          </w:p>
        </w:tc>
        <w:tc>
          <w:tcPr>
            <w:tcW w:w="2340" w:type="dxa"/>
            <w:vAlign w:val="bottom"/>
          </w:tcPr>
          <w:p>
            <w:pPr>
              <w:spacing w:after="0"/>
              <w:rPr>
                <w:sz w:val="19"/>
                <w:szCs w:val="19"/>
                <w:color w:val="auto"/>
              </w:rPr>
            </w:pPr>
          </w:p>
        </w:tc>
      </w:tr>
      <w:tr>
        <w:trPr>
          <w:trHeight w:val="217"/>
        </w:trPr>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if the notes have been called for redemption;</w:t>
            </w:r>
          </w:p>
        </w:tc>
      </w:tr>
      <w:tr>
        <w:trPr>
          <w:trHeight w:val="208"/>
        </w:trPr>
        <w:tc>
          <w:tcPr>
            <w:tcW w:w="248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w w:val="95"/>
              </w:rPr>
              <w:t>if specified distributions to holders of our common stock are made, or</w:t>
            </w:r>
          </w:p>
        </w:tc>
      </w:tr>
      <w:tr>
        <w:trPr>
          <w:trHeight w:val="223"/>
        </w:trPr>
        <w:tc>
          <w:tcPr>
            <w:tcW w:w="2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20" w:type="dxa"/>
            <w:vAlign w:val="bottom"/>
          </w:tcPr>
          <w:p>
            <w:pPr>
              <w:ind w:left="300"/>
              <w:spacing w:after="0"/>
              <w:rPr>
                <w:sz w:val="20"/>
                <w:szCs w:val="20"/>
                <w:color w:val="auto"/>
              </w:rPr>
            </w:pPr>
            <w:r>
              <w:rPr>
                <w:rFonts w:ascii="Arial" w:cs="Arial" w:eastAsia="Arial" w:hAnsi="Arial"/>
                <w:sz w:val="18"/>
                <w:szCs w:val="18"/>
                <w:color w:val="auto"/>
              </w:rPr>
              <w:t>specified corporate events occur;</w:t>
            </w:r>
          </w:p>
        </w:tc>
        <w:tc>
          <w:tcPr>
            <w:tcW w:w="2340" w:type="dxa"/>
            <w:vAlign w:val="bottom"/>
          </w:tcPr>
          <w:p>
            <w:pPr>
              <w:spacing w:after="0"/>
              <w:rPr>
                <w:sz w:val="19"/>
                <w:szCs w:val="19"/>
                <w:color w:val="auto"/>
              </w:rPr>
            </w:pPr>
          </w:p>
        </w:tc>
      </w:tr>
      <w:tr>
        <w:trPr>
          <w:trHeight w:val="209"/>
        </w:trPr>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during the five business days after any five consecutive trading day period</w:t>
            </w:r>
          </w:p>
        </w:tc>
      </w:tr>
      <w:tr>
        <w:trPr>
          <w:trHeight w:val="216"/>
        </w:trPr>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9"/>
              </w:rPr>
              <w:t>(the "measurement period") in which the trading price per $1,000 principal</w:t>
            </w:r>
          </w:p>
        </w:tc>
      </w:tr>
      <w:tr>
        <w:trPr>
          <w:trHeight w:val="216"/>
        </w:trPr>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amount of notes for each trading day of that measurement period was less</w:t>
            </w:r>
          </w:p>
        </w:tc>
      </w:tr>
      <w:tr>
        <w:trPr>
          <w:trHeight w:val="216"/>
        </w:trPr>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9"/>
              </w:rPr>
              <w:t>than 98% of the product of the closing price of our common stock and the</w:t>
            </w:r>
          </w:p>
        </w:tc>
      </w:tr>
      <w:tr>
        <w:trPr>
          <w:trHeight w:val="224"/>
        </w:trPr>
        <w:tc>
          <w:tcPr>
            <w:tcW w:w="2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then applicable conversion rate of the notes; or</w:t>
            </w:r>
          </w:p>
        </w:tc>
      </w:tr>
      <w:tr>
        <w:trPr>
          <w:trHeight w:val="222"/>
        </w:trPr>
        <w:tc>
          <w:tcPr>
            <w:tcW w:w="248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220" w:type="dxa"/>
            <w:vAlign w:val="bottom"/>
          </w:tcPr>
          <w:p>
            <w:pPr>
              <w:ind w:left="300"/>
              <w:spacing w:after="0"/>
              <w:rPr>
                <w:sz w:val="20"/>
                <w:szCs w:val="20"/>
                <w:color w:val="auto"/>
              </w:rPr>
            </w:pPr>
            <w:r>
              <w:rPr>
                <w:rFonts w:ascii="Arial" w:cs="Arial" w:eastAsia="Arial" w:hAnsi="Arial"/>
                <w:sz w:val="18"/>
                <w:szCs w:val="18"/>
                <w:color w:val="auto"/>
                <w:w w:val="96"/>
              </w:rPr>
              <w:t>at any time on or after March 1, 2014.</w:t>
            </w:r>
          </w:p>
        </w:tc>
        <w:tc>
          <w:tcPr>
            <w:tcW w:w="2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574030" cy="685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685800"/>
                    </a:xfrm>
                    <a:prstGeom prst="rect">
                      <a:avLst/>
                    </a:prstGeom>
                    <a:noFill/>
                  </pic:spPr>
                </pic:pic>
              </a:graphicData>
            </a:graphic>
          </wp:anchor>
        </w:drawing>
      </w:r>
    </w:p>
    <w:p>
      <w:pPr>
        <w:ind w:left="3000" w:right="2020"/>
        <w:spacing w:after="0" w:line="250" w:lineRule="auto"/>
        <w:rPr>
          <w:sz w:val="20"/>
          <w:szCs w:val="20"/>
          <w:color w:val="auto"/>
        </w:rPr>
      </w:pPr>
      <w:r>
        <w:rPr>
          <w:rFonts w:ascii="Arial" w:cs="Arial" w:eastAsia="Arial" w:hAnsi="Arial"/>
          <w:sz w:val="18"/>
          <w:szCs w:val="18"/>
          <w:color w:val="auto"/>
        </w:rPr>
        <w:t>The initial conversion rate for the notes is shares of common stock per $1,000 principal amount of notes. This is equivalent to an initial conversion price of approximately $ per share of common stock. The conversion rate is subject to adjustment under certain circumstances. See "Description of Notes—Adjustments to Conversion Rate."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341" w:right="8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8"/>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Upon conversion, we will have the right to deliver, in lieu of shares of our</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common stock, cash or a combination of cash and shares of our common stock to</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satisfy our conversion obligation, in each case calculated as described under</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"Description of Notes—Conversion Rights—Settlement Upon Conversion." At</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any time on or prior to the 30th scheduled trading day prior to the maturity date,</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we may irrevocably elect to satisfy our conversion obligation by delivering cash</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9"/>
              </w:rPr>
              <w:t>up to the aggregate principal amount of notes to be converted, and shares of our</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9"/>
              </w:rPr>
              <w:t>common stock, cash or combination thereof in respect of the remainder, if any, of</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our conversion obligation. See "Description of Notes—Conversion Rights—</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Irrevocable Election of Net Share Settlement." Upon any conversion, subject to</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certain exceptions, you will not receive any cash payment representing accrued</w:t>
            </w:r>
          </w:p>
        </w:tc>
        <w:tc>
          <w:tcPr>
            <w:tcW w:w="2640" w:type="dxa"/>
            <w:vAlign w:val="bottom"/>
          </w:tcPr>
          <w:p>
            <w:pPr>
              <w:spacing w:after="0"/>
              <w:rPr>
                <w:sz w:val="18"/>
                <w:szCs w:val="18"/>
                <w:color w:val="auto"/>
              </w:rPr>
            </w:pPr>
          </w:p>
        </w:tc>
      </w:tr>
      <w:tr>
        <w:trPr>
          <w:trHeight w:val="224"/>
        </w:trPr>
        <w:tc>
          <w:tcPr>
            <w:tcW w:w="286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unpaid interest. See "Description of Notes—Conversion Rights."</w:t>
            </w:r>
          </w:p>
        </w:tc>
        <w:tc>
          <w:tcPr>
            <w:tcW w:w="2640" w:type="dxa"/>
            <w:vAlign w:val="bottom"/>
          </w:tcPr>
          <w:p>
            <w:pPr>
              <w:spacing w:after="0"/>
              <w:rPr>
                <w:sz w:val="19"/>
                <w:szCs w:val="19"/>
                <w:color w:val="auto"/>
              </w:rPr>
            </w:pPr>
          </w:p>
        </w:tc>
      </w:tr>
      <w:tr>
        <w:trPr>
          <w:trHeight w:val="208"/>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5"/>
              </w:rPr>
              <w:t>Holders who convert their notes in connection with a make-whole change in</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0"/>
              </w:rPr>
              <w:t>control, as defined herein, may be entitled to a make-whole premium in the form</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89"/>
              </w:rPr>
              <w:t>of an increase in the conversion rate for notes converted in connection with such</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8"/>
              </w:rPr>
              <w:t>make-whole change in control. See "Description of Notes—Adjustment to</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0"/>
              </w:rPr>
              <w:t>Conversion Rate—Adjustment to Conversion Rate Upon a Make-Whole Change</w:t>
            </w:r>
          </w:p>
        </w:tc>
        <w:tc>
          <w:tcPr>
            <w:tcW w:w="2640" w:type="dxa"/>
            <w:vAlign w:val="bottom"/>
          </w:tcPr>
          <w:p>
            <w:pPr>
              <w:spacing w:after="0"/>
              <w:rPr>
                <w:sz w:val="18"/>
                <w:szCs w:val="18"/>
                <w:color w:val="auto"/>
              </w:rPr>
            </w:pPr>
          </w:p>
        </w:tc>
      </w:tr>
      <w:tr>
        <w:trPr>
          <w:trHeight w:val="222"/>
        </w:trPr>
        <w:tc>
          <w:tcPr>
            <w:tcW w:w="286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rPr>
              <w:t>in Control."</w:t>
            </w:r>
          </w:p>
        </w:tc>
        <w:tc>
          <w:tcPr>
            <w:tcW w:w="2640" w:type="dxa"/>
            <w:vAlign w:val="bottom"/>
          </w:tcPr>
          <w:p>
            <w:pPr>
              <w:spacing w:after="0"/>
              <w:rPr>
                <w:sz w:val="19"/>
                <w:szCs w:val="19"/>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1"/>
              </w:rPr>
              <w:t>Repurchase Upon a Change in Control</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Upon a change in control or termination of trading, each as defined herein, the</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or Termination of Trading</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holders may require us to repurchase for cash all or a portion of their notes at a</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repurchase price equal to 100% of the principal amount of the notes, plus accrued</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unpaid interest, if any, to, but excluding, the repurchase date. See</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"Description of Notes—Repurchase at the Option of the Holder Upon a Change</w:t>
            </w:r>
          </w:p>
        </w:tc>
        <w:tc>
          <w:tcPr>
            <w:tcW w:w="2640" w:type="dxa"/>
            <w:vAlign w:val="bottom"/>
          </w:tcPr>
          <w:p>
            <w:pPr>
              <w:spacing w:after="0"/>
              <w:rPr>
                <w:sz w:val="18"/>
                <w:szCs w:val="18"/>
                <w:color w:val="auto"/>
              </w:rPr>
            </w:pPr>
          </w:p>
        </w:tc>
      </w:tr>
      <w:tr>
        <w:trPr>
          <w:trHeight w:val="224"/>
        </w:trPr>
        <w:tc>
          <w:tcPr>
            <w:tcW w:w="286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 Control or Termination of Trading."</w:t>
            </w:r>
          </w:p>
        </w:tc>
        <w:tc>
          <w:tcPr>
            <w:tcW w:w="2640" w:type="dxa"/>
            <w:vAlign w:val="bottom"/>
          </w:tcPr>
          <w:p>
            <w:pPr>
              <w:spacing w:after="0"/>
              <w:rPr>
                <w:sz w:val="19"/>
                <w:szCs w:val="19"/>
                <w:color w:val="auto"/>
              </w:rPr>
            </w:pPr>
          </w:p>
        </w:tc>
      </w:tr>
      <w:tr>
        <w:trPr>
          <w:trHeight w:val="208"/>
        </w:trPr>
        <w:tc>
          <w:tcPr>
            <w:tcW w:w="2860" w:type="dxa"/>
            <w:vAlign w:val="bottom"/>
          </w:tcPr>
          <w:p>
            <w:pPr>
              <w:spacing w:after="0"/>
              <w:rPr>
                <w:sz w:val="20"/>
                <w:szCs w:val="20"/>
                <w:color w:val="auto"/>
              </w:rPr>
            </w:pPr>
            <w:r>
              <w:rPr>
                <w:rFonts w:ascii="Arial" w:cs="Arial" w:eastAsia="Arial" w:hAnsi="Arial"/>
                <w:sz w:val="18"/>
                <w:szCs w:val="18"/>
                <w:color w:val="auto"/>
              </w:rPr>
              <w:t>Ranking</w:t>
            </w: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0"/>
              </w:rPr>
              <w:t>The notes will rank equally with all our existing and future senior debt and senior</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3"/>
              </w:rPr>
              <w:t>to all our future subordinated debt. The notes will rank junior to all our existing</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1"/>
              </w:rPr>
              <w:t>and future senior secured debt to the extent of the collateral securing such debt</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w w:val="92"/>
              </w:rPr>
              <w:t>and will be effectively subordinated to all existing and future indebtedness and</w:t>
            </w:r>
          </w:p>
        </w:tc>
        <w:tc>
          <w:tcPr>
            <w:tcW w:w="2640" w:type="dxa"/>
            <w:vAlign w:val="bottom"/>
          </w:tcPr>
          <w:p>
            <w:pPr>
              <w:spacing w:after="0"/>
              <w:rPr>
                <w:sz w:val="18"/>
                <w:szCs w:val="18"/>
                <w:color w:val="auto"/>
              </w:rPr>
            </w:pPr>
          </w:p>
        </w:tc>
      </w:tr>
      <w:tr>
        <w:trPr>
          <w:trHeight w:val="223"/>
        </w:trPr>
        <w:tc>
          <w:tcPr>
            <w:tcW w:w="286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rPr>
              <w:t>other liabilities of our subsidiaries. As of March 1, 2007, we had:</w:t>
            </w:r>
          </w:p>
        </w:tc>
        <w:tc>
          <w:tcPr>
            <w:tcW w:w="2640" w:type="dxa"/>
            <w:vAlign w:val="bottom"/>
          </w:tcPr>
          <w:p>
            <w:pPr>
              <w:spacing w:after="0"/>
              <w:rPr>
                <w:sz w:val="19"/>
                <w:szCs w:val="19"/>
                <w:color w:val="auto"/>
              </w:rPr>
            </w:pPr>
          </w:p>
        </w:tc>
      </w:tr>
      <w:tr>
        <w:trPr>
          <w:trHeight w:val="209"/>
        </w:trPr>
        <w:tc>
          <w:tcPr>
            <w:tcW w:w="2860" w:type="dxa"/>
            <w:vAlign w:val="bottom"/>
            <w:shd w:val="clear" w:color="auto" w:fill="CCEEFF"/>
          </w:tcPr>
          <w:p>
            <w:pPr>
              <w:spacing w:after="0"/>
              <w:rPr>
                <w:sz w:val="18"/>
                <w:szCs w:val="18"/>
                <w:color w:val="auto"/>
              </w:rPr>
            </w:pP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$219 million of senior unsecured indebtedness outstanding equal in right</w:t>
            </w:r>
          </w:p>
        </w:tc>
        <w:tc>
          <w:tcPr>
            <w:tcW w:w="2640" w:type="dxa"/>
            <w:vAlign w:val="bottom"/>
          </w:tcPr>
          <w:p>
            <w:pPr>
              <w:spacing w:after="0"/>
              <w:rPr>
                <w:sz w:val="18"/>
                <w:szCs w:val="18"/>
                <w:color w:val="auto"/>
              </w:rPr>
            </w:pPr>
          </w:p>
        </w:tc>
      </w:tr>
      <w:tr>
        <w:trPr>
          <w:trHeight w:val="224"/>
        </w:trPr>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payment to the notes;</w:t>
            </w:r>
          </w:p>
        </w:tc>
        <w:tc>
          <w:tcPr>
            <w:tcW w:w="2640" w:type="dxa"/>
            <w:vAlign w:val="bottom"/>
          </w:tcPr>
          <w:p>
            <w:pPr>
              <w:spacing w:after="0"/>
              <w:rPr>
                <w:sz w:val="19"/>
                <w:szCs w:val="19"/>
                <w:color w:val="auto"/>
              </w:rPr>
            </w:pPr>
          </w:p>
        </w:tc>
      </w:tr>
      <w:tr>
        <w:trPr>
          <w:trHeight w:val="208"/>
        </w:trPr>
        <w:tc>
          <w:tcPr>
            <w:tcW w:w="286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5480" w:type="dxa"/>
            <w:vAlign w:val="bottom"/>
          </w:tcPr>
          <w:p>
            <w:pPr>
              <w:ind w:left="220"/>
              <w:spacing w:after="0"/>
              <w:rPr>
                <w:sz w:val="20"/>
                <w:szCs w:val="20"/>
                <w:color w:val="auto"/>
              </w:rPr>
            </w:pPr>
            <w:r>
              <w:rPr>
                <w:rFonts w:ascii="Arial" w:cs="Arial" w:eastAsia="Arial" w:hAnsi="Arial"/>
                <w:sz w:val="18"/>
                <w:szCs w:val="18"/>
                <w:color w:val="auto"/>
                <w:w w:val="89"/>
              </w:rPr>
              <w:t>$423 million of senior secured indebtedness outstanding senior in right of</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payment to the notes to the extent of the collateral securing such</w:t>
            </w:r>
          </w:p>
        </w:tc>
        <w:tc>
          <w:tcPr>
            <w:tcW w:w="2640" w:type="dxa"/>
            <w:vAlign w:val="bottom"/>
          </w:tcPr>
          <w:p>
            <w:pPr>
              <w:spacing w:after="0"/>
              <w:rPr>
                <w:sz w:val="18"/>
                <w:szCs w:val="18"/>
                <w:color w:val="auto"/>
              </w:rPr>
            </w:pPr>
          </w:p>
        </w:tc>
      </w:tr>
      <w:tr>
        <w:trPr>
          <w:trHeight w:val="223"/>
        </w:trPr>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indebtedness; and</w:t>
            </w:r>
          </w:p>
        </w:tc>
        <w:tc>
          <w:tcPr>
            <w:tcW w:w="2640" w:type="dxa"/>
            <w:vAlign w:val="bottom"/>
          </w:tcPr>
          <w:p>
            <w:pPr>
              <w:spacing w:after="0"/>
              <w:rPr>
                <w:sz w:val="19"/>
                <w:szCs w:val="19"/>
                <w:color w:val="auto"/>
              </w:rPr>
            </w:pPr>
          </w:p>
        </w:tc>
      </w:tr>
      <w:tr>
        <w:trPr>
          <w:trHeight w:val="217"/>
        </w:trPr>
        <w:tc>
          <w:tcPr>
            <w:tcW w:w="2860" w:type="dxa"/>
            <w:vAlign w:val="bottom"/>
            <w:shd w:val="clear" w:color="auto" w:fill="CCEEFF"/>
          </w:tcPr>
          <w:p>
            <w:pPr>
              <w:spacing w:after="0"/>
              <w:rPr>
                <w:sz w:val="18"/>
                <w:szCs w:val="18"/>
                <w:color w:val="auto"/>
              </w:rPr>
            </w:pP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subordinated indebtedness.</w:t>
            </w:r>
          </w:p>
        </w:tc>
        <w:tc>
          <w:tcPr>
            <w:tcW w:w="2640" w:type="dxa"/>
            <w:vAlign w:val="bottom"/>
          </w:tcPr>
          <w:p>
            <w:pPr>
              <w:spacing w:after="0"/>
              <w:rPr>
                <w:sz w:val="18"/>
                <w:szCs w:val="18"/>
                <w:color w:val="auto"/>
              </w:rPr>
            </w:pPr>
          </w:p>
        </w:tc>
      </w:tr>
      <w:tr>
        <w:trPr>
          <w:trHeight w:val="646"/>
        </w:trPr>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ind w:left="2380"/>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24"/>
                <w:szCs w:val="24"/>
                <w:color w:val="auto"/>
              </w:rPr>
            </w:pPr>
          </w:p>
        </w:tc>
      </w:tr>
      <w:tr>
        <w:trPr>
          <w:trHeight w:val="228"/>
        </w:trPr>
        <w:tc>
          <w:tcPr>
            <w:tcW w:w="28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8"/>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Our subsidiaries had $186 million of indebtedness secured by our subsidiaries'</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collateral and guaranteed by us on an unsecured basis. This indebtedness of our</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subsidiaries is included in the $219 million of senior unsecured indebtedness</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because of our guarantee of such indebtedness. In addition, our subsidiaries had</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unsecured liabilities (including trade and other payables but excluding</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intercompany indebtedness) outstanding in an amount of $1,167 million. Both the</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secured and unsecured indebtedness of our subsidiaries is structurally senior to</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the notes. The indenture for the notes does not restrict us or our subsidiaries from</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incurring additional debt or other liabilities. Our subsidiaries will not guarantee</w:t>
            </w:r>
          </w:p>
        </w:tc>
        <w:tc>
          <w:tcPr>
            <w:tcW w:w="2640" w:type="dxa"/>
            <w:vAlign w:val="bottom"/>
          </w:tcPr>
          <w:p>
            <w:pPr>
              <w:spacing w:after="0"/>
              <w:rPr>
                <w:sz w:val="18"/>
                <w:szCs w:val="18"/>
                <w:color w:val="auto"/>
              </w:rPr>
            </w:pPr>
          </w:p>
        </w:tc>
      </w:tr>
      <w:tr>
        <w:trPr>
          <w:trHeight w:val="224"/>
        </w:trPr>
        <w:tc>
          <w:tcPr>
            <w:tcW w:w="2440" w:type="dxa"/>
            <w:vAlign w:val="bottom"/>
            <w:shd w:val="clear" w:color="auto" w:fill="CCEEFF"/>
          </w:tcPr>
          <w:p>
            <w:pPr>
              <w:spacing w:after="0"/>
              <w:rPr>
                <w:sz w:val="19"/>
                <w:szCs w:val="19"/>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any of our obligations under the notes.</w:t>
            </w:r>
          </w:p>
        </w:tc>
        <w:tc>
          <w:tcPr>
            <w:tcW w:w="2640" w:type="dxa"/>
            <w:vAlign w:val="bottom"/>
          </w:tcPr>
          <w:p>
            <w:pPr>
              <w:spacing w:after="0"/>
              <w:rPr>
                <w:sz w:val="19"/>
                <w:szCs w:val="19"/>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8"/>
                <w:szCs w:val="18"/>
                <w:color w:val="auto"/>
              </w:rPr>
              <w:t>Redemption at Our Option</w:t>
            </w:r>
          </w:p>
        </w:tc>
        <w:tc>
          <w:tcPr>
            <w:tcW w:w="6340" w:type="dxa"/>
            <w:vAlign w:val="bottom"/>
          </w:tcPr>
          <w:p>
            <w:pPr>
              <w:ind w:left="560"/>
              <w:spacing w:after="0"/>
              <w:rPr>
                <w:sz w:val="20"/>
                <w:szCs w:val="20"/>
                <w:color w:val="auto"/>
              </w:rPr>
            </w:pPr>
            <w:r>
              <w:rPr>
                <w:rFonts w:ascii="Arial" w:cs="Arial" w:eastAsia="Arial" w:hAnsi="Arial"/>
                <w:sz w:val="18"/>
                <w:szCs w:val="18"/>
                <w:color w:val="auto"/>
                <w:w w:val="88"/>
              </w:rPr>
              <w:t>We may not redeem the notes prior to June 6, 2011. On or after June 6, 2011, we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1"/>
              </w:rPr>
              <w:t>may redeem for cash all or part of the notes if the last reported sale price of our</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88"/>
              </w:rPr>
              <w:t>common stock has been at least 130% of the conversion price then in effect for at</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0"/>
              </w:rPr>
              <w:t>least 20 trading days during any 30 consecutive trading day period ending within</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0"/>
              </w:rPr>
              <w:t>five trading days prior to the date on which we provide notice of redemption. The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6"/>
              </w:rPr>
              <w:t>redemption price will equal 100% of the principal amount of the notes to be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3"/>
              </w:rPr>
              <w:t>redeemed, plus accrued and unpaid interest to, but excluding, the redemption</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2"/>
              </w:rPr>
              <w:t>date. We will give notice of redemption not less than 30 nor more than 60 days</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4"/>
              </w:rPr>
              <w:t>before the redemption date by mail to the trustee, the paying agent and each</w:t>
            </w:r>
          </w:p>
        </w:tc>
        <w:tc>
          <w:tcPr>
            <w:tcW w:w="2640" w:type="dxa"/>
            <w:vAlign w:val="bottom"/>
          </w:tcPr>
          <w:p>
            <w:pPr>
              <w:spacing w:after="0"/>
              <w:rPr>
                <w:sz w:val="18"/>
                <w:szCs w:val="18"/>
                <w:color w:val="auto"/>
              </w:rPr>
            </w:pPr>
          </w:p>
        </w:tc>
      </w:tr>
      <w:tr>
        <w:trPr>
          <w:trHeight w:val="222"/>
        </w:trPr>
        <w:tc>
          <w:tcPr>
            <w:tcW w:w="2440" w:type="dxa"/>
            <w:vAlign w:val="bottom"/>
          </w:tcPr>
          <w:p>
            <w:pPr>
              <w:spacing w:after="0"/>
              <w:rPr>
                <w:sz w:val="19"/>
                <w:szCs w:val="19"/>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rPr>
              <w:t>holder of notes.</w:t>
            </w:r>
          </w:p>
        </w:tc>
        <w:tc>
          <w:tcPr>
            <w:tcW w:w="2640" w:type="dxa"/>
            <w:vAlign w:val="bottom"/>
          </w:tcPr>
          <w:p>
            <w:pPr>
              <w:spacing w:after="0"/>
              <w:rPr>
                <w:sz w:val="19"/>
                <w:szCs w:val="19"/>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We estimate that the net proceeds from this offering, after deducting the</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underwriters' discounts and estimated offering expenses payable by us of</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approximately $19 million, will be approximately $1,081 million (or</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approximately $1,242 million if the underwriters exercise their overallotment</w:t>
            </w:r>
          </w:p>
        </w:tc>
        <w:tc>
          <w:tcPr>
            <w:tcW w:w="2640" w:type="dxa"/>
            <w:vAlign w:val="bottom"/>
          </w:tcPr>
          <w:p>
            <w:pPr>
              <w:spacing w:after="0"/>
              <w:rPr>
                <w:sz w:val="18"/>
                <w:szCs w:val="18"/>
                <w:color w:val="auto"/>
              </w:rPr>
            </w:pPr>
          </w:p>
        </w:tc>
      </w:tr>
      <w:tr>
        <w:trPr>
          <w:trHeight w:val="224"/>
        </w:trPr>
        <w:tc>
          <w:tcPr>
            <w:tcW w:w="2440" w:type="dxa"/>
            <w:vAlign w:val="bottom"/>
            <w:shd w:val="clear" w:color="auto" w:fill="CCEEFF"/>
          </w:tcPr>
          <w:p>
            <w:pPr>
              <w:spacing w:after="0"/>
              <w:rPr>
                <w:sz w:val="19"/>
                <w:szCs w:val="19"/>
                <w:color w:val="auto"/>
              </w:rPr>
            </w:pPr>
          </w:p>
        </w:tc>
        <w:tc>
          <w:tcPr>
            <w:tcW w:w="6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option in full).</w:t>
            </w:r>
          </w:p>
        </w:tc>
        <w:tc>
          <w:tcPr>
            <w:tcW w:w="2640" w:type="dxa"/>
            <w:vAlign w:val="bottom"/>
          </w:tcPr>
          <w:p>
            <w:pPr>
              <w:spacing w:after="0"/>
              <w:rPr>
                <w:sz w:val="19"/>
                <w:szCs w:val="19"/>
                <w:color w:val="auto"/>
              </w:rPr>
            </w:pPr>
          </w:p>
        </w:tc>
      </w:tr>
      <w:tr>
        <w:trPr>
          <w:trHeight w:val="208"/>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1"/>
              </w:rPr>
              <w:t>We intend to use a portion of the net proceeds of this offering to pay the cost of</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1"/>
              </w:rPr>
              <w:t>capped call transactions that we will enter into with one or more counterparties,</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rPr>
              <w:t>which may include some of the underwriters and/or their affiliates (the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88"/>
              </w:rPr>
              <w:t>"counterparties"). We estimate that the cost of the capped call transactions will be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1"/>
              </w:rPr>
              <w:t>approximately $132 million. If the underwriters exercise their option to purchase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88"/>
              </w:rPr>
              <w:t>additional notes to cover overallotments, we will use a portion of the net proceeds</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rPr>
              <w:t>from the sale of the additional notes to enter into additional capped call</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2"/>
              </w:rPr>
              <w:t>transactions with respect to the shares initially issuable upon conversion of the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0"/>
              </w:rPr>
              <w:t>additional notes. The remaining net proceeds from this offering of approximately</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w w:val="96"/>
              </w:rPr>
              <w:t>$949 million will be used for general corporate purposes, including working</w:t>
            </w:r>
          </w:p>
        </w:tc>
        <w:tc>
          <w:tcPr>
            <w:tcW w:w="2640" w:type="dxa"/>
            <w:vAlign w:val="bottom"/>
          </w:tcPr>
          <w:p>
            <w:pPr>
              <w:spacing w:after="0"/>
              <w:rPr>
                <w:sz w:val="18"/>
                <w:szCs w:val="18"/>
                <w:color w:val="auto"/>
              </w:rPr>
            </w:pPr>
          </w:p>
        </w:tc>
      </w:tr>
      <w:tr>
        <w:trPr>
          <w:trHeight w:val="223"/>
        </w:trPr>
        <w:tc>
          <w:tcPr>
            <w:tcW w:w="2440" w:type="dxa"/>
            <w:vAlign w:val="bottom"/>
          </w:tcPr>
          <w:p>
            <w:pPr>
              <w:spacing w:after="0"/>
              <w:rPr>
                <w:sz w:val="19"/>
                <w:szCs w:val="19"/>
                <w:color w:val="auto"/>
              </w:rPr>
            </w:pPr>
          </w:p>
        </w:tc>
        <w:tc>
          <w:tcPr>
            <w:tcW w:w="6340" w:type="dxa"/>
            <w:vAlign w:val="bottom"/>
          </w:tcPr>
          <w:p>
            <w:pPr>
              <w:ind w:left="560"/>
              <w:spacing w:after="0"/>
              <w:rPr>
                <w:sz w:val="20"/>
                <w:szCs w:val="20"/>
                <w:color w:val="auto"/>
              </w:rPr>
            </w:pPr>
            <w:r>
              <w:rPr>
                <w:rFonts w:ascii="Arial" w:cs="Arial" w:eastAsia="Arial" w:hAnsi="Arial"/>
                <w:sz w:val="18"/>
                <w:szCs w:val="18"/>
                <w:color w:val="auto"/>
              </w:rPr>
              <w:t>capital and capital expenditures.</w:t>
            </w:r>
          </w:p>
        </w:tc>
        <w:tc>
          <w:tcPr>
            <w:tcW w:w="2640" w:type="dxa"/>
            <w:vAlign w:val="bottom"/>
          </w:tcPr>
          <w:p>
            <w:pPr>
              <w:spacing w:after="0"/>
              <w:rPr>
                <w:sz w:val="19"/>
                <w:szCs w:val="19"/>
                <w:color w:val="auto"/>
              </w:rPr>
            </w:pPr>
          </w:p>
        </w:tc>
      </w:tr>
      <w:tr>
        <w:trPr>
          <w:trHeight w:val="217"/>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r>
      <w:tr>
        <w:trPr>
          <w:trHeight w:val="673"/>
        </w:trPr>
        <w:tc>
          <w:tcPr>
            <w:tcW w:w="2440" w:type="dxa"/>
            <w:vAlign w:val="bottom"/>
          </w:tcPr>
          <w:p>
            <w:pPr>
              <w:spacing w:after="0"/>
              <w:rPr>
                <w:sz w:val="24"/>
                <w:szCs w:val="24"/>
                <w:color w:val="auto"/>
              </w:rPr>
            </w:pPr>
          </w:p>
        </w:tc>
        <w:tc>
          <w:tcPr>
            <w:tcW w:w="6340" w:type="dxa"/>
            <w:vAlign w:val="bottom"/>
          </w:tcPr>
          <w:p>
            <w:pPr>
              <w:ind w:left="3240"/>
              <w:spacing w:after="0"/>
              <w:rPr>
                <w:sz w:val="20"/>
                <w:szCs w:val="20"/>
                <w:color w:val="auto"/>
              </w:rPr>
            </w:pPr>
            <w:r>
              <w:rPr>
                <w:rFonts w:ascii="Arial" w:cs="Arial" w:eastAsia="Arial" w:hAnsi="Arial"/>
                <w:sz w:val="18"/>
                <w:szCs w:val="18"/>
                <w:color w:val="auto"/>
              </w:rPr>
              <w:t>5</w:t>
            </w:r>
          </w:p>
        </w:tc>
        <w:tc>
          <w:tcPr>
            <w:tcW w:w="2640" w:type="dxa"/>
            <w:vAlign w:val="bottom"/>
          </w:tcPr>
          <w:p>
            <w:pPr>
              <w:spacing w:after="0"/>
              <w:rPr>
                <w:sz w:val="24"/>
                <w:szCs w:val="24"/>
                <w:color w:val="auto"/>
              </w:rPr>
            </w:pPr>
          </w:p>
        </w:tc>
      </w:tr>
      <w:tr>
        <w:trPr>
          <w:trHeight w:val="228"/>
        </w:trPr>
        <w:tc>
          <w:tcPr>
            <w:tcW w:w="244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8"/>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Capped Call Transactions</w:t>
            </w: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In connection with this offering, we plan to enter into capped call transactions</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with the counterparties described above. These capped call transactions are</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5"/>
              </w:rPr>
              <w:t>expected to reduce the potential dilution upon conversion of the notes to the</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extent described in "Capped Call Transactions." We intend to use approximately</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$132 million of the proceeds from this offering to pay the cost of the capped call</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transactions. If the underwriters exercise their option to purchase additional notes</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9"/>
              </w:rPr>
              <w:t>to cover overallotments, we will use a portion of the net proceeds from the sale of</w:t>
            </w:r>
          </w:p>
        </w:tc>
      </w:tr>
      <w:tr>
        <w:trPr>
          <w:trHeight w:val="216"/>
        </w:trPr>
        <w:tc>
          <w:tcPr>
            <w:tcW w:w="24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the additional notes to enter into additional capped call transactions with respect</w:t>
            </w:r>
          </w:p>
        </w:tc>
      </w:tr>
      <w:tr>
        <w:trPr>
          <w:trHeight w:val="224"/>
        </w:trPr>
        <w:tc>
          <w:tcPr>
            <w:tcW w:w="24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 the shares initially issuable upon conversion of the additional notes.</w:t>
            </w:r>
          </w:p>
        </w:tc>
      </w:tr>
      <w:tr>
        <w:trPr>
          <w:trHeight w:val="208"/>
        </w:trPr>
        <w:tc>
          <w:tcPr>
            <w:tcW w:w="2420" w:type="dxa"/>
            <w:vAlign w:val="bottom"/>
          </w:tcPr>
          <w:p>
            <w:pPr>
              <w:spacing w:after="0"/>
              <w:rPr>
                <w:sz w:val="18"/>
                <w:szCs w:val="18"/>
                <w:color w:val="auto"/>
              </w:rPr>
            </w:pPr>
          </w:p>
        </w:tc>
        <w:tc>
          <w:tcPr>
            <w:tcW w:w="6360" w:type="dxa"/>
            <w:vAlign w:val="bottom"/>
            <w:gridSpan w:val="2"/>
          </w:tcPr>
          <w:p>
            <w:pPr>
              <w:ind w:left="580"/>
              <w:spacing w:after="0"/>
              <w:rPr>
                <w:sz w:val="20"/>
                <w:szCs w:val="20"/>
                <w:color w:val="auto"/>
              </w:rPr>
            </w:pPr>
            <w:r>
              <w:rPr>
                <w:rFonts w:ascii="Arial" w:cs="Arial" w:eastAsia="Arial" w:hAnsi="Arial"/>
                <w:sz w:val="18"/>
                <w:szCs w:val="18"/>
                <w:color w:val="auto"/>
              </w:rPr>
              <w:t>In connection with establishing their initial hedge of these capped call</w:t>
            </w:r>
          </w:p>
        </w:tc>
      </w:tr>
      <w:tr>
        <w:trPr>
          <w:trHeight w:val="216"/>
        </w:trPr>
        <w:tc>
          <w:tcPr>
            <w:tcW w:w="2420" w:type="dxa"/>
            <w:vAlign w:val="bottom"/>
          </w:tcPr>
          <w:p>
            <w:pPr>
              <w:spacing w:after="0"/>
              <w:rPr>
                <w:sz w:val="18"/>
                <w:szCs w:val="18"/>
                <w:color w:val="auto"/>
              </w:rPr>
            </w:pPr>
          </w:p>
        </w:tc>
        <w:tc>
          <w:tcPr>
            <w:tcW w:w="6360" w:type="dxa"/>
            <w:vAlign w:val="bottom"/>
            <w:gridSpan w:val="2"/>
          </w:tcPr>
          <w:p>
            <w:pPr>
              <w:ind w:left="580"/>
              <w:spacing w:after="0"/>
              <w:rPr>
                <w:sz w:val="20"/>
                <w:szCs w:val="20"/>
                <w:color w:val="auto"/>
              </w:rPr>
            </w:pPr>
            <w:r>
              <w:rPr>
                <w:rFonts w:ascii="Arial" w:cs="Arial" w:eastAsia="Arial" w:hAnsi="Arial"/>
                <w:sz w:val="18"/>
                <w:szCs w:val="18"/>
                <w:color w:val="auto"/>
                <w:w w:val="90"/>
              </w:rPr>
              <w:t>transactions, we expect that the counterparties described (and/or their affiliates)</w:t>
            </w:r>
          </w:p>
        </w:tc>
      </w:tr>
      <w:tr>
        <w:trPr>
          <w:trHeight w:val="223"/>
        </w:trPr>
        <w:tc>
          <w:tcPr>
            <w:tcW w:w="2420" w:type="dxa"/>
            <w:vAlign w:val="bottom"/>
          </w:tcPr>
          <w:p>
            <w:pPr>
              <w:spacing w:after="0"/>
              <w:rPr>
                <w:sz w:val="19"/>
                <w:szCs w:val="19"/>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88"/>
              </w:rPr>
              <w:t>above:</w:t>
            </w:r>
          </w:p>
        </w:tc>
        <w:tc>
          <w:tcPr>
            <w:tcW w:w="5280" w:type="dxa"/>
            <w:vAlign w:val="bottom"/>
          </w:tcPr>
          <w:p>
            <w:pPr>
              <w:spacing w:after="0"/>
              <w:rPr>
                <w:sz w:val="19"/>
                <w:szCs w:val="19"/>
                <w:color w:val="auto"/>
              </w:rPr>
            </w:pPr>
          </w:p>
        </w:tc>
      </w:tr>
      <w:tr>
        <w:trPr>
          <w:trHeight w:val="209"/>
        </w:trPr>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enter into various over-the-counter cash-settled derivative</w:t>
            </w:r>
          </w:p>
        </w:tc>
      </w:tr>
      <w:tr>
        <w:trPr>
          <w:trHeight w:val="216"/>
        </w:trPr>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transactions with respect to our common stock concurrently with, or</w:t>
            </w:r>
          </w:p>
        </w:tc>
      </w:tr>
      <w:tr>
        <w:trPr>
          <w:trHeight w:val="224"/>
        </w:trPr>
        <w:tc>
          <w:tcPr>
            <w:tcW w:w="2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shortly after, the pricing of the notes; and</w:t>
            </w:r>
          </w:p>
        </w:tc>
      </w:tr>
      <w:tr>
        <w:trPr>
          <w:trHeight w:val="208"/>
        </w:trPr>
        <w:tc>
          <w:tcPr>
            <w:tcW w:w="242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5280" w:type="dxa"/>
            <w:vAlign w:val="bottom"/>
          </w:tcPr>
          <w:p>
            <w:pPr>
              <w:ind w:left="20"/>
              <w:spacing w:after="0"/>
              <w:rPr>
                <w:sz w:val="20"/>
                <w:szCs w:val="20"/>
                <w:color w:val="auto"/>
              </w:rPr>
            </w:pPr>
            <w:r>
              <w:rPr>
                <w:rFonts w:ascii="Arial" w:cs="Arial" w:eastAsia="Arial" w:hAnsi="Arial"/>
                <w:sz w:val="18"/>
                <w:szCs w:val="18"/>
                <w:color w:val="auto"/>
                <w:w w:val="96"/>
              </w:rPr>
              <w:t>may enter into or unwind various over-the-counter derivatives and/or</w:t>
            </w: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w w:val="91"/>
              </w:rPr>
              <w:t>purchase our common stock in secondary market transactions following</w:t>
            </w:r>
          </w:p>
        </w:tc>
      </w:tr>
      <w:tr>
        <w:trPr>
          <w:trHeight w:val="222"/>
        </w:trPr>
        <w:tc>
          <w:tcPr>
            <w:tcW w:w="2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the pricing of the notes.</w:t>
            </w:r>
          </w:p>
        </w:tc>
      </w:tr>
    </w:tbl>
    <w:p>
      <w:pPr>
        <w:ind w:left="3000" w:right="1559"/>
        <w:spacing w:after="0" w:line="250"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557403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411480"/>
                    </a:xfrm>
                    <a:prstGeom prst="rect">
                      <a:avLst/>
                    </a:prstGeom>
                    <a:noFill/>
                  </pic:spPr>
                </pic:pic>
              </a:graphicData>
            </a:graphic>
          </wp:anchor>
        </w:drawing>
      </w:r>
    </w:p>
    <w:p>
      <w:pPr>
        <w:ind w:left="3000" w:right="1539"/>
        <w:spacing w:after="0" w:line="281" w:lineRule="auto"/>
        <w:rPr>
          <w:sz w:val="20"/>
          <w:szCs w:val="20"/>
          <w:color w:val="auto"/>
        </w:rPr>
      </w:pPr>
      <w:r>
        <w:rPr>
          <w:rFonts w:ascii="Arial" w:cs="Arial" w:eastAsia="Arial" w:hAnsi="Arial"/>
          <w:sz w:val="16"/>
          <w:szCs w:val="16"/>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 See "Capped Call Transactions."</w:t>
      </w:r>
    </w:p>
    <w:p>
      <w:pPr>
        <w:spacing w:after="0" w:line="7" w:lineRule="exact"/>
        <w:rPr>
          <w:sz w:val="20"/>
          <w:szCs w:val="20"/>
          <w:color w:val="auto"/>
        </w:rPr>
      </w:pPr>
    </w:p>
    <w:p>
      <w:pPr>
        <w:ind w:left="3000" w:right="1439"/>
        <w:spacing w:after="0" w:line="250" w:lineRule="auto"/>
        <w:rPr>
          <w:sz w:val="20"/>
          <w:szCs w:val="20"/>
          <w:color w:val="auto"/>
        </w:rPr>
      </w:pPr>
      <w:r>
        <w:rPr>
          <w:rFonts w:ascii="Arial" w:cs="Arial" w:eastAsia="Arial" w:hAnsi="Arial"/>
          <w:sz w:val="18"/>
          <w:szCs w:val="18"/>
          <w:color w:val="auto"/>
        </w:rPr>
        <w:t>The capped call transactions are separate transactions and are not part of the terms of the notes and will not affect the holders' rights under the notes. As a holder of the notes, you will not have any rights with respect to the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557403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548640"/>
                    </a:xfrm>
                    <a:prstGeom prst="rect">
                      <a:avLst/>
                    </a:prstGeom>
                    <a:noFill/>
                  </pic:spPr>
                </pic:pic>
              </a:graphicData>
            </a:graphic>
          </wp:anchor>
        </w:drawing>
      </w:r>
    </w:p>
    <w:p>
      <w:pPr>
        <w:ind w:left="3000" w:right="1479"/>
        <w:spacing w:after="0" w:line="295" w:lineRule="auto"/>
        <w:rPr>
          <w:sz w:val="20"/>
          <w:szCs w:val="20"/>
          <w:color w:val="auto"/>
        </w:rPr>
      </w:pPr>
      <w:r>
        <w:rPr>
          <w:rFonts w:ascii="Arial" w:cs="Arial" w:eastAsia="Arial" w:hAnsi="Arial"/>
          <w:sz w:val="16"/>
          <w:szCs w:val="16"/>
          <w:color w:val="auto"/>
        </w:rPr>
        <w:t>For a discussion of the effect of any market or other activity by the counterparties in connection with these capped call transactions, see "Risk Factors—The capped call transactions may affect the value of the notes and our common stock," "Capped Call Transactions" and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740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pacing w:after="0" w:line="36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8"/>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DTC Eligibility</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notes will be issued in fully registered book-entry form and will be</w:t>
            </w:r>
          </w:p>
        </w:tc>
        <w:tc>
          <w:tcPr>
            <w:tcW w:w="264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represented by permanent global notes without coupons. The global notes will be</w:t>
            </w:r>
          </w:p>
        </w:tc>
        <w:tc>
          <w:tcPr>
            <w:tcW w:w="264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deposited with a custodian for and registered in the name of a nominee of The</w:t>
            </w:r>
          </w:p>
        </w:tc>
        <w:tc>
          <w:tcPr>
            <w:tcW w:w="2640" w:type="dxa"/>
            <w:vAlign w:val="bottom"/>
          </w:tcPr>
          <w:p>
            <w:pPr>
              <w:spacing w:after="0"/>
              <w:rPr>
                <w:sz w:val="18"/>
                <w:szCs w:val="18"/>
                <w:color w:val="auto"/>
              </w:rPr>
            </w:pPr>
          </w:p>
        </w:tc>
      </w:tr>
      <w:tr>
        <w:trPr>
          <w:trHeight w:val="224"/>
        </w:trPr>
        <w:tc>
          <w:tcPr>
            <w:tcW w:w="2780" w:type="dxa"/>
            <w:vAlign w:val="bottom"/>
            <w:shd w:val="clear" w:color="auto" w:fill="CCEEFF"/>
          </w:tcPr>
          <w:p>
            <w:pPr>
              <w:spacing w:after="0"/>
              <w:rPr>
                <w:sz w:val="19"/>
                <w:szCs w:val="19"/>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Depository Trust Company, or DTC.</w:t>
            </w:r>
          </w:p>
        </w:tc>
        <w:tc>
          <w:tcPr>
            <w:tcW w:w="2640" w:type="dxa"/>
            <w:vAlign w:val="bottom"/>
          </w:tcPr>
          <w:p>
            <w:pPr>
              <w:spacing w:after="0"/>
              <w:rPr>
                <w:sz w:val="19"/>
                <w:szCs w:val="19"/>
                <w:color w:val="auto"/>
              </w:rPr>
            </w:pPr>
          </w:p>
        </w:tc>
      </w:tr>
      <w:tr>
        <w:trPr>
          <w:trHeight w:val="208"/>
        </w:trPr>
        <w:tc>
          <w:tcPr>
            <w:tcW w:w="278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0"/>
              </w:rPr>
              <w:t>Beneficial interests in global notes will be shown on, and transfers thereof will be</w:t>
            </w:r>
          </w:p>
        </w:tc>
        <w:tc>
          <w:tcPr>
            <w:tcW w:w="26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5"/>
              </w:rPr>
              <w:t>effected only through, records maintained by DTC and its direct and indirect</w:t>
            </w:r>
          </w:p>
        </w:tc>
        <w:tc>
          <w:tcPr>
            <w:tcW w:w="26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7"/>
              </w:rPr>
              <w:t>participants, and your interest in any global note may not be exchanged for</w:t>
            </w:r>
          </w:p>
        </w:tc>
        <w:tc>
          <w:tcPr>
            <w:tcW w:w="26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certificated notes, except in limited circumstances described herein. See</w:t>
            </w:r>
          </w:p>
        </w:tc>
        <w:tc>
          <w:tcPr>
            <w:tcW w:w="26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"Description of Notes—Global Notes; Book-Entry; Form."</w:t>
            </w:r>
          </w:p>
        </w:tc>
        <w:tc>
          <w:tcPr>
            <w:tcW w:w="2640" w:type="dxa"/>
            <w:vAlign w:val="bottom"/>
          </w:tcPr>
          <w:p>
            <w:pPr>
              <w:spacing w:after="0"/>
              <w:rPr>
                <w:sz w:val="19"/>
                <w:szCs w:val="19"/>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Form and Denomination</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The notes will be issued in minimum denominations of $1,000 and any integral</w:t>
            </w:r>
          </w:p>
        </w:tc>
        <w:tc>
          <w:tcPr>
            <w:tcW w:w="2640" w:type="dxa"/>
            <w:vAlign w:val="bottom"/>
          </w:tcPr>
          <w:p>
            <w:pPr>
              <w:spacing w:after="0"/>
              <w:rPr>
                <w:sz w:val="18"/>
                <w:szCs w:val="18"/>
                <w:color w:val="auto"/>
              </w:rPr>
            </w:pPr>
          </w:p>
        </w:tc>
      </w:tr>
      <w:tr>
        <w:trPr>
          <w:trHeight w:val="224"/>
        </w:trPr>
        <w:tc>
          <w:tcPr>
            <w:tcW w:w="2780" w:type="dxa"/>
            <w:vAlign w:val="bottom"/>
            <w:shd w:val="clear" w:color="auto" w:fill="CCEEFF"/>
          </w:tcPr>
          <w:p>
            <w:pPr>
              <w:spacing w:after="0"/>
              <w:rPr>
                <w:sz w:val="19"/>
                <w:szCs w:val="19"/>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multiple of $1,000.</w:t>
            </w:r>
          </w:p>
        </w:tc>
        <w:tc>
          <w:tcPr>
            <w:tcW w:w="2640" w:type="dxa"/>
            <w:vAlign w:val="bottom"/>
          </w:tcPr>
          <w:p>
            <w:pPr>
              <w:spacing w:after="0"/>
              <w:rPr>
                <w:sz w:val="19"/>
                <w:szCs w:val="19"/>
                <w:color w:val="auto"/>
              </w:rPr>
            </w:pPr>
          </w:p>
        </w:tc>
      </w:tr>
      <w:tr>
        <w:trPr>
          <w:trHeight w:val="208"/>
        </w:trPr>
        <w:tc>
          <w:tcPr>
            <w:tcW w:w="2780" w:type="dxa"/>
            <w:vAlign w:val="bottom"/>
          </w:tcPr>
          <w:p>
            <w:pPr>
              <w:spacing w:after="0"/>
              <w:rPr>
                <w:sz w:val="20"/>
                <w:szCs w:val="20"/>
                <w:color w:val="auto"/>
              </w:rPr>
            </w:pPr>
            <w:r>
              <w:rPr>
                <w:rFonts w:ascii="Arial" w:cs="Arial" w:eastAsia="Arial" w:hAnsi="Arial"/>
                <w:sz w:val="18"/>
                <w:szCs w:val="18"/>
                <w:color w:val="auto"/>
                <w:w w:val="96"/>
              </w:rPr>
              <w:t>Absence of a Trading Market for the</w:t>
            </w:r>
          </w:p>
        </w:tc>
        <w:tc>
          <w:tcPr>
            <w:tcW w:w="6000" w:type="dxa"/>
            <w:vAlign w:val="bottom"/>
          </w:tcPr>
          <w:p>
            <w:pPr>
              <w:ind w:left="200"/>
              <w:spacing w:after="0"/>
              <w:rPr>
                <w:sz w:val="20"/>
                <w:szCs w:val="20"/>
                <w:color w:val="auto"/>
              </w:rPr>
            </w:pPr>
            <w:r>
              <w:rPr>
                <w:rFonts w:ascii="Arial" w:cs="Arial" w:eastAsia="Arial" w:hAnsi="Arial"/>
                <w:sz w:val="18"/>
                <w:szCs w:val="18"/>
                <w:color w:val="auto"/>
                <w:w w:val="97"/>
              </w:rPr>
              <w:t>The notes will not be listed on any securities exchange nor included in any</w:t>
            </w:r>
          </w:p>
        </w:tc>
        <w:tc>
          <w:tcPr>
            <w:tcW w:w="264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Notes</w:t>
            </w:r>
          </w:p>
        </w:tc>
        <w:tc>
          <w:tcPr>
            <w:tcW w:w="6000" w:type="dxa"/>
            <w:vAlign w:val="bottom"/>
          </w:tcPr>
          <w:p>
            <w:pPr>
              <w:ind w:left="200"/>
              <w:spacing w:after="0"/>
              <w:rPr>
                <w:sz w:val="20"/>
                <w:szCs w:val="20"/>
                <w:color w:val="auto"/>
              </w:rPr>
            </w:pPr>
            <w:r>
              <w:rPr>
                <w:rFonts w:ascii="Arial" w:cs="Arial" w:eastAsia="Arial" w:hAnsi="Arial"/>
                <w:sz w:val="18"/>
                <w:szCs w:val="18"/>
                <w:color w:val="auto"/>
                <w:w w:val="91"/>
              </w:rPr>
              <w:t>automated quotation system. The notes will be new securities for which there is</w:t>
            </w:r>
          </w:p>
        </w:tc>
        <w:tc>
          <w:tcPr>
            <w:tcW w:w="26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5"/>
              </w:rPr>
              <w:t>currently no trading market, and we cannot guarantee that an active or liquid</w:t>
            </w:r>
          </w:p>
        </w:tc>
        <w:tc>
          <w:tcPr>
            <w:tcW w:w="26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market will develop.</w:t>
            </w:r>
          </w:p>
        </w:tc>
        <w:tc>
          <w:tcPr>
            <w:tcW w:w="2640" w:type="dxa"/>
            <w:vAlign w:val="bottom"/>
          </w:tcPr>
          <w:p>
            <w:pPr>
              <w:spacing w:after="0"/>
              <w:rPr>
                <w:sz w:val="19"/>
                <w:szCs w:val="19"/>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The New York Stock Exchange</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Our common stock is listed on the New York Stock Exchange under the symbol</w:t>
            </w:r>
          </w:p>
        </w:tc>
        <w:tc>
          <w:tcPr>
            <w:tcW w:w="2640" w:type="dxa"/>
            <w:vAlign w:val="bottom"/>
          </w:tcPr>
          <w:p>
            <w:pPr>
              <w:spacing w:after="0"/>
              <w:rPr>
                <w:sz w:val="18"/>
                <w:szCs w:val="18"/>
                <w:color w:val="auto"/>
              </w:rPr>
            </w:pPr>
          </w:p>
        </w:tc>
      </w:tr>
      <w:tr>
        <w:trPr>
          <w:trHeight w:val="224"/>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Symbol for Common Stock</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w:t>
            </w:r>
          </w:p>
        </w:tc>
        <w:tc>
          <w:tcPr>
            <w:tcW w:w="2640" w:type="dxa"/>
            <w:vAlign w:val="bottom"/>
          </w:tcPr>
          <w:p>
            <w:pPr>
              <w:spacing w:after="0"/>
              <w:rPr>
                <w:sz w:val="19"/>
                <w:szCs w:val="19"/>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Trustee</w:t>
            </w:r>
          </w:p>
        </w:tc>
        <w:tc>
          <w:tcPr>
            <w:tcW w:w="6000" w:type="dxa"/>
            <w:vAlign w:val="bottom"/>
          </w:tcPr>
          <w:p>
            <w:pPr>
              <w:ind w:left="200"/>
              <w:spacing w:after="0"/>
              <w:rPr>
                <w:sz w:val="20"/>
                <w:szCs w:val="20"/>
                <w:color w:val="auto"/>
              </w:rPr>
            </w:pPr>
            <w:r>
              <w:rPr>
                <w:rFonts w:ascii="Arial" w:cs="Arial" w:eastAsia="Arial" w:hAnsi="Arial"/>
                <w:sz w:val="18"/>
                <w:szCs w:val="18"/>
                <w:color w:val="auto"/>
              </w:rPr>
              <w:t>The trustee for the notes will be Wells Fargo Bank, National Association.</w:t>
            </w:r>
          </w:p>
        </w:tc>
        <w:tc>
          <w:tcPr>
            <w:tcW w:w="2640" w:type="dxa"/>
            <w:vAlign w:val="bottom"/>
          </w:tcPr>
          <w:p>
            <w:pPr>
              <w:spacing w:after="0"/>
              <w:rPr>
                <w:sz w:val="18"/>
                <w:szCs w:val="18"/>
                <w:color w:val="auto"/>
              </w:rPr>
            </w:pPr>
          </w:p>
        </w:tc>
      </w:tr>
      <w:tr>
        <w:trPr>
          <w:trHeight w:val="208"/>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Governing Law</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The indenture and the notes will be governed by the laws of the State of New</w:t>
            </w:r>
          </w:p>
        </w:tc>
        <w:tc>
          <w:tcPr>
            <w:tcW w:w="2640" w:type="dxa"/>
            <w:vAlign w:val="bottom"/>
          </w:tcPr>
          <w:p>
            <w:pPr>
              <w:spacing w:after="0"/>
              <w:rPr>
                <w:sz w:val="18"/>
                <w:szCs w:val="18"/>
                <w:color w:val="auto"/>
              </w:rPr>
            </w:pPr>
          </w:p>
        </w:tc>
      </w:tr>
      <w:tr>
        <w:trPr>
          <w:trHeight w:val="224"/>
        </w:trPr>
        <w:tc>
          <w:tcPr>
            <w:tcW w:w="2780" w:type="dxa"/>
            <w:vAlign w:val="bottom"/>
            <w:shd w:val="clear" w:color="auto" w:fill="CCEEFF"/>
          </w:tcPr>
          <w:p>
            <w:pPr>
              <w:spacing w:after="0"/>
              <w:rPr>
                <w:sz w:val="19"/>
                <w:szCs w:val="19"/>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York.</w:t>
            </w:r>
          </w:p>
        </w:tc>
        <w:tc>
          <w:tcPr>
            <w:tcW w:w="2640" w:type="dxa"/>
            <w:vAlign w:val="bottom"/>
          </w:tcPr>
          <w:p>
            <w:pPr>
              <w:spacing w:after="0"/>
              <w:rPr>
                <w:sz w:val="19"/>
                <w:szCs w:val="19"/>
                <w:color w:val="auto"/>
              </w:rPr>
            </w:pPr>
          </w:p>
        </w:tc>
      </w:tr>
      <w:tr>
        <w:trPr>
          <w:trHeight w:val="208"/>
        </w:trPr>
        <w:tc>
          <w:tcPr>
            <w:tcW w:w="278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tcPr>
          <w:p>
            <w:pPr>
              <w:ind w:left="200"/>
              <w:spacing w:after="0"/>
              <w:rPr>
                <w:sz w:val="20"/>
                <w:szCs w:val="20"/>
                <w:color w:val="auto"/>
              </w:rPr>
            </w:pPr>
            <w:r>
              <w:rPr>
                <w:rFonts w:ascii="Arial" w:cs="Arial" w:eastAsia="Arial" w:hAnsi="Arial"/>
                <w:sz w:val="18"/>
                <w:szCs w:val="18"/>
                <w:color w:val="auto"/>
                <w:w w:val="89"/>
              </w:rPr>
              <w:t>See "Risk Factors" and other information included or incorporated by reference in</w:t>
            </w:r>
          </w:p>
        </w:tc>
        <w:tc>
          <w:tcPr>
            <w:tcW w:w="26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2"/>
              </w:rPr>
              <w:t>this prospectus for a discussion of factors you should carefully consider before</w:t>
            </w:r>
          </w:p>
        </w:tc>
        <w:tc>
          <w:tcPr>
            <w:tcW w:w="26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deciding to invest in the notes.</w:t>
            </w:r>
          </w:p>
        </w:tc>
        <w:tc>
          <w:tcPr>
            <w:tcW w:w="2640" w:type="dxa"/>
            <w:vAlign w:val="bottom"/>
          </w:tcPr>
          <w:p>
            <w:pPr>
              <w:spacing w:after="0"/>
              <w:rPr>
                <w:sz w:val="19"/>
                <w:szCs w:val="19"/>
                <w:color w:val="auto"/>
              </w:rPr>
            </w:pPr>
          </w:p>
        </w:tc>
      </w:tr>
      <w:tr>
        <w:trPr>
          <w:trHeight w:val="432"/>
        </w:trPr>
        <w:tc>
          <w:tcPr>
            <w:tcW w:w="2780" w:type="dxa"/>
            <w:vAlign w:val="bottom"/>
          </w:tcPr>
          <w:p>
            <w:pPr>
              <w:spacing w:after="0"/>
              <w:rPr>
                <w:sz w:val="24"/>
                <w:szCs w:val="24"/>
                <w:color w:val="auto"/>
              </w:rPr>
            </w:pPr>
          </w:p>
        </w:tc>
        <w:tc>
          <w:tcPr>
            <w:tcW w:w="6000" w:type="dxa"/>
            <w:vAlign w:val="bottom"/>
          </w:tcPr>
          <w:p>
            <w:pPr>
              <w:ind w:left="2900"/>
              <w:spacing w:after="0"/>
              <w:rPr>
                <w:sz w:val="20"/>
                <w:szCs w:val="20"/>
                <w:color w:val="auto"/>
              </w:rPr>
            </w:pPr>
            <w:r>
              <w:rPr>
                <w:rFonts w:ascii="Arial" w:cs="Arial" w:eastAsia="Arial" w:hAnsi="Arial"/>
                <w:sz w:val="18"/>
                <w:szCs w:val="18"/>
                <w:color w:val="auto"/>
              </w:rPr>
              <w:t>7</w:t>
            </w:r>
          </w:p>
        </w:tc>
        <w:tc>
          <w:tcPr>
            <w:tcW w:w="2640" w:type="dxa"/>
            <w:vAlign w:val="bottom"/>
          </w:tcPr>
          <w:p>
            <w:pPr>
              <w:spacing w:after="0"/>
              <w:rPr>
                <w:sz w:val="24"/>
                <w:szCs w:val="24"/>
                <w:color w:val="auto"/>
              </w:rPr>
            </w:pPr>
          </w:p>
        </w:tc>
      </w:tr>
      <w:tr>
        <w:trPr>
          <w:trHeight w:val="228"/>
        </w:trPr>
        <w:tc>
          <w:tcPr>
            <w:tcW w:w="278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selected consolidated statement of operations data below for the fiscal years ended September 2, 2004, September 1, 2005, and August 31, 2006, and the selected consolidated balance sheet data as of September 1, 2005 and August 31, 2006, have been derived from the audited consolidated financial statements of Micron that are incorporated by reference herein, and are qualified by reference to such financial statements. The selected consolidated statement of operations data below for the six month periods ended March 2, 2006, and March 1, 2007, and the selected consolidated balance sheet data as of March 1, 2007, have been derived from unaudited consolidated financial statements of Micron that are incorporated by reference herein. In the opinion of management, such unaudited quarterly financial data contains all adjustments necessary for the fair statement of Micron's financial position and results of operations as of and for such periods. Operating results for the six months ended March 1, 2007 are not necessarily indicative of results that may be expected for future periods. The data should be read in conjunction with the consolidated financial statements, related notes and other financial information incorporated by reference in this prospectus supplement and the accompanying prospects.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11"/>
          </w:tcPr>
          <w:p>
            <w:pPr>
              <w:ind w:left="2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September 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1,</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August 31,</w:t>
            </w:r>
          </w:p>
        </w:tc>
        <w:tc>
          <w:tcPr>
            <w:tcW w:w="80" w:type="dxa"/>
            <w:vAlign w:val="bottom"/>
          </w:tcPr>
          <w:p>
            <w:pPr>
              <w:spacing w:after="0"/>
              <w:rPr>
                <w:sz w:val="20"/>
                <w:szCs w:val="20"/>
                <w:color w:val="auto"/>
              </w:rPr>
            </w:pPr>
          </w:p>
        </w:tc>
        <w:tc>
          <w:tcPr>
            <w:tcW w:w="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March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(In millions except per share data)</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4,404</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4,880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5,272</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2,587</w:t>
            </w:r>
          </w:p>
        </w:tc>
        <w:tc>
          <w:tcPr>
            <w:tcW w:w="8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2,957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goods sold</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3,734</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2,040</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8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547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Restructure</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operating (income) expense</w:t>
            </w:r>
          </w:p>
        </w:tc>
        <w:tc>
          <w:tcPr>
            <w:tcW w:w="16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non-operating income (expense)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Income before income taxes and noncontrolling interests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 in net income</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2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408</w:t>
            </w:r>
          </w:p>
        </w:tc>
        <w:tc>
          <w:tcPr>
            <w:tcW w:w="1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256</w:t>
            </w:r>
          </w:p>
        </w:tc>
        <w:tc>
          <w:tcPr>
            <w:tcW w:w="8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share: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80"/>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0.29</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0.59</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0.39</w:t>
            </w:r>
          </w:p>
        </w:tc>
        <w:tc>
          <w:tcPr>
            <w:tcW w:w="8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Number of shares used in per share calculations: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647.7</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655.8</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767.9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710.6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776.3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5"/>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1,</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6"/>
          </w:tcPr>
          <w:p>
            <w:pPr>
              <w:ind w:left="60"/>
              <w:spacing w:after="0"/>
              <w:rPr>
                <w:sz w:val="20"/>
                <w:szCs w:val="20"/>
                <w:color w:val="auto"/>
              </w:rPr>
            </w:pPr>
            <w:r>
              <w:rPr>
                <w:rFonts w:ascii="Arial" w:cs="Arial" w:eastAsia="Arial" w:hAnsi="Arial"/>
                <w:sz w:val="14"/>
                <w:szCs w:val="14"/>
                <w:b w:val="1"/>
                <w:bCs w:val="1"/>
                <w:color w:val="auto"/>
              </w:rPr>
              <w:t>August 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91"/>
              </w:rPr>
              <w:t>March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gridSpan w:val="7"/>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8"/>
          </w:tcPr>
          <w:p>
            <w:pPr>
              <w:ind w:left="1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753"/>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1,290</w:t>
            </w:r>
          </w:p>
        </w:tc>
        <w:tc>
          <w:tcPr>
            <w:tcW w:w="3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3,079</w:t>
            </w:r>
          </w:p>
        </w:tc>
        <w:tc>
          <w:tcPr>
            <w:tcW w:w="1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1,636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8,006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1,020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Noncontrolling interests in subsidiaries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5,847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-5132070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-5132070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-5132070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-5132070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-4789170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-4789170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-4789170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-4789170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-4789170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-4789170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-4789170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-4789170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-4789170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-4789170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-4102735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-4102735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-4102735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-4102735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-4102735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-4102735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-4102735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-4102735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-4102735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-4102735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-3476625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-3476625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-3476625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-3476625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-3476625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-3476625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-3476625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-3476625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-3476625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-3476625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-2945130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-2945130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-2945130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-2945130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-2945130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-2945130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-2945130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-2945130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-2945130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-2945130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-2507615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-2507615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-2507615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-2507615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-2507615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-2507615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-2507615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-2507615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-2507615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-2507615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-1332865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-1332865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-1332865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-1332865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-989965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-989965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-989965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-989965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-989965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-989965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2300"/>
        <w:spacing w:after="0"/>
        <w:rPr>
          <w:sz w:val="20"/>
          <w:szCs w:val="20"/>
          <w:color w:val="auto"/>
        </w:rPr>
      </w:pPr>
      <w:r>
        <w:rPr>
          <w:rFonts w:ascii="Arial" w:cs="Arial" w:eastAsia="Arial" w:hAnsi="Arial"/>
          <w:sz w:val="18"/>
          <w:szCs w:val="18"/>
          <w:b w:val="1"/>
          <w:bCs w:val="1"/>
          <w:color w:val="auto"/>
        </w:rPr>
        <w:t>RATIO OF EARNINGS TO FIXED CHARGES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Fiscal Year Ended</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3"/>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jc w:val="center"/>
              <w:ind w:left="152"/>
              <w:spacing w:after="0"/>
              <w:rPr>
                <w:sz w:val="20"/>
                <w:szCs w:val="20"/>
                <w:color w:val="auto"/>
              </w:rPr>
            </w:pPr>
            <w:r>
              <w:rPr>
                <w:rFonts w:ascii="Arial" w:cs="Arial" w:eastAsia="Arial" w:hAnsi="Arial"/>
                <w:sz w:val="14"/>
                <w:szCs w:val="14"/>
                <w:b w:val="1"/>
                <w:bCs w:val="1"/>
                <w:color w:val="auto"/>
                <w:w w:val="83"/>
              </w:rPr>
              <w:t>August 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28,</w:t>
            </w:r>
          </w:p>
        </w:tc>
        <w:tc>
          <w:tcPr>
            <w:tcW w:w="2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September 2,</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September 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August 31,</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March 2,</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March 1,</w:t>
            </w:r>
          </w:p>
        </w:tc>
        <w:tc>
          <w:tcPr>
            <w:tcW w:w="0" w:type="dxa"/>
            <w:vAlign w:val="bottom"/>
          </w:tcPr>
          <w:p>
            <w:pPr>
              <w:spacing w:after="0"/>
              <w:rPr>
                <w:sz w:val="1"/>
                <w:szCs w:val="1"/>
                <w:color w:val="auto"/>
              </w:rPr>
            </w:pPr>
          </w:p>
        </w:tc>
      </w:tr>
      <w:tr>
        <w:trPr>
          <w:trHeight w:val="174"/>
        </w:trPr>
        <w:tc>
          <w:tcPr>
            <w:tcW w:w="32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2003</w:t>
            </w:r>
          </w:p>
        </w:tc>
        <w:tc>
          <w:tcPr>
            <w:tcW w:w="1500" w:type="dxa"/>
            <w:vAlign w:val="bottom"/>
            <w:gridSpan w:val="2"/>
          </w:tcPr>
          <w:p>
            <w:pPr>
              <w:jc w:val="right"/>
              <w:ind w:right="42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260" w:type="dxa"/>
            <w:vAlign w:val="bottom"/>
          </w:tcPr>
          <w:p>
            <w:pPr>
              <w:jc w:val="right"/>
              <w:ind w:right="42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140" w:type="dxa"/>
            <w:vAlign w:val="bottom"/>
          </w:tcPr>
          <w:p>
            <w:pPr>
              <w:jc w:val="right"/>
              <w:ind w:right="366"/>
              <w:spacing w:after="0"/>
              <w:rPr>
                <w:sz w:val="20"/>
                <w:szCs w:val="20"/>
                <w:color w:val="auto"/>
              </w:rPr>
            </w:pPr>
            <w:r>
              <w:rPr>
                <w:rFonts w:ascii="Arial" w:cs="Arial" w:eastAsia="Arial" w:hAnsi="Arial"/>
                <w:sz w:val="14"/>
                <w:szCs w:val="14"/>
                <w:b w:val="1"/>
                <w:bCs w:val="1"/>
                <w:color w:val="auto"/>
              </w:rPr>
              <w:t>2006</w:t>
            </w:r>
          </w:p>
        </w:tc>
        <w:tc>
          <w:tcPr>
            <w:tcW w:w="1120" w:type="dxa"/>
            <w:vAlign w:val="bottom"/>
            <w:gridSpan w:val="2"/>
          </w:tcPr>
          <w:p>
            <w:pPr>
              <w:jc w:val="right"/>
              <w:ind w:right="246"/>
              <w:spacing w:after="0"/>
              <w:rPr>
                <w:sz w:val="20"/>
                <w:szCs w:val="20"/>
                <w:color w:val="auto"/>
              </w:rPr>
            </w:pPr>
            <w:r>
              <w:rPr>
                <w:rFonts w:ascii="Arial" w:cs="Arial" w:eastAsia="Arial" w:hAnsi="Arial"/>
                <w:sz w:val="14"/>
                <w:szCs w:val="14"/>
                <w:b w:val="1"/>
                <w:bCs w:val="1"/>
                <w:color w:val="auto"/>
              </w:rPr>
              <w:t>2006</w:t>
            </w:r>
          </w:p>
        </w:tc>
        <w:tc>
          <w:tcPr>
            <w:tcW w:w="11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charges(1)</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6.3x</w:t>
            </w:r>
          </w:p>
        </w:tc>
        <w:tc>
          <w:tcPr>
            <w:tcW w:w="15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4.5x</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6"/>
              </w:rPr>
              <w:t>10.4x</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1"/>
              </w:rPr>
              <w:t>11.7x</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6.0x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-786130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-786130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-786130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-443230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-443230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-443230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-443230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-443230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-443230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-443230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-443230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-443230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-443230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-443230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-443230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-443230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left="540" w:right="160" w:hanging="532"/>
        <w:spacing w:after="0" w:line="288" w:lineRule="auto"/>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the purpose of calculating such ratios, "earnings" consist of income from continuing operations before income taxes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$1,008 million and $1,202 million for the fiscal years ended August 29, 2002 and August 28, 2003,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Investing in the notes and our common stock involves a high degree of risk. In addition, our business, operations and financial condition are subject to various risks. You should carefully consider the risks described below with all of the other information included in this prospectus supplement and the accompanying prospectus before making an investment decision. If any of the adverse events described below were to actually occur, our business, results of operations, or financial condition would likely suffer. In such an event, the trading price of the notes and our common stock could decline and you could lose all or part of your investment. Additionally, this section does not attempt to describe all risks applicable to our industry, our business or investment in the notes or our common stock. Risks not presently known to us or that we currently deem immaterial may also impair our business operations.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experienced dramatic declines in average selling prices for our semiconductor memory products which have adversely affected our business.</w:t>
      </w:r>
    </w:p>
    <w:p>
      <w:pPr>
        <w:spacing w:after="0" w:line="26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second fiscal quarter of 2007, our average selling prices for DRAM products and NAND Flash products decreased 13% and 31%, respectively, as compared to the first fiscal quarter of 2007. In the first two months of the third fiscal quarter of 2007 we believe, based on published industry reports, that average selling prices for DDR2 DRAM products and NAND Flash products decreased approximately 20% and 45%, respectively, as compared to industry average selling prices for the second fiscal quarter of 2007. In recent years, we have also experienced annual decreases in per megabit average selling prices for our memory products including: 34% in 2006, 24% in 2005, 17% in 2003, 53% in 2002 and 60% in 2001. At times, average selling prices for our memory products have been below our costs. If average selling prices for our memory products decrease faster than we can decrease per megabit costs, as they they recently have, our business, results of operations or financial condition could be materially adversely affected.</w:t>
      </w:r>
    </w:p>
    <w:p>
      <w:pPr>
        <w:spacing w:after="0" w:line="172"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b w:val="1"/>
          <w:bCs w:val="1"/>
          <w:i w:val="1"/>
          <w:iCs w:val="1"/>
          <w:color w:val="auto"/>
        </w:rPr>
        <w:t>Increased worldwide semiconductor memory production or lack of demand for semiconductor memory could lead to further declines in average selling prices.</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announced plans to increase production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unable to reduce our per megabit manufacturing costs at the same rate as we have in the past.</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180"/>
        <w:spacing w:after="0"/>
        <w:rPr>
          <w:sz w:val="20"/>
          <w:szCs w:val="20"/>
          <w:color w:val="auto"/>
        </w:rPr>
      </w:pPr>
      <w:r>
        <w:rPr>
          <w:rFonts w:ascii="Arial" w:cs="Arial" w:eastAsia="Arial" w:hAnsi="Arial"/>
          <w:sz w:val="18"/>
          <w:szCs w:val="18"/>
          <w:b w:val="1"/>
          <w:bCs w:val="1"/>
          <w:i w:val="1"/>
          <w:iCs w:val="1"/>
          <w:color w:val="auto"/>
        </w:rPr>
        <w:t>Our plans to significantly increase our NAND Flash memory production and sales have numerous risks.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plan to significantly increase our NAND Flash production and sales in future periods. As part of this plan we have formed a manufacturing joint venture with Intel and made substantial investments in capital expenditures for equipment and new facilities as well as research and development. Our plans also require significant future investments in capital expenditures and research and development. We currently expect our capital spending for 2008 to be between $2.0 and $3.0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NAND Flash strategy involves numerous risks, and may include the following:</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NAND Flash strategy may not be successful and could materially adversely affect our business, results of operations or financial condition.</w:t>
      </w:r>
    </w:p>
    <w:p>
      <w:pPr>
        <w:spacing w:after="0" w:line="248"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b w:val="1"/>
          <w:bCs w:val="1"/>
          <w:i w:val="1"/>
          <w:iCs w:val="1"/>
          <w:color w:val="auto"/>
        </w:rPr>
        <w:t>The future success of our Imaging business will be dependent on continued market acceptance of our products and the development, introduction and marketing of new Imaging products.</w:t>
      </w:r>
    </w:p>
    <w:p>
      <w:pPr>
        <w:spacing w:after="0" w:line="186" w:lineRule="exact"/>
        <w:rPr>
          <w:sz w:val="20"/>
          <w:szCs w:val="20"/>
          <w:color w:val="auto"/>
        </w:rPr>
      </w:pPr>
    </w:p>
    <w:p>
      <w:pPr>
        <w:jc w:val="both"/>
        <w:ind w:right="260" w:firstLine="351"/>
        <w:spacing w:after="0" w:line="335" w:lineRule="auto"/>
        <w:rPr>
          <w:sz w:val="20"/>
          <w:szCs w:val="20"/>
          <w:color w:val="auto"/>
        </w:rPr>
      </w:pPr>
      <w:r>
        <w:rPr>
          <w:rFonts w:ascii="Arial" w:cs="Arial" w:eastAsia="Arial" w:hAnsi="Arial"/>
          <w:sz w:val="15"/>
          <w:szCs w:val="15"/>
          <w:color w:val="auto"/>
        </w:rPr>
        <w:t>Our Imaging business represented 11% of our net sales in the second quarter of 2007. Despite growth in 2006, Imaging net sales and gross margins were down significantly in the second quarter of 2007 compared to the first quarter of 2007. There can be no assurance that we will be able to grow or maintain our market share or gross margins for Imaging products in the future. The success of our Imaging business will depend on a number of factors, including:</w:t>
      </w:r>
    </w:p>
    <w:p>
      <w:pPr>
        <w:spacing w:after="0" w:line="169" w:lineRule="exact"/>
        <w:rPr>
          <w:sz w:val="20"/>
          <w:szCs w:val="20"/>
          <w:color w:val="auto"/>
        </w:rPr>
      </w:pPr>
    </w:p>
    <w:p>
      <w:pPr>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 accurate prediction of market requirements and evolving standards, including pixel resolution, output interface standards, power requirements, optical lens size, input standards and other requirements;</w:t>
      </w:r>
    </w:p>
    <w:p>
      <w:pPr>
        <w:spacing w:after="0" w:line="20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 timely achievement of design wins with prospective customers, as manufacturers may be reluctant to change their source of components due to the significant costs, time, effort and risk associated with qualifying a new supplier;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6" w:name="page17"/>
    <w:bookmarkEnd w:id="16"/>
    <w:p>
      <w:pPr>
        <w:ind w:left="180"/>
        <w:spacing w:after="0"/>
        <w:rPr>
          <w:sz w:val="20"/>
          <w:szCs w:val="20"/>
          <w:color w:val="auto"/>
        </w:rPr>
      </w:pPr>
      <w:r>
        <w:rPr>
          <w:rFonts w:ascii="Arial" w:cs="Arial" w:eastAsia="Arial" w:hAnsi="Arial"/>
          <w:sz w:val="18"/>
          <w:szCs w:val="18"/>
          <w:b w:val="1"/>
          <w:bCs w:val="1"/>
          <w:i w:val="1"/>
          <w:iCs w:val="1"/>
          <w:color w:val="auto"/>
        </w:rPr>
        <w:t>We may not be able to generate sufficient cash flows to fund our operations and make adequate capital investments.</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expect capital spending for the remainder of 2007 to approximate $1.8 billion, of which approximately $0.5 billion is expected to be funded by capital contributions from our joint venture partners. We currently anticipate 2008 capital spending to be between $2 billion and $3 billion.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or access capital markets on acceptable terms, and an inability to do so could have a material adverse effect on our business and results of operations.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semiconductor industry is highly competitive.</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difficulty integrating the operations of Lexar.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we are unable to successfully combine and integrate the Lexar operations, we may not be able to realize many of the anticipated benefits of the merger, which could harm our results of operations.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combining product and service offerings, optimizing inventory management over a broader distribution chain, and preserving customer, supplier and other important relationships of both Micron and Lexar. If we are not able to successfully integrate our operations with those of Lexar, our results of operations could be materially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left="180"/>
        <w:spacing w:after="0"/>
        <w:rPr>
          <w:sz w:val="20"/>
          <w:szCs w:val="20"/>
          <w:color w:val="auto"/>
        </w:rPr>
      </w:pPr>
      <w:r>
        <w:rPr>
          <w:rFonts w:ascii="Arial" w:cs="Arial" w:eastAsia="Arial" w:hAnsi="Arial"/>
          <w:sz w:val="18"/>
          <w:szCs w:val="18"/>
          <w:b w:val="1"/>
          <w:bCs w:val="1"/>
          <w:i w:val="1"/>
          <w:iCs w:val="1"/>
          <w:color w:val="auto"/>
        </w:rPr>
        <w:t>Our internal control over financial reporting could be adversely affected by material weaknesses in Lexar's internal controls.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 internal control over financial reporting was not effective as of the end of the periods covered by the reports. While prior to the close of the merger Lexar continued 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However, due to the timing of the acquisition, the internal control over financial reporting relating to Lexar was exempt from testing and evaluation for 2006. To the extent we do not remediate the material weaknesses, the effectiveness of our internal control over financial reporting may be adversely affected.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net operating loss carryforwards may be limited as a result of the Lexar merger.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Micron and Lexar had net operating loss carryforwards for federal income tax purposes prior to the merger and both entities had provided significant valuation allowances against the tax benefit of such losses as well as certain tax credit carryforwards. Utilization of these net operating losses and credit carryforwards are dependent upon us achieving profitable results following the Lexar merger. As a consequence of the merger, as well as earlier issuances of common stock consummated by both companies and business combinations by the Company, utilization of the tax benefits of these carryforwards are subject to limitations imposed by Section 382 of the Internal Revenue Code. The determination of the limitations is complex and requires significant judgment and analysis of past transactions. Accordingly, some portion or all of these carryforwards may not be available to offset any future taxable income.</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resellers receive price protections which may have an adverse affect on our gross margins.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NAND Flash sales are made through resellers which traditionally have been provided price protection. In an environment of slower demand and abundant supply of products, price declines and channel promotions expenses are more likely to occur. Further, in this environment, high channel inventory may result in substantial price protection charges. These price protection charges have the effect of reducing gross sales and gross margin. We expect to continue to incur price protection charges for the foreseeable future due to competitive pricing pressures and, as a result, our revenues and gross margins could be adversely affected.</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48"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our assets and liabilities denominated in currencies other than U.S. dollar as of March 1, 2007, a 1% change in any of the exchange rates for the euro, the yen or the Singapore dollar versus the U.S. dollar would result in foreign currency gains or losses of approximately $1 million. In the event that the U.S. dollar weakens significantly compared to the euro, yen or Singapore dollar, our results of operations or financial condition will be adversely affected.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8" w:name="page19"/>
    <w:bookmarkEnd w:id="18"/>
    <w:p>
      <w:pPr>
        <w:ind w:left="180"/>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80" w:firstLine="169"/>
        <w:spacing w:after="0" w:line="268" w:lineRule="auto"/>
        <w:rPr>
          <w:sz w:val="20"/>
          <w:szCs w:val="20"/>
          <w:color w:val="auto"/>
        </w:rPr>
      </w:pPr>
      <w:r>
        <w:rPr>
          <w:rFonts w:ascii="Arial" w:cs="Arial" w:eastAsia="Arial" w:hAnsi="Arial"/>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also are engaged in litigation with Tadahiro Ohmi ("Ohmi"). On June 2, 2005, Ohmi filed suit against us in the U.S. District Court for the Eastern District of Texas (amended on August 31, 2005 substituting the Foundation for Advancement of International Science as the plaintiff) alleging infringement of a single Ohmi patent.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8"/>
          <w:szCs w:val="18"/>
          <w:color w:val="auto"/>
        </w:rPr>
        <w:t>patents. On August 31, 2006, Mosaid filed an amended complaint adding two additional Mosaid patents. On October 23, 2006, the California Court dismissed our declaratory judgment suit based on lack of jurisdiction.</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Among other things, the above lawsuits pertain to certain of our SDRAM, DDR SDRAM, DDR2 SDRAM, RLDRAM, and image sensor products, which account for a significant portion of our net sales.</w:t>
      </w:r>
    </w:p>
    <w:p>
      <w:pPr>
        <w:spacing w:after="0" w:line="186"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6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Allegations of anticompetitive conduct.</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9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damages sustained by purported class members, in addition to restitution, costs and attorneys' fees, as well as an injunction against the allegedly unlawful conduct. On June 5, 2006, the Court granted plaintiffs' motion to certify the proposed class of direct purchasers. On January 9, 2007, we entered into a settlement agreement with the class of direct purchasers ("Direct Purchaser Settlement"). Under terms of the Direct Purchaser Settlement, we agreed to pay $91 million and be dismissed with prejudice from the direct purchaser consolidated class-action suit. On April 18, 2007, the Direct Purchaser Settlement received final approval from the U.S. District Court for the Northern District of California, and the Company was formally dismissed from that action.</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color w:val="auto"/>
        </w:rPr>
        <w:t>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The Direct Purchaser Settlement does not resolve these suits.</w:t>
      </w:r>
    </w:p>
    <w:p>
      <w:pPr>
        <w:spacing w:after="0" w:line="198"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The Direct Purchaser Settlement does not resolve these suits.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various states, through their Attorneys General, have filed suit against us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February and March 2007, three cases were filed against the Company and other manufacturers of DRAM in the U.S. District Court for the Northern District of California by parties that opted-out of the Direct Purchaser class action. The complaints allege, among other things, violations of federal and state antitrust and competition laws in the DRAM industry, and seek damages, injunctive relief, and other remedies. The Direct Purchaser Settlement does not resolve these suits.</w:t>
      </w:r>
    </w:p>
    <w:p>
      <w:pPr>
        <w:spacing w:after="0" w:line="19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16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seventy-two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the first calendar quarter of 2007, at least fifteen purported class action lawsuits were filed against the Company and other suppliers of flash memory products. Thirteen of these were filed in the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ind w:right="120"/>
        <w:spacing w:after="0" w:line="256" w:lineRule="auto"/>
        <w:rPr>
          <w:sz w:val="20"/>
          <w:szCs w:val="20"/>
          <w:color w:val="auto"/>
        </w:rPr>
      </w:pPr>
      <w:r>
        <w:rPr>
          <w:rFonts w:ascii="Arial" w:cs="Arial" w:eastAsia="Arial" w:hAnsi="Arial"/>
          <w:sz w:val="18"/>
          <w:szCs w:val="18"/>
          <w:color w:val="auto"/>
        </w:rPr>
        <w:t>District Court for the Northern District of California.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19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9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Allegations of violations of securities laws.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 w:name="page23"/>
    <w:bookmarkEnd w:id="22"/>
    <w:p>
      <w:pPr>
        <w:ind w:right="40" w:firstLine="348"/>
        <w:spacing w:after="0" w:line="268"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Economic and political conditions may harm our business.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97" w:lineRule="exact"/>
        <w:rPr>
          <w:sz w:val="20"/>
          <w:szCs w:val="20"/>
          <w:color w:val="auto"/>
        </w:rPr>
      </w:pPr>
    </w:p>
    <w:p>
      <w:pPr>
        <w:ind w:right="220" w:firstLine="172"/>
        <w:spacing w:after="0" w:line="268"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jc w:val="both"/>
        <w:ind w:right="86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67% of our consolidated net sales for the second quarter of 2007. In addition, we have manufacturing operations in Italy, Japan, Puerto Rico and Singapore. Our international sales and operations are subject to a variety of risks, including:</w:t>
      </w:r>
    </w:p>
    <w:p>
      <w:pPr>
        <w:spacing w:after="0" w:line="130" w:lineRule="exact"/>
        <w:rPr>
          <w:sz w:val="20"/>
          <w:szCs w:val="20"/>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 export and import duties, changes to import and export regulations, and restrictions on the transfer of funds, political and economic instability,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our manufacturing process is disrupted, our business, results of operations or financial condition could be materially adversely affected.</w:t>
      </w: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Disruptions in our supply of raw materials could materially adversely affect our business, results of operations or financial condition.</w:t>
      </w:r>
    </w:p>
    <w:p>
      <w:pPr>
        <w:spacing w:after="0" w:line="2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4" w:lineRule="exact"/>
        <w:rPr>
          <w:sz w:val="20"/>
          <w:szCs w:val="20"/>
          <w:color w:val="auto"/>
        </w:rPr>
      </w:pPr>
    </w:p>
    <w:p>
      <w:pPr>
        <w:ind w:right="20" w:firstLine="176"/>
        <w:spacing w:after="0" w:line="370" w:lineRule="auto"/>
        <w:rPr>
          <w:sz w:val="20"/>
          <w:szCs w:val="20"/>
          <w:color w:val="auto"/>
        </w:rPr>
      </w:pPr>
      <w:r>
        <w:rPr>
          <w:rFonts w:ascii="Arial" w:cs="Arial" w:eastAsia="Arial" w:hAnsi="Arial"/>
          <w:sz w:val="15"/>
          <w:szCs w:val="15"/>
          <w:b w:val="1"/>
          <w:bCs w:val="1"/>
          <w:i w:val="1"/>
          <w:i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1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expect to make future acquisitions where advisable, which involve numerous risks.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shareholder value.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b w:val="1"/>
          <w:bCs w:val="1"/>
          <w:i w:val="1"/>
          <w:iCs w:val="1"/>
          <w:color w:val="auto"/>
        </w:rPr>
        <w:t>Sales of a significant amount of our common stock in the public market could reduce our stock price and impair our ability to raise funds in new stock offerings.</w:t>
      </w:r>
    </w:p>
    <w:p>
      <w:pPr>
        <w:spacing w:after="0" w:line="18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have approximately 756 million shares of common stock outstanding as of May 15, 2007. Sales of substantial amounts of shares of our common stock in the public market,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is subject to significant volatility.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Since May 14, 2006, until the present, the closing price per share of our common stock has ranged from a high of $18.57 per share to a low of $10.95 per share. Our stock price has been and may continue to be subject to significant volatility due to the factors described above and other risks and uncertainties described or incorporated by reference herein. The price of our common stock may also fluctuate due to conditions in the technology industry or in the financial markets generally, especially with respect to the outlook or perceived trends of average selling prices in the semiconductor memory products industry generally or the average selling prices for our semiconductor memory products in particular. These conditions, especially average selling prices, in our industry are subject to rapid change. To the extent financial analysts that cover us and our industry do not update their research and estimates of results on a timely basis that accurately reflects the impact of changes, the volatility of our stock price may be exacerbated.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certificate of incorporation, bylaws and Delaware law contain provisions that could discourage a takeover.</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certificate of incorporation and Delaware law contain provisions which may make it more difficult for a third party to acquire us, including provisions that give the Board of Directors the power to issue shares of preferred stock. We have also chosen to be subject to Section 203 of the Delaware General Corporation Law, which, subject to certain exceptions, prevents a stockholder of more than 15% of a company's voting stock from entering into business combinations set forth under Section 203 with that company.</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the Notes</w:t>
      </w:r>
    </w:p>
    <w:p>
      <w:pPr>
        <w:spacing w:after="0" w:line="231"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b w:val="1"/>
          <w:bCs w:val="1"/>
          <w:i w:val="1"/>
          <w:iCs w:val="1"/>
          <w:color w:val="auto"/>
        </w:rPr>
        <w:t>The notes are unsecured, are effectively subordinated to all of our existing and future secured indebtedness and are structurally subordinated to all liabilities of our subsidiaries, including trade payables.</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notes are unsecured, are effectively subordinated to all of our existing and future secured indebtedness, to the extent of the assets securing such indebtedness, and are structurally subordinated to all liabilities of our subsidiaries, including trade payables. The notes will rank equally with all our existing and future senior debt and senior to all our future subordinated debt. The notes will rank junior to all our existing and future senior secured debt to the extent of the collateral securing such debt and will be effectively subordinated to all existing and future indebtedness and other liabilities of our subsidiaries. As of March 1, 2007, we had:</w:t>
      </w:r>
    </w:p>
    <w:p>
      <w:pPr>
        <w:spacing w:after="0" w:line="21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$219 million of senior unsecured indebtedness outstanding equal in right of payment to the notes;</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$423 million of senior secured indebtedness outstanding senior in right of payment to the notes to the extent of the collateral securing such indebtedness;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subsidiaries had $186 million of indebtedness secured by our subsidiaries' collateral and guaranteed by us on an unsecured basis. This indebtedness of our subsidiaries is included in the $219 million of senior unsecured indebtedness because of our guarantee of such indebtedness. In addition, our subsidiaries had unsecured liabilities (including trade and other payables but excluding intercompany indebtedness) outstanding in an amount of $1,167 million. Both the secured and unsecured indebtedness of our subsidiaries is structurally senior to the notes. The indenture for the notes does not restrict us or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subsidiaries from incurring additional debt or other liabilities. Our subsidiaries will not guarantee any of our obligations under the notes.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 In the event of our insolvency, bankruptcy, liquidation, reorganization, dissolution or winding up, we may not have sufficient assets to pay amounts due on any or all of the notes then outstanding. See "Description of Notes—General."</w:t>
      </w:r>
    </w:p>
    <w:p>
      <w:pPr>
        <w:spacing w:after="0" w:line="197"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None of our subsidiaries has guaranteed or otherwise become obligated with respect to the notes. Our right to receive assets from any of our subsidiaries upon its liquidation or reorganization, and the right of holders of the notes to participate in those assets, is structurally subordinated to claims of that subsidiary's creditors, including trade creditors. Even if we were a creditor of any of our subsidiaries, our rights as a creditor would be subordinate to any security interest in the assets of that subsidiary and any indebtedness of that subsidiary senior to that held by us. Furthermore, none of our subsidiaries is under any obligation to make payments to us, and any payments to us would depend on the earnings or financial condition of our subsidiaries and various business considerations. Statutory, contractual or other restrictions may also limit our subsidiaries' ability to pay dividends or make distributions, loans or advances to us. For these reasons, we may not have access to any assets or cash flows of our subsidiaries to make payments on the notes.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notes are a new issue of securities for which there is currently no trading market, and an active trading market might never develop. To the extent that an active trading market does not develop, the liquidity and trading prices for the notes may be harmed. If the notes are traded after their initial issuance, they may trade at a discount from their initial offering price, depending on prevailing interest rates, the market for similar securities, the price and volatility in the price of our shares of common stock, our performance and other factors.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no plans to list the notes on a securities exchange. We have been advised by the underwriters that they presently intend to make a market in the notes. However, the underwriters are not obligated to do so. Any market-making activity, if initiated, may be discontinued at any time, for any reason or for no reason, and without notice. If the underwriters cease to act as market makers for the notes, we cannot assure you that another firm or person will make a market in the notes.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Even if a trading market for the notes develops, it may not be liquid. The liquidity of any market for the notes will depend upon the number of holders of the notes, our results of operations and financial condition, the market for similar securities, the interest of securities dealers in making a market in the notes and other factors.</w:t>
      </w:r>
    </w:p>
    <w:p>
      <w:pPr>
        <w:spacing w:after="0" w:line="194"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b w:val="1"/>
          <w:bCs w:val="1"/>
          <w:i w:val="1"/>
          <w:iCs w:val="1"/>
          <w:color w:val="auto"/>
        </w:rPr>
        <w:t>Fluctuations in the price of our common stock may prevent you from being able to convert the notes, may impact the price of the notes and may make the notes more difficult to resell.</w:t>
      </w:r>
    </w:p>
    <w:p>
      <w:pPr>
        <w:spacing w:after="0" w:line="186"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ability of holders of the notes to convert the notes prior to the three-month period immediately preceding the maturity date for such notes is conditioned on the closing price of our common stock reaching and maintaining a closing price no less than a specified threshold for a given period of time, the trading price of the notes falling below a certain level or the occurrence of specified corporate events, such as a change in control or a termination of trading. If the closing price threshold for conversion of the notes is satisfied at the end of a calendar quarter, holders may convert the notes only during the subsequent calendar quarter. If such closing price threshold is not satisfied, the trading price of the notes does not fall below the relevant threshold and none of the specified distributions or corporate events that would permit a holder to convert notes occurs, holders would not be able to convert notes except during the three-month period prior to the maturity date of the notes.</w:t>
      </w:r>
    </w:p>
    <w:p>
      <w:pPr>
        <w:spacing w:after="0" w:line="172"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Because the notes may be convertible into shares of our common stock, volatility or depressed prices for our common stock could have a similar effect on the trading price of the notes and/or the value of the consideration payable upon the conversion of the notes. Holders who receive common stock upon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conversion of the notes will also be subject to the risk of volatility and depressed prices of our common stock.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limited protections in the indenture and notes against certain types of important corporate events may not protect your investment.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for the notes does not:</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flows or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protect holders of the notes in the event that we experience significant adverse changes in our financial condition or results of operations;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subsidiaries' ability to incur indebtedness, which would effectively rank senior to the notes;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incur secured indebtedness that would effectively rank senior to the notes to the extent of the value of the assets securing the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in right of payment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incur liabilities that would be structurally senior to our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our ability to repurchase or prepay our securities; or</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Furthermore, the indenture for the notes contains only limited protections in the event of a change in control. We could engage in many types of transactions, such as certain acquisitions, refinancings or recapitalizations, that could substantially affect our capital structure and the value of the notes and our common stock, but would not constitute a "change in control" that permits holders to require us to repurchase their notes. For these reasons, you should not consider the repurchase feature of the notes as a significant factor in evaluating whether to invest in the notes.</w:t>
      </w:r>
    </w:p>
    <w:p>
      <w:pPr>
        <w:spacing w:after="0" w:line="167"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b w:val="1"/>
          <w:bCs w:val="1"/>
          <w:i w:val="1"/>
          <w:iCs w:val="1"/>
          <w:color w:val="auto"/>
        </w:rPr>
        <w:t>Upon conversion of the notes, you may receive less proceeds than expected because the value of our common stock may decline after you exercise your conversion right.</w:t>
      </w:r>
    </w:p>
    <w:p>
      <w:pPr>
        <w:spacing w:after="0" w:line="186"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Under the notes, a converting holder will be exposed to fluctuations in the value of our common stock during the period from the date such holder surrenders notes for conversion until the date we settle our conversion obligation. Under the notes, if we elect to settle all or any portion of our conversion obligation in cash (other than solely cash in lieu of any fractional shares) or if we irrevocably elect net share settlement upon conversion, the amount of consideration that you will receive upon conversion of your notes is in part determined by reference to the volume weighted average prices of our common stock for each trading day in a</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20-trading day period. As described under "Description of Notes—Conversion Rights," this period will occur after the date on which your notes are surrendered for conversion for all notes surrendered for conversion prior to the 24th scheduled trading day prior to maturity. Accordingly, if the price of our common stock decreases during this period, the amount of consideration you receive will be adversely affected. You may be similarly affected by conversions on or after the 24th scheduled trading day prior to maturity. In addition, if we elect to settle a portion, but less than all, of our conversion obligation in cash (other than solely cash in lieu of any fractional shares) or if we irrevocably elect net share settlement upon conversion, and the market price of our common stock at the end of such 20-trading day period is below the average of the volume weighted average price of our common stock during such period, the value of any shares of our common stock that you will receive in satisfaction of our conversion obligation will be less than the value used to determine the number of shares you will receive.</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conversion rate for the notes may not be adjusted for all dilutive events that may occur.</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conversion rate for the notes is subject to adjustment for certain events including, but not limited to, the issuance of stock dividends on shares of our common stock, the issuance of certain rights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7" w:name="page28"/>
    <w:bookmarkEnd w:id="27"/>
    <w:p>
      <w:pPr>
        <w:ind w:right="220"/>
        <w:spacing w:after="0" w:line="302" w:lineRule="auto"/>
        <w:rPr>
          <w:sz w:val="20"/>
          <w:szCs w:val="20"/>
          <w:color w:val="auto"/>
        </w:rPr>
      </w:pPr>
      <w:r>
        <w:rPr>
          <w:rFonts w:ascii="Arial" w:cs="Arial" w:eastAsia="Arial" w:hAnsi="Arial"/>
          <w:sz w:val="15"/>
          <w:szCs w:val="15"/>
          <w:color w:val="auto"/>
        </w:rPr>
        <w:t>warrants, subdivisions or combinations of shares of our common stock, certain distributions of assets, debt securities, capital stock or cash to holders of our common stock and certain issuer tender or exchange offers as described under "Description of Notes—Adjustment to Conversion Rate." Such conversion rates will not be adjusted for other events, such as stock issuances for cash or third-party tender offers, that may adversely affect the trading price of the notes or any common stock. See "Description of Notes—Adjustment to Conversion Rate." We are not restricted from issuing additional common stock during the life of the notes and have no obligation to consider the interests of holders of the notes in deciding whether to issue common stock. We also may be restricted from</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increasing the conversion rate beyond a specified maximum of shares per $1,000 principal amount of the notes, subject to adjustment in the same manner as described above. There can be no assurance that an event that adversely affects the value of the notes, but does not result in an adjustment to the conversion rate, will not occur.</w:t>
      </w:r>
    </w:p>
    <w:p>
      <w:pPr>
        <w:spacing w:after="0" w:line="198"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b w:val="1"/>
          <w:bCs w:val="1"/>
          <w:i w:val="1"/>
          <w:iCs w:val="1"/>
          <w:color w:val="auto"/>
        </w:rPr>
        <w:t>The adjustment to the conversion rate for notes converted in connection with a make-whole change in control may not adequately compensate you for any lost option value of your notes as a result of such transaction.</w:t>
      </w:r>
    </w:p>
    <w:p>
      <w:pPr>
        <w:spacing w:after="0" w:line="186" w:lineRule="exact"/>
        <w:rPr>
          <w:sz w:val="20"/>
          <w:szCs w:val="20"/>
          <w:color w:val="auto"/>
        </w:rPr>
      </w:pPr>
    </w:p>
    <w:p>
      <w:pPr>
        <w:ind w:right="40" w:firstLine="351"/>
        <w:spacing w:after="0" w:line="282" w:lineRule="auto"/>
        <w:rPr>
          <w:sz w:val="20"/>
          <w:szCs w:val="20"/>
          <w:color w:val="auto"/>
        </w:rPr>
      </w:pPr>
      <w:r>
        <w:rPr>
          <w:rFonts w:ascii="Arial" w:cs="Arial" w:eastAsia="Arial" w:hAnsi="Arial"/>
          <w:sz w:val="16"/>
          <w:szCs w:val="16"/>
          <w:color w:val="auto"/>
        </w:rPr>
        <w:t>If a make-whole change in control (as defined in "Description of Notes—Adjustments To Conversion Rate—Adjustments to Conversion Rate Upon a Make-Whole Change in Control") occurs, under certain circumstances we will increase the conversion rate by a number of additional shares of our common stock for notes converted in connection with such make-whole change in control. The increase in the conversion rate will be determined based on the date on which the make-whole change in control becomes effective and the price paid per share of our common stock in the make-whole change in control (in the case of a make-whole change in control described in the second bullet of the definition of change in control in 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as described below under "Description of Notes—Adjustments To Conversion Rate—Adjustments to Conversion Rate Upon a Make-Whole Change in Control." The adjustment to the conversion rate for notes converted in connection with a make-whole change in control may not adequately compensate you for any lost option value with respect to your notes as a result of such make-whole change in control. In addition, if the price of our common stock used to determine the adjustment upon a make-whole change in control is greater</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than $ per share or less than $ per share (each such price, subject to adjustment), no adjustment will be made to the conversion rate. In addition, in no event will the total number of shares of common stock issuable upon conversion as a result of this adjustment exceed per $1,000 principal amount of the</w:t>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notes, subject to adjustments in the same manner as the conversion rate as set forth under "Description of Notes—Adjustment to Conversion Rate." In addition, our obligation to increase the conversion rate in connection with any such make-whole change in control could be considered a penalty, in which case the enforceability thereof would be subject to general principles of reasonableness of economic remedies.</w:t>
      </w:r>
    </w:p>
    <w:p>
      <w:pPr>
        <w:spacing w:after="0" w:line="163"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b w:val="1"/>
          <w:bCs w:val="1"/>
          <w:i w:val="1"/>
          <w:iCs w:val="1"/>
          <w:color w:val="auto"/>
        </w:rPr>
        <w:t>Because your right to require our repurchase of the notes is limited, the market prices of the notes may decline if we enter into a transaction that is not a change in control under the indenture.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term "change in control" is limited and may not include every event that might cause the market prices of the notes to decline or result in a downgrade of the credit rating of the notes. Our obligation to repurchase the notes upon a change in control may not preserve the value of the notes in the event of a highly leveraged transaction, reorganization, merger or similar transaction. See "Description of Notes—Repurchase at the Option of the Holder Upon a Change in Control or Termination of Trading."</w:t>
      </w:r>
    </w:p>
    <w:p>
      <w:pPr>
        <w:spacing w:after="0" w:line="197"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b w:val="1"/>
          <w:bCs w:val="1"/>
          <w:i w:val="1"/>
          <w:iCs w:val="1"/>
          <w:color w:val="auto"/>
        </w:rPr>
        <w:t>If you hold notes, you are not entitled to any rights with respect to our common stock, but you are subject to all changes made with respect to our common stock.</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If you hold notes, you are not entitled to any rights with respect to our common stock (including, without limitation, voting rights and rights to receive any dividends or other distributions on our common stock), but you are subject to all changes to our common stock that might be adopted by the holders of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ind w:right="20"/>
        <w:spacing w:after="0" w:line="289" w:lineRule="auto"/>
        <w:rPr>
          <w:sz w:val="20"/>
          <w:szCs w:val="20"/>
          <w:color w:val="auto"/>
        </w:rPr>
      </w:pPr>
      <w:r>
        <w:rPr>
          <w:rFonts w:ascii="Arial" w:cs="Arial" w:eastAsia="Arial" w:hAnsi="Arial"/>
          <w:sz w:val="16"/>
          <w:szCs w:val="16"/>
          <w:color w:val="auto"/>
        </w:rPr>
        <w:t>common stock to curtail or eliminate any of the powers, preferences or special rights of our common stock, or impose new restrictions or qualifications upon our common stock. You will not be entitled to any rights as a holder of our common stock until the close of business on the conversion date (if we deliver solely shares of our common stock in respect of our conversion obligation, other than cash in lieu of fractional shares) or the close of business on the last trading day of the relevant cash settlement averaging period (if we deliver cash in respect of any portion of our conversion obligation (other than solely cash in lieu of any fractional shares) or if we have irrevocably elected net share settlement upon conversion). For example, in the event that an amendment is proposed to our certificate of incorporation or bylaws requiring shareholder approval and the record date for determining the shareholders of record entitled to vote on the amendment occurs prior to delivery of any common stock upon conversion of your notes, you will not be entitled to vote on the amendment, although you will nevertheless be subject to any changes in the powers, preferences or special rights of our common stock.</w:t>
      </w:r>
    </w:p>
    <w:p>
      <w:pPr>
        <w:spacing w:after="0" w:line="172" w:lineRule="exact"/>
        <w:rPr>
          <w:sz w:val="20"/>
          <w:szCs w:val="20"/>
          <w:color w:val="auto"/>
        </w:rPr>
      </w:pPr>
    </w:p>
    <w:p>
      <w:pPr>
        <w:ind w:right="40" w:firstLine="172"/>
        <w:spacing w:after="0" w:line="268" w:lineRule="auto"/>
        <w:rPr>
          <w:sz w:val="20"/>
          <w:szCs w:val="20"/>
          <w:color w:val="auto"/>
        </w:rPr>
      </w:pPr>
      <w:r>
        <w:rPr>
          <w:rFonts w:ascii="Arial" w:cs="Arial" w:eastAsia="Arial" w:hAnsi="Arial"/>
          <w:sz w:val="18"/>
          <w:szCs w:val="18"/>
          <w:b w:val="1"/>
          <w:bCs w:val="1"/>
          <w:i w:val="1"/>
          <w:iCs w:val="1"/>
          <w:color w:val="auto"/>
        </w:rPr>
        <w:t>We may not be able to raise the funds necessary to repay the notes when due, finance a change in control or termination of trading repurchase or to make the payments due upon conversion.</w:t>
      </w:r>
    </w:p>
    <w:p>
      <w:pPr>
        <w:spacing w:after="0" w:line="186"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At maturity, the entire outstanding principal amount of the notes will become due and payable. In addition, upon the occurrence of a change in control or termination of trading, holders of notes may require us to repurchase their notes. Furthermore, unless we elect to deliver solely shares of our common stock upon conversion of the notes, other than cash in lieu of fractional shares, we will be required to make cash payments to holders on conversion thereof. However, it is possible that we would not have sufficient funds to repay the notes at maturity, to make the required repurchase of the notes or to make cash payments on conversion. In addition, certain important corporate events, such as leveraged recapitalizations that would increase the level of our indebtedness, would not constitute a change in control under the indenture. See "Description of Notes—Repurchase at the Option of the Holder Upon a Change in Control or Termination of Trading."</w:t>
      </w:r>
    </w:p>
    <w:p>
      <w:pPr>
        <w:spacing w:after="0" w:line="201" w:lineRule="exact"/>
        <w:rPr>
          <w:sz w:val="20"/>
          <w:szCs w:val="20"/>
          <w:color w:val="auto"/>
        </w:rPr>
      </w:pPr>
    </w:p>
    <w:p>
      <w:pPr>
        <w:ind w:right="360" w:firstLine="176"/>
        <w:spacing w:after="0" w:line="268" w:lineRule="auto"/>
        <w:rPr>
          <w:sz w:val="20"/>
          <w:szCs w:val="20"/>
          <w:color w:val="auto"/>
        </w:rPr>
      </w:pPr>
      <w:r>
        <w:rPr>
          <w:rFonts w:ascii="Arial" w:cs="Arial" w:eastAsia="Arial" w:hAnsi="Arial"/>
          <w:sz w:val="18"/>
          <w:szCs w:val="18"/>
          <w:b w:val="1"/>
          <w:bCs w:val="1"/>
          <w:i w:val="1"/>
          <w:iCs w:val="1"/>
          <w:color w:val="auto"/>
        </w:rPr>
        <w:t>The change in control or termination of trading repurchase feature of the notes may delay or prevent an otherwise beneficial attempt to take over our company.</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terms of the notes require us to repurchase the notes for cash in the event of a change in control or termination of trading. A takeover of our company would trigger an option of the holder of the notes to require us to repurchase the notes. This may have the effect of delaying or preventing a takeover of our company that would otherwise be beneficial to investors in the notes.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You should consider the U.S. federal income tax consequences of owning the notes.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U.S. federal income tax consequences of the conversion of a note into a combination of cash and our common stock is uncertain and, accordingly, you are urged to consult your tax advisors with respect thereto. A discussion of the U.S. federal income tax consequences of ownership of the notes is contained in this offering memorandum under the heading "Material U.S. Federal Income Tax Considerations."</w:t>
      </w:r>
    </w:p>
    <w:p>
      <w:pPr>
        <w:spacing w:after="0" w:line="194"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may be deemed to have received a distribution subject to U.S. federal income tax as a dividend in the event of a taxable dividend distribution to holders of common stock or in certain other situations requiring a conversion rate adjustment. For non-U.S. holders (as defined below under "Material U.S. Federal Income Tax Considerations"), this deemed distribution may be subject to U.S. federal withholding tax.</w:t>
      </w:r>
    </w:p>
    <w:p>
      <w:pPr>
        <w:spacing w:after="0" w:line="194"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b w:val="1"/>
          <w:bCs w:val="1"/>
          <w:i w:val="1"/>
          <w:iCs w:val="1"/>
          <w:color w:val="auto"/>
        </w:rPr>
        <w:t>Conversion of the notes will dilute the ownership interest of existing stockholders, including holders who had previously converted their notes, or may otherwise depress the price of our common stock.</w:t>
      </w:r>
    </w:p>
    <w:p>
      <w:pPr>
        <w:spacing w:after="0" w:line="186"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Any sales in the public market of the common stock issuable upon such conversion could adversely affect prevailing market prices of our common stock. In addition, the existence of the notes may encourage short selling by market participants because the conversion of the notes could be used to satisfy short positions,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or anticipated conversion of the notes into shares of our common stock could depress the price of our common stock.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connection with this offering of notes, we plan to enter into one or more capped call transactions with one or more counterparties, which may include some of the underwriters and/or their affiliates (the "counterparties"). We intend to use a portion of the proceeds of this offering to pay the cost of the capped call transactions. We estimate that the cost of the capped call transactions will be approximately $132 million. If the underwriters exercise their option to purchase additional notes to cover overallotments, we will use a portion of the net proceeds from the sale of the additional notes to enter into additional capped call with respect to the shares initially issuable upon conversion of the additional notes.</w:t>
      </w:r>
    </w:p>
    <w:p>
      <w:pPr>
        <w:spacing w:after="0" w:line="170"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capped call transactions are expected to reduce the potential dilution upon conversion of the notes in the event that the market value per share of our common stock, as measured under the terms of the capped call transactions, at the time of exercise is greater than the strike price of the capped call transactions, which correspond to the initial conversion price of the notes and are subject to certain anti-dilutive adjustments. If, however, the market value per share of our common stock exceeds the cap price of the capped transactions, as measured under the terms of the capped call transactions, the dilution mitigation under the capped call transactions will be limited, which means that there would be dilution to the extent that the then market value per share of our common stock exceeds the cap price of the capped call transactions. The capped call transactions are expected to be in three tranches with cap prices ranging from approximately 50% to 100% higher than the closing price of our common stock on the date hereof, and will be subject to certain anti-dilutive adjustments.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(and/or their affiliates) above:</w:t>
      </w:r>
    </w:p>
    <w:p>
      <w:pPr>
        <w:spacing w:after="0" w:line="273" w:lineRule="exact"/>
        <w:rPr>
          <w:sz w:val="20"/>
          <w:szCs w:val="20"/>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w:t>
      </w:r>
    </w:p>
    <w:p>
      <w:pPr>
        <w:spacing w:after="0" w:line="198"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do not make any representation or prediction as to the direction or magnitude of any potential effect that the transactions described above may have on the price of the notes or the shares of our common stock. In addition, we do not make any representation that the counterparties will engage in these transactions or that these transactions, once commenced, will not be discontinued without notice.</w:t>
      </w:r>
    </w:p>
    <w:p>
      <w:pPr>
        <w:spacing w:after="0" w:line="194"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will agree to indemnify the option counterparty, or any of its affiliates, for losses incurred in connection with a potential unwinding of their hedge positions under certain circumstances, and in other limited circumstances. See "Capped Call Transactions."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estimate that the net proceeds from this offering, after deducting the underwriters' discounts and estimated offering expenses payable by us of approximately $19 million, will be approximately $1,081 million (or approximately $1,242 million if the underwriters exercise their overallotment option in full).</w:t>
      </w:r>
    </w:p>
    <w:p>
      <w:pPr>
        <w:spacing w:after="0" w:line="139"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intend to use a portion of the net proceeds of this offering to pay the cost of capped call transactions that we will enter into with one or more counterparties, which may include certain of the underwriters and/or their affiliates. We estimate that the cost of the capped call transactions will be approximately $132 million. If the underwriters exercise their option to purchase additional notes to cover overallotments, we will use a portion of the net proceeds from the sale of the additional notes to enter into additional capped call with respect to the shares initially issuable upon conversion of the additional notes. The remaining net proceeds from this offering of approximately $949 million will be used for general corporate purposes, including working capital and capital expenditures.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The following table sets forth, for the periods indicated, the high and low closing sales prices for our common stock as reported by Bloomberg, L.P.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1, 2005</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45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August 31, 2006</w:t>
            </w: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August 30, 2007</w:t>
            </w:r>
          </w:p>
        </w:tc>
        <w:tc>
          <w:tcPr>
            <w:tcW w:w="2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18.57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Third Quarter (through May 15, 2007)</w:t>
            </w: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-2314575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-2314575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-2314575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-2314575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As of May 15, 2007, there were approximately 3,437 registered holders of record of our common stock. A substantially greater number of holders of our common stock are "street name" or beneficial holders, whose shares are held of record by banks, brokers and other financial institutions.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last reported sale price of our common stock on the New York Stock Exchange on May 15, 2007 was $12.07.</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paid cash dividends since 1996. We do not intend to pay cash dividends on our common stock for the foreseeable future.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cash equivalents, short-term investments and capitalization as of March 1, 2007:</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an as adjusted basis to reflect the sale of the notes (assuming the underwriters' overallotment option is not exercised), and the application of the estimated net proceeds therefrom as described in "Use of Proceeds" (including the estimated cost of entering into the capped call transactions).</w:t>
      </w:r>
    </w:p>
    <w:p>
      <w:pPr>
        <w:spacing w:after="0" w:line="116"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August 30, 2006 and our quarterly report on Form 10-Q for the quarters ended November 30, 2006 and March 1,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March 1, 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3"/>
                <w:szCs w:val="2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0" w:type="dxa"/>
            <w:vAlign w:val="bottom"/>
            <w:gridSpan w:val="2"/>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0" w:type="dxa"/>
            <w:vAlign w:val="bottom"/>
            <w:gridSpan w:val="2"/>
          </w:tcPr>
          <w:p>
            <w:pPr>
              <w:spacing w:after="0"/>
              <w:rPr>
                <w:sz w:val="5"/>
                <w:szCs w:val="5"/>
                <w:color w:val="auto"/>
              </w:rPr>
            </w:pPr>
          </w:p>
        </w:tc>
        <w:tc>
          <w:tcPr>
            <w:tcW w:w="65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20" w:type="dxa"/>
            <w:vAlign w:val="bottom"/>
            <w:gridSpan w:val="3"/>
          </w:tcPr>
          <w:p>
            <w:pPr>
              <w:spacing w:after="0"/>
              <w:rPr>
                <w:sz w:val="20"/>
                <w:szCs w:val="20"/>
                <w:color w:val="auto"/>
              </w:rPr>
            </w:pPr>
            <w:r>
              <w:rPr>
                <w:rFonts w:ascii="Arial" w:cs="Arial" w:eastAsia="Arial" w:hAnsi="Arial"/>
                <w:sz w:val="18"/>
                <w:szCs w:val="18"/>
                <w:color w:val="auto"/>
              </w:rPr>
              <w:t>Current portion of long term debt and capital lease obligations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4"/>
                <w:szCs w:val="2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 and capital lease obligations, excluding current portion</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ind w:left="520"/>
              <w:spacing w:after="0"/>
              <w:rPr>
                <w:sz w:val="20"/>
                <w:szCs w:val="20"/>
                <w:color w:val="auto"/>
              </w:rPr>
            </w:pPr>
            <w:r>
              <w:rPr>
                <w:rFonts w:ascii="Arial" w:cs="Arial" w:eastAsia="Arial" w:hAnsi="Arial"/>
                <w:sz w:val="18"/>
                <w:szCs w:val="18"/>
                <w:color w:val="auto"/>
              </w:rPr>
              <w:t>% convertible senior notes due 2014</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 term debt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Noncontrolling interests in subsidiaries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gridSpan w:val="2"/>
          </w:tcPr>
          <w:p>
            <w:pPr>
              <w:ind w:left="180"/>
              <w:spacing w:after="0"/>
              <w:rPr>
                <w:sz w:val="20"/>
                <w:szCs w:val="20"/>
                <w:color w:val="auto"/>
              </w:rPr>
            </w:pPr>
            <w:r>
              <w:rPr>
                <w:rFonts w:ascii="Arial" w:cs="Arial" w:eastAsia="Arial" w:hAnsi="Arial"/>
                <w:sz w:val="18"/>
                <w:szCs w:val="18"/>
                <w:color w:val="auto"/>
                <w:w w:val="95"/>
              </w:rPr>
              <w:t>Common stock, par value $.10 per share, 3.0 billion shares authorized; 755.8 million shares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0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5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-3547745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-3547745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-3298825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-3298825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-3298825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-3298825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-2449830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-2449830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-2449830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-2449830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-2021205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-2021205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-2021205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-2021205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-768985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-768985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-768985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-768985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-477520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-477520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-477520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28"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Outstanding common stock does not include (i) 182.7 million shares of common stock reserved for issuance under our stock option plans, under which options to purchase 128.3 million shares were outstanding as of March 1, 2007, at a weighted average exercise price of $19.60 per share, (ii) 2.4 million shares reserved for issuance under our Employee Stock Purchase Plan, (iii) 0.4 million shares of common stock reserved for issuance under our Non-Employee Directors Stock Incentive Plan, (iv) 29.1 million shares of common stock issuable upon the exercise of warrants to purchase shares of our common stock currently outstanding, (v) 16.9 million shares of common stock issuable upon exchange of stock rights held by Intel Corporation and (vi) shares of common stock issuable upon conversion of the notes offered hereby.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issue the notes under an indenture to be dated as of May , 2007, by and between us and Wells Fargo Bank, National Association, as trustee. As used in this description of notes, the words "we," "us," "our" or Micron refer only to Micron Technology, Inc., a Delaware corporation, and do not include any of our current or future subsidiaries. We have summarized below the material provisions of the indenture and the notes. The following description is not complete and is subject to, and qualified by reference to, all of the provisions of the indenture and the notes, which we urge you to read because they define your rights as a note holder. Copies of the indenture, including forms of the notes, are available upon request to us. See "Where You Can Find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are offering $1,100,000,000 aggregate principal amount of our % Convertible Senior Notes due June 1, 2014 (or $1,265,000,000 if the underwriters exercise their over-allotment option in full), which we refer to as the "notes." The notes will mature on June 1, 2014, subject to earlier conversion or repurchase. The notes will be issued in denominations of $1,000 or in integral multiples of $1,000 in excess thereof. The notes will be payable at the principal corporate trust office of the paying agent, which initially will be an office or agency of the trustee, or an office or agency maintained by us for such purpose.</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notes will be our general, senior, unsecured obligations and will be effectively subordinated to all of our existing and future secured debt, to the extent of the assets securing such debt, and are structurally subordinated to all liabilities of our subsidiaries, including trade payables. The notes will rank equally with all our existing and future senior debt and senior to all our future subordinated debt. The notes will rank junior to all our existing and future senior secured debt to the extent of the collateral securing such debt and will be effectively subordinated to all existing and future indebtedness and other liabilities of our subsidiaries. As of March 1, 2007, we had:</w:t>
      </w:r>
    </w:p>
    <w:p>
      <w:pPr>
        <w:spacing w:after="0" w:line="21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$219 million of senior unsecured indebtedness outstanding equal in right of payment to the notes;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$423 million of senior secured indebtedness outstanding senior in right of payment to the notes to the extent of the collateral securing such indebtedness;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subsidiaries had $186 million of indebtedness secured by our subsidiaries' collateral and guaranteed by us on an unsecured basis. This indebtedness of our subsidiaries is included in the $219 million of senior unsecured indebtedness because of our guarantee of such indebtedness. In addition, our subsidiaries had unsecured liabilities (including trade and other payables but excluding intercompany indebtedness) outstanding in an amount of $1,167 million.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w:t>
      </w:r>
    </w:p>
    <w:p>
      <w:pPr>
        <w:spacing w:after="0" w:line="18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notes bear interest at the rate of % per year. Interest on the notes will accrue from May , 2007, or from the most recent date to which interest has been paid or provided for. Interest will be payable semiannually in arrears on June 1 and December 1 of each year, beginning on December 1, 2007, to holders of record at the close of business on the May 15 or the November 15 immediately preceding such interest payment date. Each payment of interest on the notes will include interest accrued for the period commencing on, and including, the immediately preceding interest payment date (or, if none, May , 2007) through the day before the applicable interest payment date (or the applicable repurchase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20"/>
        <w:spacing w:after="0" w:line="298" w:lineRule="auto"/>
        <w:rPr>
          <w:sz w:val="20"/>
          <w:szCs w:val="20"/>
          <w:color w:val="auto"/>
        </w:rPr>
      </w:pPr>
      <w:r>
        <w:rPr>
          <w:rFonts w:ascii="Arial" w:cs="Arial" w:eastAsia="Arial" w:hAnsi="Arial"/>
          <w:sz w:val="16"/>
          <w:szCs w:val="16"/>
          <w:color w:val="auto"/>
        </w:rPr>
        <w:t>Any payment required to be made on any day that is not a business day will be made on the next succeeding business day. Interest will be calculated using a 360-day year composed of twelve 30-day months. A "business day" is any weekday that is not a day on which banking institutions in The City of New York, The City of Boise or place of payment are authorized or obligated to close. Interest will cease to accrue on a note upon its maturity, conversion, redemption or repurchase by us at the option of a holder upon a change in control (as defined below) or a termination of trading (as defined below).</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Notes may be presented for conversion at the office of the conversion agent and for exchange or registration of transfer at the office of the registrar. The conversion agent and the registrar shall initially be the trustee. No service charge will be made for any registration of transfer or exchange of notes. However, we may require the holder to pay any tax, assessment or other governmental charge payable as a result of such transfer or exchange.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at any time, to the extent permitted by applicable law, purchase the notes in the open market or by tender at any price or by private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may convert their notes into the consideration described below under "—Settlement Elections" prior to the close of business on the business day</w:t>
      </w:r>
    </w:p>
    <w:p>
      <w:pPr>
        <w:spacing w:after="0" w:line="38" w:lineRule="exact"/>
        <w:rPr>
          <w:sz w:val="20"/>
          <w:szCs w:val="20"/>
          <w:color w:val="auto"/>
        </w:rPr>
      </w:pPr>
    </w:p>
    <w:p>
      <w:pPr>
        <w:jc w:val="both"/>
        <w:ind w:right="600"/>
        <w:spacing w:after="0" w:line="255" w:lineRule="auto"/>
        <w:rPr>
          <w:sz w:val="20"/>
          <w:szCs w:val="20"/>
          <w:color w:val="auto"/>
        </w:rPr>
      </w:pPr>
      <w:r>
        <w:rPr>
          <w:rFonts w:ascii="Arial" w:cs="Arial" w:eastAsia="Arial" w:hAnsi="Arial"/>
          <w:sz w:val="18"/>
          <w:szCs w:val="18"/>
          <w:color w:val="auto"/>
        </w:rPr>
        <w:t>immediately preceding the maturity date for the notes based on an initial conversion rate of shares of our common stock, par value $0.10 per share ("common stock"), per $1,000 principal amount of notes (equivalent to an initial conversion price (as defined below) of approximately $ per share of common stock), only if the conditions for conversion described below are satisfied.</w:t>
      </w:r>
    </w:p>
    <w:p>
      <w:pPr>
        <w:spacing w:after="0" w:line="19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Holders may convert their notes in part so long as such part is $1,000 principal amount or an integral multiple of $1,000. In connection with each such conversion, we may elect to deliver shares of our common stock, cash or a combination thereof in respect of our conversion obligation. As described under "— Irrevocable Election of Net Share Settlement," we may make an irrevocable election as to the form of consideration that we will be required to deliver in respect of all future conversions. Any such election will provide for the delivery of cash up to the aggregate principal amount of notes to be converted, and shares of our common stock, cash or a combination thereof in respect of the remainder, if any, of our conversion obligation in excess of the aggregate principal amount of the notes being converted. We refer to this settlement method following such an irrevocable election as "net share settlement."</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a holder has submitted its notes for repurchase upon a change in control or a termination of trading, such holder may thereafter convert its notes only if it has previously withdrawn its repurchase election in accordance with the terms of the indenture.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conversion of notes, a holder will not receive any cash payment of interest (unless such conversion occurs between a regular record date and the interest payment date to which it relates). We will not issue fractional shares of common stock upon conversion of notes. Instead, we will pay cash in lieu of fractional shares based on the closing price of our common stock on the trading day prior to the applicable conversion date (if we deliver solely shares of our common stock to satisfy our conversion obligation, other than cash in lieu of fractional shares) or the closing price of our common stock on the last trading day of the relevant cash settlement averaging period (if we deliver cash to satisfy a portion, but less than all, of our conversion obligation, other than solely cash in lieu of any fractional shares, or if we have irrevocably elected net share settlement upon conversion). Our delivery to the holder of the full number of shares of our common stock into which the note is convertible, cash or a combination of cash and shares of our common stock, as the case may be, together with any cash in lieu of fractional shares, will be deemed to satisfy our obligation to pay:</w:t>
      </w:r>
    </w:p>
    <w:p>
      <w:pPr>
        <w:spacing w:after="0" w:line="18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the note;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5" w:name="page36"/>
    <w:bookmarkEnd w:id="35"/>
    <w:p>
      <w:pPr>
        <w:ind w:right="1760" w:firstLine="548"/>
        <w:spacing w:after="0" w:line="601"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accrued but unpaid interest attributable to the period from the most recent interest payment date to the conversion date. As a result, accrued but unpaid interest to the conversion date is deemed to be paid in full rather than cancelled, extinguished or forfeited.</w:t>
      </w:r>
    </w:p>
    <w:p>
      <w:pPr>
        <w:ind w:firstLine="351"/>
        <w:spacing w:after="0" w:line="290" w:lineRule="auto"/>
        <w:rPr>
          <w:sz w:val="20"/>
          <w:szCs w:val="20"/>
          <w:color w:val="auto"/>
        </w:rPr>
      </w:pPr>
      <w:r>
        <w:rPr>
          <w:rFonts w:ascii="Arial" w:cs="Arial" w:eastAsia="Arial" w:hAnsi="Arial"/>
          <w:sz w:val="16"/>
          <w:szCs w:val="16"/>
          <w:color w:val="auto"/>
        </w:rPr>
        <w:t xml:space="preserve">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 (1) if we have a specified a redemption date that is after a record date but on or prior to the next succeeding interest payment date, (2) if we have specified a repurchase date that is after a record date but on or prior to the next succeeding interest payment date, (3) with respect to any notes converted after the record date immediately preceding the maturity date of the notes or (4) to the extent of any overdue interest that exists at the time of conversion with respect to such note.</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Upon determining that the holders are entitled to convert their notes in accordance with the provisions described below, we will promptly (i) issue a press release and use our reasonable efforts to post such information on our website or otherwise publicly disclose this information or (ii) provide written notice to the holders of the notes in a manner contemplated by the indenture, including through the facilities of the DTC.</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Based on Redemption</w:t>
      </w:r>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 holder may surrender for conversion a note called for redemption at any time prior to the close of business on the business day immediately preceding the redemption date, even if it is not otherwise convertible at such time. A note for which a holder has delivered a repurchase notice, as described below, requiring us to purchase such note may be surrendered for conversion only if such notice is withdrawn in accordance with the indenture.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Based on Common Stock Price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Holders may surrender notes for conversion in any calendar quarter commencing at any time after August 30, 2007, and only during such calendar quarter, if the closing price of our common stock for at least 20 trading days in a period of 30 consecutive trading days ending on the last trading day of the preceding calendar quarter is more than 130% of the then applicable conversion price for the notes per share of common stock on the last day of such preceding calendar quarter, which we refer to as the "conversion trigger price."</w:t>
      </w:r>
    </w:p>
    <w:p>
      <w:pPr>
        <w:spacing w:after="0" w:line="197"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"closing price" of our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securities exchange on which our common stock or such other security is traded. If our common stock or such other security is not listed for trading on a U.S. national or regional securities exchange on the relevant date, the "closing price" will be the last quoted bid price for our common stock or such other security in the over-the-counter market on the relevant date as reported by the National Quotation Bureau or similar organization. If our common stock or such other security is not so quoted, the closing price will be the average of the mid-point of the last bid and ask prices for our common stock or such other security on the relevant date from each of at least three nationally recognized independent investment banking firms selected by us for this purpose. The closing price will be determined without reference to extended or after hours trading.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6" w:name="page37"/>
    <w:bookmarkEnd w:id="36"/>
    <w:p>
      <w:pPr>
        <w:ind w:right="220" w:firstLine="348"/>
        <w:spacing w:after="0" w:line="259" w:lineRule="auto"/>
        <w:rPr>
          <w:sz w:val="20"/>
          <w:szCs w:val="20"/>
          <w:color w:val="auto"/>
        </w:rPr>
      </w:pPr>
      <w:r>
        <w:rPr>
          <w:rFonts w:ascii="Arial" w:cs="Arial" w:eastAsia="Arial" w:hAnsi="Arial"/>
          <w:sz w:val="18"/>
          <w:szCs w:val="18"/>
          <w:color w:val="auto"/>
        </w:rPr>
        <w:t>The conversion trigger price immediately following issuance of the notes will be $ , which is 130% of the initial conversion price for such notes per share of common stock. The foregoing conversion trigger price is subject to adjustment for the same events that would require an adjustment to the conversion rate.</w:t>
      </w:r>
    </w:p>
    <w:p>
      <w:pPr>
        <w:spacing w:after="0" w:line="194" w:lineRule="exact"/>
        <w:rPr>
          <w:sz w:val="20"/>
          <w:szCs w:val="20"/>
          <w:color w:val="auto"/>
        </w:rPr>
      </w:pPr>
    </w:p>
    <w:p>
      <w:pPr>
        <w:ind w:right="860" w:firstLine="348"/>
        <w:spacing w:after="0" w:line="370" w:lineRule="auto"/>
        <w:rPr>
          <w:sz w:val="20"/>
          <w:szCs w:val="20"/>
          <w:color w:val="auto"/>
        </w:rPr>
      </w:pPr>
      <w:r>
        <w:rPr>
          <w:rFonts w:ascii="Arial" w:cs="Arial" w:eastAsia="Arial" w:hAnsi="Arial"/>
          <w:sz w:val="15"/>
          <w:szCs w:val="15"/>
          <w:color w:val="auto"/>
        </w:rPr>
        <w:t>We will determine at the beginning of each calendar quarter commencing at any time after August 30, 2007 (through the calendar quarter ending February 28, 2014) whether the notes are convertible as a result of the price of our common stock and notify the conversion agent and the trustee.</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Upon Satisfaction of Trading Price Condition</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holder may surrender notes for conversion during the five business day period after any five consecutive trading day period, or the measurement period, in which the "trading price" per $1,000 principal amount of notes for each trading day of that measurement period was less than 98% of the product of the closing price of our common stock on such trading day and the then applicable conversion rate for the notes for such date, subject to compliance with the procedures and conditions described below concerning the trustee's obligation to make a trading price determination.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"trading price" of the notes on any date of determination means the average of the secondary market bid quotations obtained by the trustee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principal amount of notes at approximately 3:30 p.m., New York City time, on such determination date from three independent U.S. nationally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recognized securities dealers we select;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trustee, but two such bids are obtained, then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of the two bids shall be used, and if only one such bid can reasonably be obtained by the trustee, that one bid shall be used. If the trustee cannot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reasonably obtain at least one bid for $5.0 million principal amount of notes from a U.S. nationally recognized securities dealer, then the trading price per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relevant notes will be deemed to be less than 98% of the product of the "closing price" of our common stock and the then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for the notes.</w:t>
      </w:r>
    </w:p>
    <w:p>
      <w:pPr>
        <w:spacing w:after="0" w:line="21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any conversion upon satisfaction of the above trading price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price of our common stock and the then applicable conversion rate for such notes. At such time, we shall instruct the trustee to determine the trading price of the notes beginning on the next trading day and on each successive trading day until the trading price per $1,000 principal amount of notes is greater than or equal to 98% of the product of the closing price of our common stock and the then applicable conversion rate for the notes. If we do not, when we are obligated to, make a request to the trustee to determine the trading price of the notes, or if we make such request to the trustee and the trustee does not or cannot make such determination, then the trading price per $1,000 principal amount of notes will be deemed to be less than 98% of the product of the "closing price" of our common stock and the then applicable conversion rate for the notes.</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 trading price condition has been met, we shall so notify the holders of the notes. If, at any point after the trading price condition has been met, the trading price per $1,000 principal amount of notes is greater than 98% of the product of the closing price of our common stock and the then applicable conversion rate for the notes, we shall so notify holders of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Upon Occurrence of Specified Corporate Events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elect to distribute to all holders of our common stock:</w:t>
      </w:r>
    </w:p>
    <w:p>
      <w:pPr>
        <w:spacing w:after="0" w:line="239" w:lineRule="exact"/>
        <w:rPr>
          <w:sz w:val="20"/>
          <w:szCs w:val="20"/>
          <w:color w:val="auto"/>
        </w:rPr>
      </w:pPr>
    </w:p>
    <w:p>
      <w:pPr>
        <w:ind w:left="1080" w:right="1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rights, options or warrants entitling them to subscribe for or purchase our common stock, for a period expiring within 60 days of the record date for such distribution, at less than the average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7" w:name="page38"/>
    <w:bookmarkEnd w:id="37"/>
    <w:p>
      <w:pPr>
        <w:ind w:left="1080" w:right="120"/>
        <w:spacing w:after="0" w:line="268" w:lineRule="auto"/>
        <w:rPr>
          <w:sz w:val="20"/>
          <w:szCs w:val="20"/>
          <w:color w:val="auto"/>
        </w:rPr>
      </w:pPr>
      <w:r>
        <w:rPr>
          <w:rFonts w:ascii="Arial" w:cs="Arial" w:eastAsia="Arial" w:hAnsi="Arial"/>
          <w:sz w:val="18"/>
          <w:szCs w:val="18"/>
          <w:color w:val="auto"/>
        </w:rPr>
        <w:t>the closing prices of our common stock for the five consecutive trading days ending on the date immediately preceding the public announcement of such distribution, or</w:t>
      </w:r>
    </w:p>
    <w:p>
      <w:pPr>
        <w:spacing w:after="0" w:line="199" w:lineRule="exact"/>
        <w:rPr>
          <w:sz w:val="20"/>
          <w:szCs w:val="20"/>
          <w:color w:val="auto"/>
        </w:rPr>
      </w:pPr>
    </w:p>
    <w:p>
      <w:pPr>
        <w:ind w:left="1080" w:right="20" w:hanging="532"/>
        <w:spacing w:after="0" w:line="298"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cash, debt securities (or other evidence of indebtedness) or other assets (excluding dividends or distributions described in clauses (i) and (ii) of the second paragraph under "—Adjustment to Conversion Rate—General"), which distribution, together with all other such distributions within the preceding twelve months, has a per share value exceeding 15% of the average of the closing prices of our common stock for the five consecutive trading days ending on the date immediately preceding the first public announcement of such distribution,</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must notify the holders of the notes at least 35 business days prior to the ex-date for such distribution. Once we have given such notice, holders may surrender their notes for conversion at any time until the earlier of the close of business on the business day prior to the ex-date or our announcement that such distribution will not take place, even if the notes are not convertible at that time.</w:t>
      </w:r>
    </w:p>
    <w:p>
      <w:pPr>
        <w:spacing w:after="0" w:line="194"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No adjustment to the ability of the holders to convert will be made if the holders are entitled to participate (as a result of holding the notes, and at the same time as common stock holders participate) in such transaction as if such holders of the notes held a number shares of our common stock equal to the conversion rate, multiplied by the principal amount (expressed in thousands) of notes held by such holder, without having to convert their notes.</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if a termination of trading, a change in control or a make-whole change in control that does not constitute a change in control occurs, or if we are a party to a consolidation, merger, binding share exchange, or transfer or lease of all or substantially all of our assets, pursuant to which our common stock would be converted into cash, securities or other assets, the notes may be surrendered for conversion at any time from or after, in the case of a termination of trading, the earlier of the date the applicable securities exchange announces that a termination of trading will occur or the effective date of such termination of trading and, in the case of a change in control or make-whole change in control or other transaction described above, the date which is 35 business days prior to the anticipated effective time of the transaction until, in the case of a change in control or in the case of a termination of trading, until the related repurchase date (as defined below) and, in the case of a make-whole change in control that does not constitute a change in control or another transaction described above, 35 trading days after the actual date of such transaction. We will notify holders and the trustee as promptly as practicable following the date we publicly announce such transaction but in no event less than 35 business days prior to the anticipated effective date of such transaction in the case of a change in control or a make-whole change in control and the earlier of the day immediately following the date the applicable securities exchange announces that a termination of trading will occur or the effective date of a termination of trading in the case of a termination of trading.</w:t>
      </w:r>
    </w:p>
    <w:p>
      <w:pPr>
        <w:spacing w:after="0" w:line="18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the case of any make-whole change in control, (i) the conversion rate will be adjusted as set forth below under "—Adjustment to Conversion Rate— Adjustment to Conversion Rate Upon a Make-Whole Change in Control" for conversions in connection with such make-whole change in control and (ii) if such make-whole change in control also constitutes a change in control, the holder can require us to repurchase all or a portion of its notes as described under "— Repurchase at the Option of the Holder Upon a Change in Control or Termination of Trading."</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During Three Months Prior to Maturity</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Notwithstanding anything herein to the contrary, holders may surrender their notes for conversion at any time on or after March 1, 2014 until the close of business on the business day immediately preceding the maturity date for the notes.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ind w:left="540"/>
        <w:spacing w:after="0"/>
        <w:rPr>
          <w:sz w:val="20"/>
          <w:szCs w:val="20"/>
          <w:color w:val="auto"/>
        </w:rPr>
      </w:pPr>
      <w:r>
        <w:rPr>
          <w:rFonts w:ascii="Arial" w:cs="Arial" w:eastAsia="Arial" w:hAnsi="Arial"/>
          <w:sz w:val="18"/>
          <w:szCs w:val="18"/>
          <w:b w:val="1"/>
          <w:bCs w:val="1"/>
          <w:i w:val="1"/>
          <w:iCs w:val="1"/>
          <w:color w:val="auto"/>
        </w:rPr>
        <w:t>Conversion Procedures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convert its note into shares of our common stock, cash or a combination of cash and shares of our common stock, as the case may be, a holder must:</w:t>
      </w:r>
    </w:p>
    <w:p>
      <w:pPr>
        <w:spacing w:after="0" w:line="262" w:lineRule="exact"/>
        <w:rPr>
          <w:sz w:val="20"/>
          <w:szCs w:val="20"/>
          <w:color w:val="auto"/>
        </w:rPr>
      </w:pPr>
    </w:p>
    <w:p>
      <w:pPr>
        <w:ind w:left="1080" w:right="5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note or facsimile of the conversion notice and deliver this notice to the conversion agent;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surrender the note to the conversion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date a holder complies with these requirements is the "conversion date" under the indenture. If a holder holds a beneficial interest in a global note, to convert such holder must comply with the last two requirements listed above and comply with DTC's procedures for converting a beneficial interest in a global note. A holder receiving shares of our common stock upon conversion will not be entitled to any rights as a holder of our common stock, including, among other things, the right to vote and receive dividends and notices of stockholder meetings, until the close of business on the conversion date (if we deliver solely shares of our common stock in respect of our conversion obligation, other than cash in lieu of fractional shares) or the close of business on the last trading day of the cash settlement averaging period (if we deliver cash in respect of any portion of our conversion obligation, other than solely cash in lieu of any fractional shares, or if we have irrevocably elected net share settlement upon conversion).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Settlement Elections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lieu of delivery of shares of our common stock in satisfaction of our obligation upon conversion of notes, we may elect to deliver cash or a combination of cash and shares of our common stock in satisfaction of our conversion obligation.</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inform the holders through the trustee of the method we choose to satisfy our obligation upon conversion (and the specified cash amount (as defined below), if applicable), as follows:</w:t>
      </w:r>
    </w:p>
    <w:p>
      <w:pPr>
        <w:spacing w:after="0" w:line="199" w:lineRule="exact"/>
        <w:rPr>
          <w:sz w:val="20"/>
          <w:szCs w:val="20"/>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notes to be converted during the period on or after the 24th scheduled trading day immediately preceding the maturity date for such notes, no later than the 25th scheduled trading day prior to the maturity date for such notes;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all other cases, no later than two trading days following the applicable conversion date.</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If we do not give any notice within the time periods described as to how we intend to settle, and we have not made an irrevocable net share settlement election, we will satisfy our conversion obligation only in shares of our common stock (except for any cash in lieu of fractional shares).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Irrevocable Election of Net Share Settlement</w:t>
      </w:r>
    </w:p>
    <w:p>
      <w:pPr>
        <w:spacing w:after="0" w:line="225"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At any time on or prior to the 30th scheduled trading day prior to the maturity date, we may irrevocably elect to satisfy our conversion obligation with respect to the notes to be converted after the date of such election by delivering cash up to the aggregate principal amount of notes to be converted, and shares of our common stock, cash or a combination thereof in respect of the remainder, if any, of our conversion obligation. We refer to this election as a net share settlement election, which will be in our sole discretion without the consent of the holders of notes. Future agreements with lenders or other third parties may prohibit us from delivering cash to satisfy our conversion obligation under the notes. If delivering cash to settle our conversion obligation violates the provisions of, or causes a default under,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agreements with lenders or other third parties, we will not exercise our option to deliver cash unless a waiver is obtained.</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Upon making such election, we will promptly (i) use our reasonable efforts to post such information on our website or otherwise publicly disclose this information and (ii) provide written notice to the holders of the notes in a manner contemplated by the indenture, including through the facilities of the DTC.</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Settlement Notices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we choose to satisfy any portion of our conversion obligation in cash, other than solely cash in lieu of any fractional shares, or if we have irrevocably elected net share settlement upon conversion, we will notify holders as described above of the amount to be satisfied in cash as a fixed dollar amount per $1,000 principal amount of notes (the "specified cash amount"). If we have previously irrevocably elected net share settlement upon conversion as described below, the specified cash amount must be at least $1,000. If we have made an irrevocable net share settlement election, and we fail to timely notify converting holders of the specified cash amount, the specified cash amount will be deemed to be $1,000.</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will treat all holders with the same cash settlement averaging period in the same manner. We will not, however, have any obligation to settle our conversion obligations arising with respect to different cash settlement averaging periods in the same manner. That is, we may choose with respect to one cash settlement averaging period to settle in shares of our common stock only and choose with respect to another cash settlement averaging period to settle in cash or a combination of cash and shares of our common stock.</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Settlement Upon Conversion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we elect to settle a conversion of notes only in shares of our common stock, such settlement will occur as soon as practicable after we notify holders that we have chosen this method of settlement, but in any event within three business days of the relevant conversion date.</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Settlements made entirely or partially in cash (other than cash in lieu of fractional shares) will occur on the third business day following the final trading day of the cash settlement averaging period (as defined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cash and/or number of shares of common stock, as the case may be, due upon conversion will be determined as follows:</w:t>
      </w:r>
    </w:p>
    <w:p>
      <w:pPr>
        <w:spacing w:after="0" w:line="225" w:lineRule="exact"/>
        <w:rPr>
          <w:sz w:val="20"/>
          <w:szCs w:val="20"/>
          <w:color w:val="auto"/>
        </w:rPr>
      </w:pPr>
    </w:p>
    <w:p>
      <w:pPr>
        <w:ind w:left="540" w:right="200" w:firstLine="359"/>
        <w:spacing w:after="0" w:line="306" w:lineRule="auto"/>
        <w:tabs>
          <w:tab w:leader="none" w:pos="12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If we elect to satisfy the entire conversion obligation in common stock, we will deliver to the holder a number of shares of our common stock equal to (i) (A) the aggregate principal amount of notes to be converted,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(B) 1,000,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(ii) the conversion rate in effect on the relevant conversion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will deliver cash in lieu of fractional shares as described above).</w:t>
      </w:r>
    </w:p>
    <w:p>
      <w:pPr>
        <w:spacing w:after="0" w:line="160" w:lineRule="exact"/>
        <w:rPr>
          <w:rFonts w:ascii="Arial" w:cs="Arial" w:eastAsia="Arial" w:hAnsi="Arial"/>
          <w:sz w:val="16"/>
          <w:szCs w:val="16"/>
          <w:color w:val="auto"/>
        </w:rPr>
      </w:pPr>
    </w:p>
    <w:p>
      <w:pPr>
        <w:ind w:left="540" w:right="20" w:firstLine="359"/>
        <w:spacing w:after="0" w:line="268" w:lineRule="auto"/>
        <w:tabs>
          <w:tab w:leader="none" w:pos="12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elect to satisfy the entire conversion obligation in cash, we will deliver to the holder, for each $1,000 principal amount of notes, cash in an amount equal to the conversion value (as defined below).</w:t>
      </w:r>
    </w:p>
    <w:p>
      <w:pPr>
        <w:spacing w:after="0" w:line="185" w:lineRule="exact"/>
        <w:rPr>
          <w:rFonts w:ascii="Arial" w:cs="Arial" w:eastAsia="Arial" w:hAnsi="Arial"/>
          <w:sz w:val="18"/>
          <w:szCs w:val="18"/>
          <w:color w:val="auto"/>
        </w:rPr>
      </w:pPr>
    </w:p>
    <w:p>
      <w:pPr>
        <w:ind w:left="540" w:right="640" w:firstLine="359"/>
        <w:spacing w:after="0" w:line="268" w:lineRule="auto"/>
        <w:tabs>
          <w:tab w:leader="none" w:pos="12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elect to satisfy the conversion obligation in a combination of cash and common stock or if we have made an irrevocable net share settlement election, we will deliver to the holder, for each $1,000 principal amount of notes:</w:t>
      </w:r>
    </w:p>
    <w:p>
      <w:pPr>
        <w:spacing w:after="0" w:line="199"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cash in an amount equal to the lesser of (A) the specified cash amount (which will be at least $1,000 if we have made an irrevocable net share settlement election) and (B) the conversion value;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ind w:left="1620" w:right="180" w:hanging="532"/>
        <w:spacing w:after="0" w:line="259"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conversion value is greater than the specified cash amount, a number of shares of our common stock equal to the sum of the daily share amounts (as defined below) for each of the twenty trading days in the cash settlement averaging period, plus cash in lieu of any fractional shares as described above.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"conversion value" means the product of (1) the conversion rate,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(2) the average of the volume weighted average price (as defined below) per share of our common stock on each of the trading days during the cash settlement averaging period.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5" w:right="339" w:bottom="1440" w:gutter="0" w:footer="0" w:header="0"/>
        </w:sectPr>
      </w:pPr>
    </w:p>
    <w:bookmarkStart w:id="41" w:name="page42"/>
    <w:bookmarkEnd w:id="41"/>
    <w:p>
      <w:pPr>
        <w:ind w:right="60" w:firstLine="348"/>
        <w:spacing w:after="0" w:line="256" w:lineRule="auto"/>
        <w:rPr>
          <w:sz w:val="20"/>
          <w:szCs w:val="20"/>
          <w:color w:val="auto"/>
        </w:rPr>
      </w:pPr>
      <w:r>
        <w:rPr>
          <w:rFonts w:ascii="Arial" w:cs="Arial" w:eastAsia="Arial" w:hAnsi="Arial"/>
          <w:sz w:val="18"/>
          <w:szCs w:val="18"/>
          <w:color w:val="auto"/>
        </w:rPr>
        <w:t>The "volume weighted average price" per share of our common stock on any trading day means such price as displayed on Bloomberg (or any successor service) page MU.N&lt;equity&gt;VAP in respect of the period from 9:30 a.m. to 4:00 p.m., New York City time, on such trading day; or, if such price is not available, the volume weighted average price means the market value per share of our common stock on such day as determined by a nationally recognized independent investment banking firm retained for this purpose by 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"cash settlement averaging period" means:</w:t>
      </w:r>
    </w:p>
    <w:p>
      <w:pPr>
        <w:spacing w:after="0" w:line="239" w:lineRule="exact"/>
        <w:rPr>
          <w:sz w:val="20"/>
          <w:szCs w:val="20"/>
          <w:color w:val="auto"/>
        </w:rPr>
      </w:pPr>
    </w:p>
    <w:p>
      <w:pPr>
        <w:ind w:left="1080" w:right="74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 respect to any conversion date occurring on or after the 24th scheduled trading day immediately preceding the maturity date, the 20 consecutive trading day period ending on, and including, the third scheduled trading day immediately preceding the maturity date;</w:t>
      </w:r>
    </w:p>
    <w:p>
      <w:pPr>
        <w:spacing w:after="0" w:line="166"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all other cases, the 20 consecutive trading day period beginning on, and including, the third trading day immediately following the relevant conversion date.</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"daily share amount" means, for each trading day of the cash settlement averaging period and each $1,000 principal amount of notes surrendered for conversion, a number of shares (but in no event less than zero) determined pursuant to the following formula: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jc w:val="center"/>
              <w:ind w:left="512"/>
              <w:spacing w:after="0"/>
              <w:rPr>
                <w:sz w:val="20"/>
                <w:szCs w:val="20"/>
                <w:color w:val="auto"/>
              </w:rPr>
            </w:pPr>
            <w:r>
              <w:rPr>
                <w:rFonts w:ascii="Arial" w:cs="Arial" w:eastAsia="Arial" w:hAnsi="Arial"/>
                <w:sz w:val="18"/>
                <w:szCs w:val="18"/>
                <w:color w:val="auto"/>
                <w:w w:val="88"/>
              </w:rPr>
              <w:t>volume weighted average price</w:t>
            </w:r>
          </w:p>
        </w:tc>
        <w:tc>
          <w:tcPr>
            <w:tcW w:w="158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840" w:type="dxa"/>
            <w:vAlign w:val="bottom"/>
          </w:tcPr>
          <w:p>
            <w:pPr>
              <w:ind w:left="360"/>
              <w:spacing w:after="0"/>
              <w:rPr>
                <w:sz w:val="20"/>
                <w:szCs w:val="20"/>
                <w:color w:val="auto"/>
              </w:rPr>
            </w:pPr>
            <w:r>
              <w:rPr>
                <w:rFonts w:ascii="Arial" w:cs="Arial" w:eastAsia="Arial" w:hAnsi="Arial"/>
                <w:sz w:val="18"/>
                <w:szCs w:val="18"/>
                <w:color w:val="auto"/>
              </w:rPr>
              <w:t>conversion rate</w:t>
            </w:r>
          </w:p>
        </w:tc>
        <w:tc>
          <w:tcPr>
            <w:tcW w:w="94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Specified</w:t>
            </w:r>
          </w:p>
        </w:tc>
      </w:tr>
      <w:tr>
        <w:trPr>
          <w:trHeight w:val="216"/>
        </w:trPr>
        <w:tc>
          <w:tcPr>
            <w:tcW w:w="4360" w:type="dxa"/>
            <w:vAlign w:val="bottom"/>
          </w:tcPr>
          <w:p>
            <w:pPr>
              <w:jc w:val="center"/>
              <w:ind w:left="512"/>
              <w:spacing w:after="0"/>
              <w:rPr>
                <w:sz w:val="20"/>
                <w:szCs w:val="20"/>
                <w:color w:val="auto"/>
              </w:rPr>
            </w:pPr>
            <w:r>
              <w:rPr>
                <w:rFonts w:ascii="Arial" w:cs="Arial" w:eastAsia="Arial" w:hAnsi="Arial"/>
                <w:sz w:val="18"/>
                <w:szCs w:val="18"/>
                <w:color w:val="auto"/>
                <w:w w:val="87"/>
              </w:rPr>
              <w:t>per share of our common</w:t>
            </w:r>
          </w:p>
        </w:tc>
        <w:tc>
          <w:tcPr>
            <w:tcW w:w="1580" w:type="dxa"/>
            <w:vAlign w:val="bottom"/>
          </w:tcPr>
          <w:p>
            <w:pPr>
              <w:spacing w:after="0"/>
              <w:rPr>
                <w:sz w:val="18"/>
                <w:szCs w:val="18"/>
                <w:color w:val="auto"/>
              </w:rPr>
            </w:pPr>
          </w:p>
        </w:tc>
        <w:tc>
          <w:tcPr>
            <w:tcW w:w="1840" w:type="dxa"/>
            <w:vAlign w:val="bottom"/>
          </w:tcPr>
          <w:p>
            <w:pPr>
              <w:ind w:left="380"/>
              <w:spacing w:after="0"/>
              <w:rPr>
                <w:sz w:val="20"/>
                <w:szCs w:val="20"/>
                <w:color w:val="auto"/>
              </w:rPr>
            </w:pPr>
            <w:r>
              <w:rPr>
                <w:rFonts w:ascii="Arial" w:cs="Arial" w:eastAsia="Arial" w:hAnsi="Arial"/>
                <w:sz w:val="18"/>
                <w:szCs w:val="18"/>
                <w:color w:val="auto"/>
              </w:rPr>
              <w:t>in effect on the</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78"/>
              </w:rPr>
              <w:t>cash</w:t>
            </w:r>
          </w:p>
        </w:tc>
      </w:tr>
      <w:tr>
        <w:trPr>
          <w:trHeight w:val="222"/>
        </w:trPr>
        <w:tc>
          <w:tcPr>
            <w:tcW w:w="4360" w:type="dxa"/>
            <w:vAlign w:val="bottom"/>
          </w:tcPr>
          <w:p>
            <w:pPr>
              <w:jc w:val="center"/>
              <w:ind w:left="512"/>
              <w:spacing w:after="0"/>
              <w:rPr>
                <w:sz w:val="20"/>
                <w:szCs w:val="20"/>
                <w:color w:val="auto"/>
              </w:rPr>
            </w:pPr>
            <w:r>
              <w:rPr>
                <w:rFonts w:ascii="Arial" w:cs="Arial" w:eastAsia="Arial" w:hAnsi="Arial"/>
                <w:sz w:val="18"/>
                <w:szCs w:val="18"/>
                <w:color w:val="auto"/>
                <w:w w:val="88"/>
              </w:rPr>
              <w:t>stock on such trading day</w:t>
            </w:r>
          </w:p>
        </w:tc>
        <w:tc>
          <w:tcPr>
            <w:tcW w:w="1580" w:type="dxa"/>
            <w:vAlign w:val="bottom"/>
          </w:tcPr>
          <w:p>
            <w:pPr>
              <w:spacing w:after="0"/>
              <w:rPr>
                <w:sz w:val="19"/>
                <w:szCs w:val="19"/>
                <w:color w:val="auto"/>
              </w:rPr>
            </w:pPr>
          </w:p>
        </w:tc>
        <w:tc>
          <w:tcPr>
            <w:tcW w:w="1840" w:type="dxa"/>
            <w:vAlign w:val="bottom"/>
          </w:tcPr>
          <w:p>
            <w:pPr>
              <w:ind w:left="360"/>
              <w:spacing w:after="0"/>
              <w:rPr>
                <w:sz w:val="20"/>
                <w:szCs w:val="20"/>
                <w:color w:val="auto"/>
              </w:rPr>
            </w:pPr>
            <w:r>
              <w:rPr>
                <w:rFonts w:ascii="Arial" w:cs="Arial" w:eastAsia="Arial" w:hAnsi="Arial"/>
                <w:sz w:val="18"/>
                <w:szCs w:val="18"/>
                <w:color w:val="auto"/>
              </w:rPr>
              <w:t>conversion date</w:t>
            </w: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amount</w:t>
            </w:r>
          </w:p>
        </w:tc>
      </w:tr>
      <w:tr>
        <w:trPr>
          <w:trHeight w:val="120"/>
        </w:trPr>
        <w:tc>
          <w:tcPr>
            <w:tcW w:w="594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5940" w:type="dxa"/>
            <w:vAlign w:val="bottom"/>
            <w:gridSpan w:val="2"/>
          </w:tcPr>
          <w:p>
            <w:pPr>
              <w:ind w:left="2700"/>
              <w:spacing w:after="0"/>
              <w:rPr>
                <w:sz w:val="20"/>
                <w:szCs w:val="20"/>
                <w:color w:val="auto"/>
              </w:rPr>
            </w:pPr>
            <w:r>
              <w:rPr>
                <w:rFonts w:ascii="Arial" w:cs="Arial" w:eastAsia="Arial" w:hAnsi="Arial"/>
                <w:sz w:val="18"/>
                <w:szCs w:val="18"/>
                <w:color w:val="auto"/>
                <w:w w:val="97"/>
              </w:rPr>
              <w:t>volume weighted average price per share</w:t>
            </w:r>
          </w:p>
        </w:tc>
        <w:tc>
          <w:tcPr>
            <w:tcW w:w="184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20</w:t>
            </w:r>
          </w:p>
        </w:tc>
        <w:tc>
          <w:tcPr>
            <w:tcW w:w="1600" w:type="dxa"/>
            <w:vAlign w:val="bottom"/>
          </w:tcPr>
          <w:p>
            <w:pPr>
              <w:spacing w:after="0"/>
              <w:rPr>
                <w:sz w:val="24"/>
                <w:szCs w:val="24"/>
                <w:color w:val="auto"/>
              </w:rPr>
            </w:pPr>
          </w:p>
        </w:tc>
      </w:tr>
      <w:tr>
        <w:trPr>
          <w:trHeight w:val="222"/>
        </w:trPr>
        <w:tc>
          <w:tcPr>
            <w:tcW w:w="5940" w:type="dxa"/>
            <w:vAlign w:val="bottom"/>
            <w:gridSpan w:val="2"/>
          </w:tcPr>
          <w:p>
            <w:pPr>
              <w:ind w:left="2680"/>
              <w:spacing w:after="0"/>
              <w:rPr>
                <w:sz w:val="20"/>
                <w:szCs w:val="20"/>
                <w:color w:val="auto"/>
              </w:rPr>
            </w:pPr>
            <w:r>
              <w:rPr>
                <w:rFonts w:ascii="Arial" w:cs="Arial" w:eastAsia="Arial" w:hAnsi="Arial"/>
                <w:sz w:val="18"/>
                <w:szCs w:val="18"/>
                <w:color w:val="auto"/>
                <w:w w:val="98"/>
              </w:rPr>
              <w:t>of our common stock on such trading day</w:t>
            </w: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-838200</wp:posOffset>
            </wp:positionV>
            <wp:extent cx="51435" cy="3346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33464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-838200</wp:posOffset>
            </wp:positionV>
            <wp:extent cx="51435" cy="3346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334645"/>
                    </a:xfrm>
                    <a:prstGeom prst="rect">
                      <a:avLst/>
                    </a:prstGeom>
                    <a:noFill/>
                  </pic:spPr>
                </pic:pic>
              </a:graphicData>
            </a:graphic>
          </wp:anchor>
        </w:drawing>
      </w:r>
    </w:p>
    <w:p>
      <w:pPr>
        <w:spacing w:after="0" w:line="190"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In calculating the daily share amount, the conversion rate on any day shall be appropriately adjusted to take into account the occurrence on or before such trading day of any event which would require an adjustment to the conversion rate as set forth above under "—Adjustment to the Conversion Rate—General."</w:t>
      </w:r>
    </w:p>
    <w:p>
      <w:pPr>
        <w:spacing w:after="0" w:line="116"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"Trading day" means, with respect to our common stock or any other security, a day during which (i) trading in our common stock or such other security generally occurs, (ii) there is no market disruption event (as defined below) and (iii) a closing price for our common stock or such other security (other than a closing price referred to in the next to last sentence of such definition) is available for such day; provided that if our common stock or such other security is not admitted for trading or quotation on or by any exchange, bureau or other organization, "trading day" will mean any business day.</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"Market disruption event" means, with respect to our common stock or any other security, the occurrence or existence for more than one-half hour period in the aggregate on any scheduled trading day for our common stock or such other security of any suspension or limitation imposed on trading (by reason of movements in price exceeding limits permitted by the stock exchange or otherwise) in our common stock or such other security or in any options, contracts or future contracts relating to our common stock or such other security, and such suspension or limitation occurs or exists at any time before 1:00 p.m. (New York City time) on such day.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Conversion Rate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on the notes will not be adjusted for accrued interest.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adjust the conversion rate on the notes if any of the following events occur:</w:t>
      </w:r>
    </w:p>
    <w:p>
      <w:pPr>
        <w:spacing w:after="0" w:line="225" w:lineRule="exact"/>
        <w:rPr>
          <w:sz w:val="20"/>
          <w:szCs w:val="20"/>
          <w:color w:val="auto"/>
        </w:rPr>
      </w:pPr>
    </w:p>
    <w:p>
      <w:pPr>
        <w:ind w:left="5620" w:right="2920" w:hanging="4633"/>
        <w:spacing w:after="0" w:line="519" w:lineRule="auto"/>
        <w:tabs>
          <w:tab w:leader="none" w:pos="12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issue dividends or distributions on shares of our common stock payable in shares of common stock.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left="1240" w:hanging="297"/>
        <w:spacing w:after="0"/>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subdivide, combine or reclassify shares of our common stock.</w:t>
      </w:r>
    </w:p>
    <w:p>
      <w:pPr>
        <w:spacing w:after="0" w:line="225" w:lineRule="exact"/>
        <w:rPr>
          <w:rFonts w:ascii="Arial" w:cs="Arial" w:eastAsia="Arial" w:hAnsi="Arial"/>
          <w:sz w:val="18"/>
          <w:szCs w:val="18"/>
          <w:color w:val="auto"/>
        </w:rPr>
      </w:pPr>
    </w:p>
    <w:p>
      <w:pPr>
        <w:ind w:left="540" w:right="420" w:firstLine="359"/>
        <w:spacing w:after="0" w:line="259" w:lineRule="auto"/>
        <w:tabs>
          <w:tab w:leader="none" w:pos="12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distribute to all holders of shares of our common stock rights, options or warrants to purchase shares of our common stock for a period expiring within 60 days after the record date for such distribution at less than the average of the closing prices for the five consecutive trading days immediately preceding the public announcement of such distribution.</w:t>
      </w:r>
    </w:p>
    <w:p>
      <w:pPr>
        <w:spacing w:after="0" w:line="194" w:lineRule="exact"/>
        <w:rPr>
          <w:rFonts w:ascii="Arial" w:cs="Arial" w:eastAsia="Arial" w:hAnsi="Arial"/>
          <w:sz w:val="18"/>
          <w:szCs w:val="18"/>
          <w:color w:val="auto"/>
        </w:rPr>
      </w:pPr>
    </w:p>
    <w:p>
      <w:pPr>
        <w:ind w:left="540" w:right="100" w:firstLine="359"/>
        <w:spacing w:after="0" w:line="298" w:lineRule="auto"/>
        <w:tabs>
          <w:tab w:leader="none" w:pos="1229" w:val="left"/>
        </w:tabs>
        <w:numPr>
          <w:ilvl w:val="1"/>
          <w:numId w:val="25"/>
        </w:numPr>
        <w:rPr>
          <w:rFonts w:ascii="Arial" w:cs="Arial" w:eastAsia="Arial" w:hAnsi="Arial"/>
          <w:sz w:val="16"/>
          <w:szCs w:val="16"/>
          <w:color w:val="auto"/>
        </w:rPr>
      </w:pPr>
      <w:r>
        <w:rPr>
          <w:rFonts w:ascii="Arial" w:cs="Arial" w:eastAsia="Arial" w:hAnsi="Arial"/>
          <w:sz w:val="16"/>
          <w:szCs w:val="16"/>
          <w:color w:val="auto"/>
        </w:rPr>
        <w:t>We distribute to all holders of shares of our common stock our capital stock, assets (including shares of any subsidiary or business unit of ours) or debt securities or certain rights to purchase our securities (excluding (1) any dividends or distributions described in clause (i) above, (2) any rights, options or warrants described in clause (iii) above and (3) any dividends or other distributions described in clause (v) below), in which event the conversion rate will be adjusted by multiplying such conversion rate by a fraction,</w:t>
      </w:r>
    </w:p>
    <w:p>
      <w:pPr>
        <w:spacing w:after="0" w:line="180" w:lineRule="exact"/>
        <w:rPr>
          <w:rFonts w:ascii="Arial" w:cs="Arial" w:eastAsia="Arial" w:hAnsi="Arial"/>
          <w:sz w:val="16"/>
          <w:szCs w:val="16"/>
          <w:color w:val="auto"/>
        </w:rPr>
      </w:pPr>
    </w:p>
    <w:p>
      <w:pPr>
        <w:ind w:left="1620" w:hanging="532"/>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(as defined below) of our common stock, and</w:t>
      </w:r>
    </w:p>
    <w:p>
      <w:pPr>
        <w:spacing w:after="0" w:line="252" w:lineRule="exact"/>
        <w:rPr>
          <w:rFonts w:ascii="Arial" w:cs="Arial" w:eastAsia="Arial" w:hAnsi="Arial"/>
          <w:sz w:val="18"/>
          <w:szCs w:val="18"/>
          <w:color w:val="auto"/>
        </w:rPr>
      </w:pPr>
    </w:p>
    <w:p>
      <w:pPr>
        <w:ind w:left="1620" w:right="140" w:hanging="532"/>
        <w:spacing w:after="0" w:line="259"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denominator of which will be the current market price of our common stock, minus the fair market value, as determined by our board of directors, of the portion of those assets, debt securities, shares of capital stock or rights so distributed applicable to one share of our common stock.</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anything to the contrary in this clause (iv), if we distribute capital stock of, or similar equity interests in, a subsidiary or other business unit of ours, then the conversion rate will be adjusted based on the market value of the securities so distributed relative to the market value of our common stock, in each case based on the average closing price of those securities (where such closing prices are available) for the ten trading days commencing on, and including, the fifth trading day after the ex-date (as defined below) for such distribution on the New York Stock Exchange or such other national or regional exchange or market on which the securities are then listed or quoted.</w:t>
      </w:r>
    </w:p>
    <w:p>
      <w:pPr>
        <w:spacing w:after="0" w:line="197" w:lineRule="exact"/>
        <w:rPr>
          <w:sz w:val="20"/>
          <w:szCs w:val="20"/>
          <w:color w:val="auto"/>
        </w:rPr>
      </w:pPr>
    </w:p>
    <w:p>
      <w:pPr>
        <w:ind w:left="1240" w:hanging="297"/>
        <w:spacing w:after="0"/>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We distribute dividends or other distributions paid entirely in cash to all or substantially all holders of our common stock, other than</w:t>
      </w:r>
    </w:p>
    <w:p>
      <w:pPr>
        <w:spacing w:after="0" w:line="38" w:lineRule="exact"/>
        <w:rPr>
          <w:rFonts w:ascii="Arial" w:cs="Arial" w:eastAsia="Arial" w:hAnsi="Arial"/>
          <w:sz w:val="16"/>
          <w:szCs w:val="16"/>
          <w:color w:val="auto"/>
        </w:rPr>
      </w:pPr>
    </w:p>
    <w:p>
      <w:pPr>
        <w:ind w:left="540" w:right="120" w:firstLine="8"/>
        <w:spacing w:after="0" w:line="261" w:lineRule="auto"/>
        <w:tabs>
          <w:tab w:leader="none" w:pos="7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described in clause (vi) below or (2) any dividend or distribution in connection with our liquidation, dissolution or winding up, in which event the conversion rate will be adjusted by multiplying such conversion rate by a fraction,</w:t>
      </w:r>
    </w:p>
    <w:p>
      <w:pPr>
        <w:spacing w:after="0" w:line="205" w:lineRule="exact"/>
        <w:rPr>
          <w:rFonts w:ascii="Arial" w:cs="Arial" w:eastAsia="Arial" w:hAnsi="Arial"/>
          <w:sz w:val="18"/>
          <w:szCs w:val="18"/>
          <w:color w:val="auto"/>
        </w:rPr>
      </w:pPr>
    </w:p>
    <w:p>
      <w:pPr>
        <w:ind w:left="1620" w:hanging="532"/>
        <w:spacing w:after="0"/>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our common stock, and</w:t>
      </w:r>
    </w:p>
    <w:p>
      <w:pPr>
        <w:spacing w:after="0" w:line="238" w:lineRule="exact"/>
        <w:rPr>
          <w:rFonts w:ascii="Arial" w:cs="Arial" w:eastAsia="Arial" w:hAnsi="Arial"/>
          <w:sz w:val="18"/>
          <w:szCs w:val="18"/>
          <w:color w:val="auto"/>
        </w:rPr>
      </w:pPr>
    </w:p>
    <w:p>
      <w:pPr>
        <w:ind w:left="1620" w:right="740" w:hanging="532"/>
        <w:spacing w:after="0" w:line="268" w:lineRule="auto"/>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denominator of which will be the current market price of our common stock, minus the amount per share of such dividend or distribution.</w:t>
      </w:r>
    </w:p>
    <w:p>
      <w:pPr>
        <w:spacing w:after="0" w:line="185" w:lineRule="exact"/>
        <w:rPr>
          <w:rFonts w:ascii="Arial" w:cs="Arial" w:eastAsia="Arial" w:hAnsi="Arial"/>
          <w:sz w:val="18"/>
          <w:szCs w:val="18"/>
          <w:color w:val="auto"/>
        </w:rPr>
      </w:pPr>
    </w:p>
    <w:p>
      <w:pPr>
        <w:ind w:left="540" w:right="160" w:firstLine="359"/>
        <w:spacing w:after="0" w:line="298" w:lineRule="auto"/>
        <w:tabs>
          <w:tab w:leader="none" w:pos="1229" w:val="left"/>
        </w:tabs>
        <w:numPr>
          <w:ilvl w:val="1"/>
          <w:numId w:val="27"/>
        </w:numPr>
        <w:rPr>
          <w:rFonts w:ascii="Arial" w:cs="Arial" w:eastAsia="Arial" w:hAnsi="Arial"/>
          <w:sz w:val="16"/>
          <w:szCs w:val="16"/>
          <w:color w:val="auto"/>
        </w:rPr>
      </w:pPr>
      <w:r>
        <w:rPr>
          <w:rFonts w:ascii="Arial" w:cs="Arial" w:eastAsia="Arial" w:hAnsi="Arial"/>
          <w:sz w:val="16"/>
          <w:szCs w:val="16"/>
          <w:color w:val="auto"/>
        </w:rPr>
        <w:t>We or any of our subsidiaries distribute cash or other consideration in respect of a tender offer or exchange offer for our common stock, where such cash and the value of any such other consideration per share of our common stock validly tendered or exchanged exceeds the closing price of our common stock on the trading day immediately following the last date on which tenders or exchanges may be made pursuant to the tender or exchange offer, in which event the conversion rate will be adjusted by multiplying such conversion rate by a fraction,</w:t>
      </w:r>
    </w:p>
    <w:p>
      <w:pPr>
        <w:spacing w:after="0" w:line="193" w:lineRule="exact"/>
        <w:rPr>
          <w:rFonts w:ascii="Arial" w:cs="Arial" w:eastAsia="Arial" w:hAnsi="Arial"/>
          <w:sz w:val="16"/>
          <w:szCs w:val="16"/>
          <w:color w:val="auto"/>
        </w:rPr>
      </w:pPr>
    </w:p>
    <w:p>
      <w:pPr>
        <w:ind w:left="1620" w:hanging="532"/>
        <w:spacing w:after="0" w:line="298" w:lineRule="auto"/>
        <w:tabs>
          <w:tab w:leader="none" w:pos="162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numerator of which will be the sum of (1) the fair market value, as determined by our board of directors, of the aggregate consideration payable for all shares of our common stock we purchase in such tender or exchange offer and (2) the product of the number of shares of our common stock outstanding, less any such purchased shares, and the closing price of our common stock on the trading day immediately following the last date on which tenders or exchanges may be made pursuant to the tender or exchange offer, and</w:t>
      </w:r>
    </w:p>
    <w:p>
      <w:pPr>
        <w:spacing w:after="0" w:line="180" w:lineRule="exact"/>
        <w:rPr>
          <w:rFonts w:ascii="Arial" w:cs="Arial" w:eastAsia="Arial" w:hAnsi="Arial"/>
          <w:sz w:val="16"/>
          <w:szCs w:val="16"/>
          <w:color w:val="auto"/>
        </w:rPr>
      </w:pPr>
    </w:p>
    <w:p>
      <w:pPr>
        <w:ind w:left="1620" w:right="320" w:hanging="532"/>
        <w:spacing w:after="0" w:line="268" w:lineRule="auto"/>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our common stock outstanding, including any such purchased shares, and the closing price of our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left="1620" w:right="320"/>
        <w:spacing w:after="0" w:line="268" w:lineRule="auto"/>
        <w:rPr>
          <w:sz w:val="20"/>
          <w:szCs w:val="20"/>
          <w:color w:val="auto"/>
        </w:rPr>
      </w:pPr>
      <w:r>
        <w:rPr>
          <w:rFonts w:ascii="Arial" w:cs="Arial" w:eastAsia="Arial" w:hAnsi="Arial"/>
          <w:sz w:val="18"/>
          <w:szCs w:val="18"/>
          <w:color w:val="auto"/>
        </w:rPr>
        <w:t>on the trading day immediately following the last date on which tenders or exchanges may be made pursuant to the tender or exchange offer.</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may, from time to time, increase the conversion rate if our board of directors has made a determination that this increase would be in our best interests. Any such determination by our board will be conclusive. We would give holders notice of any increase in the conversion rate. In addition, we may increase the conversion rate if our board of directors deems it advisable to avoid or diminish any income tax to holders of common stock resulting from any stock or rights distribution.</w:t>
      </w:r>
    </w:p>
    <w:p>
      <w:pPr>
        <w:spacing w:after="0" w:line="197"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"Current market price" of our common stock on any day means the average of the closing prices of our common stock for each of the five consecutive trading days ending on the earlier of the day in question and the day before the "ex-date" with respect to the distribution requiring such computation.</w:t>
      </w:r>
    </w:p>
    <w:p>
      <w:pPr>
        <w:spacing w:after="0" w:line="11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"Ex-date" means, with regard to any distribution on our common stock, the first date on which the shares of our common stock trade on the applicable exchange or in the applicable market, regular way, without the right to receive such distribution.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elect to make a distribution described in clause (iii), (iv) or (v) above that has a per share value equal to more than 15% of the closing price of shares of our common stock on the day preceding the declaration date for such distribution, we will be required to give notice to the holders of notes at least 35 business days prior to the ex-date for such distribution.</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No adjustment to the conversion rate will be made if holders of the notes participate (as a result of holding the notes, and at the same time as common stock holders participate) in any of the transactions described below as if such holders of the notes held a number of shares of our common stock equal to the conversion rate,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principal amount (expressed in thousands) of notes held by such holder, without having to convert their notes.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the extent that we adopt a stockholder rights plan which is in effect, upon conversion of the notes, you will receive, in addition to any common stock received in connection with such conversion, the rights under the rights plan, unless prior to any conversion, the rights have separated from the common stock, in which case the conversion rate will be adjusted at the time of separation as if we distributed to all holders of our common stock, shares of our capital stock, assets, debt securities or certain rights to purchase our securities as described in clause (iv) above, subject to readjustment in the event of the expiration, termination or redemption of such rights. Any distribution of rights or warrants pursuant to a rights plan that would allow you to receive upon conversion, in addition to shares of our common stock, the rights described therein (unless such rights or warrants have separated from our common stock) shall not constitute a distribution of rights or warrants that would entitle you to an adjustment to the conversion rate.</w:t>
      </w:r>
    </w:p>
    <w:p>
      <w:pPr>
        <w:spacing w:after="0" w:line="172"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If the conversion rate is increased, holders of the notes may, in certain circumstances, be deemed to have received a distribution subject to U.S. federal income tax as a dividend. As a result, we may be required to pay withholding tax with respect to notes held by foreign persons.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Because this deemed income would not give rise to any cash from which any applicable withholding tax could be satisfied, if we pay withholding taxes on behalf of a holder, we may, at our option, set-off such payments against payments of cash and deliveries of common stock on the notes. See the discussions under the headings "Material U.S. Federal Income Tax Considerations—Consequences to U.S. Holders—Distributions," "Material U.S. Federal Income Tax Considerations—Consequences to U.S. Holders—Constructive Distributions" and "Material U.S. Federal Income Tax Considerations—Consequences to Non-U.S. Holders—Dividends and Constructive Distributions" for more details.</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Notwithstanding anything in this section "Adjustment to Conversion Rate" to the contrary, we will not be required to adjust the conversion rate unless the adjustment would result in a change of at least 1% of such conversion rate. However, we will carry forward any adjustments that are less than 1% of such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ind w:right="100"/>
        <w:spacing w:after="0" w:line="255" w:lineRule="auto"/>
        <w:rPr>
          <w:sz w:val="20"/>
          <w:szCs w:val="20"/>
          <w:color w:val="auto"/>
        </w:rPr>
      </w:pPr>
      <w:r>
        <w:rPr>
          <w:rFonts w:ascii="Arial" w:cs="Arial" w:eastAsia="Arial" w:hAnsi="Arial"/>
          <w:sz w:val="18"/>
          <w:szCs w:val="18"/>
          <w:color w:val="auto"/>
        </w:rPr>
        <w:t>conversion rate and take them into account when determining subsequent adjustments. In addition, we will make any carry forward adjustments not otherwise effected on each anniversary of the first issue date of the notes, upon conversion of the notes, upon required repurchases of the notes in connection with a change in control or a termination of trading and on the stated maturity of the notes. Except as stated above, the conversion rate will not be adjusted for the issuance of our common stock or any securities convertible into or exchangeable for our common stock or carrying the right to purchase our common stock or any such security.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Conversions After Reclassifications, Consolidations, Mergers and Certain Sales and Conveyances of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event of:</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reclassification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consolidation, merger or combination involving us,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sale or conveyance to another person of all or substantially all of our assets,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each case, in which holders of our outstanding common stock would be entitled to receive cash, securities or other property for their shares of common stock, if a holder converts its notes on or after the effective date of any such event, subject to our right to settle all or a portion of our conversion obligation with respect to such notes in cash (other than solely cash in lieu of any fractional shares) and our right to irrevocably elect net share settlement upon conversion as described above under "—Settlement Upon Conversion", notes will be convertible into, in lieu of the shares of our common stock otherwise deliverable, the same type (in the same proportions) of consideration received by holders of our common stock in the relevant event ("reference property").</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elect to settle all or any portion of our conversion obligation in cash (other than solely cash in lieu of fractional shares) or if we irrevocably elect net share settlement upon conversion, you will receive in connection with any conversion (1) cash in an amount equal to the portion of our conversion obligation that we have elected to settle with cash; and (2) in lieu of the shares of our common stock otherwise deliverable, if any, reference property. If we elect to settle any conversion in whole or in part by delivering cash in respect our conversion obligation (other than solely cash in lieu of fractional shares) or if we irrevocably elect net share settlement upon conversion, the amount of cash and any reference property you receive will be based on the daily share amounts of reference property and the applicable conversion rate, as described above. If we have irrevocably elected net share settlement upon conversion, the cash you receive on conversion of a note will be an amount at least equal to the principal amount to be converted or, if less, the conversion value.</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purposes of the foregoing, if holders of our common stock have the right to elect the form of consideration received in any such reclassification, consolidation, merger, combination, sale or conveyance, then the type and amount of consideration that a holder of our common stock would have been entitled to in the applicable transaction will be deemed to be the weighted average of the types and amounts of consideration received by the holders of our common stock upon the occurrence of such event.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Adjustment to Conversion Rate Upon a Make-Whole Change in Control</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If a change in control (as defined in "Description of Notes—Repurchase at the Option of the Holder Upon a Change in Control or Termination of Trading" and determined after giving effect to any exceptions or exclusions to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second bullet of the definition thereof, a "make-whole change in control") occurs and a holder elects to convert its notes in connection with such make-whole change in control, we will, under certain circumstances, increase the conversion rate for the notes so surrendered for conversion by a number of additional shares of our common stock (the "make-whole shares"), as described below. A conversion of notes will be deemed for these purposes to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ind w:right="160"/>
        <w:spacing w:after="0" w:line="291" w:lineRule="auto"/>
        <w:rPr>
          <w:sz w:val="20"/>
          <w:szCs w:val="20"/>
          <w:color w:val="auto"/>
        </w:rPr>
      </w:pPr>
      <w:r>
        <w:rPr>
          <w:rFonts w:ascii="Arial" w:cs="Arial" w:eastAsia="Arial" w:hAnsi="Arial"/>
          <w:sz w:val="16"/>
          <w:szCs w:val="16"/>
          <w:color w:val="auto"/>
        </w:rPr>
        <w:t>"in connection with" such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proviso in the second bullet of the definition thereof, the 35th trading day immediately following the effective date of such make-whole change in control). Upon surrender of notes for conversion in connection with a make-whole change in control, we will have the right to deliver, in lieu of shares of our common stock, including the make-whole shares, cash or a combination of cash and shares of our common stock as described under "—Conversion Rights—Settlement Upon Conversion."</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we will mail to the trustee and to all holders of notes at their addresses shown in the register of the registrar, and to beneficial owners as required by applicable law, a notice indicating that a make-whole change in control has occurred.</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number of make-whole shares will be determined by reference to the table below and is based on the date on which such make-whole change in control becomes effective (the "effective date") and the price paid per share of our common stock in the make-whole change in control (in the case of a make-whole change in control described in the second bullet of the definition of change in control in 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(the "stock price").</w:t>
      </w:r>
    </w:p>
    <w:p>
      <w:pPr>
        <w:spacing w:after="0" w:line="170"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stock prices set forth in the first column of the tables below will be adjusted as of any date on which the conversion rate of the notes is adjusted. The adjusted stock prices will equal the stock prices immediately prior to such adjustment multiplied by a fraction, the numerator of which is the conversion rate immediately prior to the adjustment giving rise to the stock price adjustment and the denominator of which is the conversion rate as so adjusted. In addition, the number of make-whole shares will be subject to adjustment in the same manner as the conversion rate as set forth above under "Adjustment To Conversion Rate —General."</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stock price and number of make-whole shares of our common stock to be added to the conversion rate per $1,000 principal amount of the notes: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05"/>
        </w:trPr>
        <w:tc>
          <w:tcPr>
            <w:tcW w:w="4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241"/>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May ,</w:t>
            </w:r>
          </w:p>
        </w:tc>
        <w:tc>
          <w:tcPr>
            <w:tcW w:w="1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c>
          <w:tcPr>
            <w:tcW w:w="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r>
      <w:tr>
        <w:trPr>
          <w:trHeight w:val="17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Stock Price</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8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8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2014</w:t>
            </w:r>
          </w:p>
        </w:tc>
      </w:tr>
      <w:tr>
        <w:trPr>
          <w:trHeight w:val="105"/>
        </w:trPr>
        <w:tc>
          <w:tcPr>
            <w:tcW w:w="4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-357505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-357505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239" w:lineRule="exact"/>
        <w:rPr>
          <w:sz w:val="20"/>
          <w:szCs w:val="20"/>
          <w:color w:val="auto"/>
        </w:rPr>
      </w:pPr>
    </w:p>
    <w:p>
      <w:pPr>
        <w:ind w:left="1080" w:right="1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 shares set forth for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ind w:left="1080"/>
        <w:spacing w:after="0"/>
        <w:rPr>
          <w:sz w:val="20"/>
          <w:szCs w:val="20"/>
          <w:color w:val="auto"/>
        </w:rPr>
      </w:pPr>
      <w:r>
        <w:rPr>
          <w:rFonts w:ascii="Arial" w:cs="Arial" w:eastAsia="Arial" w:hAnsi="Arial"/>
          <w:sz w:val="18"/>
          <w:szCs w:val="18"/>
          <w:color w:val="auto"/>
        </w:rPr>
        <w:t>the higher and lower stock prices and/or the earlier and later effective dates, as applicable, based on a 365-day year;</w:t>
      </w:r>
    </w:p>
    <w:p>
      <w:pPr>
        <w:spacing w:after="0" w:line="239" w:lineRule="exact"/>
        <w:rPr>
          <w:sz w:val="20"/>
          <w:szCs w:val="20"/>
          <w:color w:val="auto"/>
        </w:rPr>
      </w:pPr>
    </w:p>
    <w:p>
      <w:pPr>
        <w:ind w:left="1080" w:right="1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stock price is in excess of $ per share of common stock (subject to adjustment in the same manner as the stock prices set forth in the table above), no make-whole shares will be issued upon conversion of the notes;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stock price is less than $ per share of common stock (subject to adjustment in the same manner as the stock prices set forth in the table above), no make-whole shares will be issued upon conversion of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anything in this section "Adjustment to Conversion Rate Upon a Make-Whole Change in Control" to the contrary, the conversion rate of the</w:t>
      </w:r>
    </w:p>
    <w:p>
      <w:pPr>
        <w:spacing w:after="0" w:line="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notes shall not exceed per $1,000 principal amount of notes, subject to adjustment in the same manner as the conversion rate as set forth above under "Adjustment to Conversion Rate—General."</w:t>
      </w:r>
    </w:p>
    <w:p>
      <w:pPr>
        <w:spacing w:after="0" w:line="19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obligation to deliver the make-whole shares could be considered a penalty, in which case the enforceability of our obligation to deliver make-whole shares would be subject to general principles of reasonableness of economic remedies.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No sinking fund is provided for the notes. We may not redeem the notes prior to June 6, 2011. On or after June 6, 2011, we may redeem for cash all or part of the notes if the last reported sale price of our common stock has been at least 130% of the conversion price then in effect for at least 20 trading days during any 30 consecutive trading day period ending within five trading days prior to the date on which we provide notice of redemption. The redemption price will equal 100% of the principal amount of the notes being redeemed, plus accrued and unpaid interest to, but excluding, the redemption date.</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give notice of redemption not less than 30 nor more than 60 days before the redemption date by mail to the trustee, the paying agent and each holder of notes. If notes are redeemed on a date that is after a record date for an interest payment and prior to the corresponding interest payment date, we will pay accrued and unpaid interest to the same person to whom we pay the principal of the notes being redeemed rather than to the holder of record on the record date. If notes are redeemed on any interest payment date, accrued and unpaid interest will be payable to holders of record on the relevant record date.</w:t>
      </w:r>
    </w:p>
    <w:p>
      <w:pPr>
        <w:spacing w:after="0" w:line="167"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If we decide to redeem fewer than all of the outstanding notes, the trustee will select the notes to be redeemed (in principal amounts of $1,000 or integral multiples thereof) by lot, or on a pro rata basis or by another method the trustee considers fair and appropriate. If the trustee selects a portion of your notes for partial redemption and you convert a portion of your notes, the converted portion will be deemed to be from the portion selected for redemption.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the event of any redemption in part, we shall not be required to (i) issue, register the transfer of or exchange any notes during a period beginning at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the Holder Upon a Change in Control or Termination of Trading</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event of any change in control or a termination of trading, each holder will have the right, at the holder's option, subject to the terms and conditions of the indenture, to require us to repurchase for cash all or any portion of the holder's notes in integral multiples of $1,000 principal amount at a price (the "repurchase price") equal to 100% of the principal amount of the notes to be repurchased, plus accrued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line="254" w:lineRule="auto"/>
        <w:rPr>
          <w:sz w:val="20"/>
          <w:szCs w:val="20"/>
          <w:color w:val="auto"/>
        </w:rPr>
      </w:pPr>
      <w:r>
        <w:rPr>
          <w:rFonts w:ascii="Arial" w:cs="Arial" w:eastAsia="Arial" w:hAnsi="Arial"/>
          <w:sz w:val="18"/>
          <w:szCs w:val="18"/>
          <w:color w:val="auto"/>
        </w:rPr>
        <w:t>and unpaid interest to, but excluding, the repurchase date (as defined below), unless the repurchase date is after a regular record date and on or prior to the interest payment date to which it relates, in which case interest accrued to the interest payment date will be paid to holders of the notes as of the preceding record date, and the price we are required to pay in respect of any notes subject to repurchase upon a change in control or a termination of trading will be equal to the principal amount of notes subject to repurchase. Upon a valid exercise of such an option, we will be required to repurchase the notes on a date of our choosing (such date, the "repurchase date") that is not less than 20 or more than 35 days after the date on which we notify holders of the occurrence of such change in control or termination of trading.</w:t>
      </w:r>
    </w:p>
    <w:p>
      <w:pPr>
        <w:spacing w:after="0" w:line="19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or before the 15th day after the occurrence of a change in control or termination of trading, we will mail to the trustee and to all holders of notes at their addresses shown in the register of the registrar, and to beneficial owners as required by applicable law, a notice regarding the change in control or termination of trading, as applicable, which notice shall state, among other things, as applicable:</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conversion rate and any adjustments to the conversion rate;</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only if the repurchase notice has been withdrawn in accordance with the terms of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procedures that holders must follow to exercise these rights.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To exercise this right, the holder must deliver a written notice to the paying agent prior to the close of business on the business day immediately preceding the repurchase date. The required repurchase notice upon a change in control or termination of trading shall state:</w:t>
      </w:r>
    </w:p>
    <w:p>
      <w:pPr>
        <w:spacing w:after="0" w:line="199" w:lineRule="exact"/>
        <w:rPr>
          <w:sz w:val="20"/>
          <w:szCs w:val="20"/>
          <w:color w:val="auto"/>
        </w:rPr>
      </w:pPr>
    </w:p>
    <w:p>
      <w:pPr>
        <w:ind w:left="1080" w:right="4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a holder's notes are not certificated, such holder's notice must comply with appropriate DTC procedures);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portion must be $1,000 or an integral multiple of $1,000;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we are to repurchase such notes pursuant to the applicable provisions of the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holder may withdraw any repurchase notice by delivering to the paying agent a written notice of withdrawal prior to the close of business on the business day immediately preceding the repurchase date. The notice of withdrawal shall state:</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certificate numbers of the notes being withdrawn (or, if a holder's notes are not certificated, such holder's notice must comply with appropriate DTC procedures);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ind w:right="260" w:firstLine="351"/>
        <w:spacing w:after="0" w:line="259" w:lineRule="auto"/>
        <w:rPr>
          <w:sz w:val="20"/>
          <w:szCs w:val="20"/>
          <w:color w:val="auto"/>
        </w:rPr>
      </w:pPr>
      <w:r>
        <w:rPr>
          <w:rFonts w:ascii="Arial" w:cs="Arial" w:eastAsia="Arial" w:hAnsi="Arial"/>
          <w:sz w:val="18"/>
          <w:szCs w:val="18"/>
          <w:color w:val="auto"/>
        </w:rPr>
        <w:t>Our obligation to pay the repurchase price for a note for which a repurchase notice has been delivered and not validly withdrawn is conditioned upon delivery of the note, together with all necessary endorsements and compliance by the holder with all DTC procedures, as applicable, to the paying agent at any time after the delivery of such repurchase notice.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 of the repurchase price for such note will be made on the later of the repurchase date or the time of delivery of such note.</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the paying agent holds money sufficient to pay the repurchase price of the note on the repurchase date in accordance with the terms of the indenture, then, immediately on and after the repurchase date, interest on such note will cease to accrue, whether or not the note is delivered to the paying agent, and all other rights of the holder shall terminate, other than the right to receive the repurchase price upon delivery of the note.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control" means the following events:</w:t>
      </w:r>
    </w:p>
    <w:p>
      <w:pPr>
        <w:spacing w:after="0" w:line="239" w:lineRule="exact"/>
        <w:rPr>
          <w:sz w:val="20"/>
          <w:szCs w:val="20"/>
          <w:color w:val="auto"/>
        </w:rPr>
      </w:pPr>
    </w:p>
    <w:p>
      <w:pPr>
        <w:ind w:left="1080" w:right="280" w:hanging="532"/>
        <w:spacing w:after="0" w:line="283"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person or group, other than Micron, its subsidiaries or any employee benefit plan of Micron or its subsidiaries, files a Schedule 13D or Schedule TO (or any successor schedule, form or report) pursuant to the Securities Exchange Act of 1934, as amended (the "Exchange Act"), disclosing that such person has become the beneficial owner of shares with a majority of the total voting power of all of our outstanding voting securities that are entitled to vote generally in the election of our board of directors ("voting securities"), unless such beneficial ownership</w:t>
      </w:r>
    </w:p>
    <w:p>
      <w:pPr>
        <w:spacing w:after="0" w:line="2" w:lineRule="exact"/>
        <w:rPr>
          <w:rFonts w:ascii="Arial" w:cs="Arial" w:eastAsia="Arial" w:hAnsi="Arial"/>
          <w:sz w:val="16"/>
          <w:szCs w:val="16"/>
          <w:color w:val="auto"/>
        </w:rPr>
      </w:pPr>
    </w:p>
    <w:p>
      <w:pPr>
        <w:ind w:left="1080" w:right="180"/>
        <w:spacing w:after="0" w:line="361" w:lineRule="auto"/>
        <w:rPr>
          <w:rFonts w:ascii="Arial" w:cs="Arial" w:eastAsia="Arial" w:hAnsi="Arial"/>
          <w:sz w:val="16"/>
          <w:szCs w:val="16"/>
          <w:color w:val="auto"/>
        </w:rPr>
      </w:pPr>
      <w:r>
        <w:rPr>
          <w:rFonts w:ascii="Arial" w:cs="Arial" w:eastAsia="Arial" w:hAnsi="Arial"/>
          <w:sz w:val="15"/>
          <w:szCs w:val="15"/>
          <w:color w:val="auto"/>
        </w:rPr>
        <w:t>(i)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w:t>
      </w:r>
    </w:p>
    <w:p>
      <w:pPr>
        <w:spacing w:after="0" w:line="150"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Micron consolidates with or merges with or into another person (other than a subsidiary of Micron) and the outstanding voting securities of Micron are reclassified into, converted for or converted into the right to receive any property or security, or Micron sells, conveys, transfers or leases all or substantially all of its properties and assets to any person (other than a subsidiary of Micron);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these circumstances will be a change in control if persons that beneficially own the voting securities of Micron immediately prior to the transaction own, directly or indirectly, a majority of the voting securities of the surviving or transferee person immediately after the transaction; or</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common stockholders approve any plan or proposal for our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defining a change in control:</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term "person" and the term "group" have the meanings given by Section 13(d) and 14(d) of the Exchange Act or any successor provisions;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"group" includes any group acting for the purpose of acquiring, holding or disposing of securities within the meaning of Rule 13d-5(b)(1) under the Exchange Act or any successor provision; and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"beneficial owner"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Notwithstanding the foregoing, it will not constitute a change in control if at least 90% of the consideration for our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right="300"/>
        <w:spacing w:after="0" w:line="332" w:lineRule="auto"/>
        <w:rPr>
          <w:sz w:val="20"/>
          <w:szCs w:val="20"/>
          <w:color w:val="auto"/>
        </w:rPr>
      </w:pPr>
      <w:r>
        <w:rPr>
          <w:rFonts w:ascii="Arial" w:cs="Arial" w:eastAsia="Arial" w:hAnsi="Arial"/>
          <w:sz w:val="16"/>
          <w:szCs w:val="16"/>
          <w:color w:val="auto"/>
        </w:rPr>
        <w:t>transaction or transactions the notes become convertible solely into the consideration that holders of our common stock receive in such transaction, other than solely cash in lieu of any fractional shares, subject to the provisions set forth above under "—Settlement Upon Conversion."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any repurchase offer in the event of a change in control, to the extent required by applicable law, we will:</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which may then be applicable; and</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as necessary under the indenture to effect a repurchase of notes by us at the option of a holder.</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"termination of trading" will be deemed to have occurred if our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notes may be repurchased by us at the option of the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such date.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Change in control repurchase rights could discourage a potential acquirer. However, this change in control repurchase feature is not the result of management's knowledge of any specific effort to obtain control of us by means of a merger, tender offer or solicitation, or part of a plan by management to adopt a series of anti-takeover provisions. The term "change in control" is limited to specified transactions and may not include other events that might adversely affect our financial condition or business operations. For example, we could, in the future, enter into certain transactions, including certain recapitalizations, that would not constitute a change in control with respect to the change in control repurchase feature of the notes, but that would increase the amount of our outstanding indebtedness or the outstanding indebtedness of our subsidiaries. Our obligation to repurchase the notes upon a change in control would not necessarily afford holders protection in the event of a highly leveraged transaction, reorganization, merger or similar transaction involving us.</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may be unable to repurchase the notes in the event of a change in control or a termination of trading. If a change in control or a termination of trading were to occur, we may not have enough funds to pay the repurchase price for all notes to be repurchased. Future credit agreements or other agreements relating to our indebtedness may contain provisions prohibiting repurchase of the notes under some circumstances, or expressly prohibit our repurchase of the notes upon a change in control or a termination of trading or may provide that a change in control or a termination of trading constitutes an event of default under that agreement. If a change in control or a termination of trading occurs at a time when we are prohibited from repurchasing notes, we could seek the consent of our lenders to repurchase the notes or attempt to refinance this debt. If we do not obtain consent, we would not be permitted to repurchase the notes. Our failure to repurchase notes submitted for repurchase would constitute an event of default under the indenture, which might constitute a default under the terms of our other indebtedness. Also, if a default occurs under our existing credit facilities, we may be unable to make the cash payments due upon a conversion.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Events of Default and Acceleration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 for the notes:</w:t>
      </w:r>
    </w:p>
    <w:p>
      <w:pPr>
        <w:spacing w:after="0" w:line="239" w:lineRule="exact"/>
        <w:rPr>
          <w:sz w:val="20"/>
          <w:szCs w:val="20"/>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payment of the principal amount or repurchase price with respect to any note when such becomes due and payable, whether at its stated maturity, upon optional redemption, upon required purchase, upon declaration or otherwise;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payment of any interest due on any note, which default continues for 30 days;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issue notice of a termination of trading, a change in control or a make-whole change in control that does not constitute a change in control as required under the indenture, which failure continues for a period of three business days;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issue notice of any event described under "—Conversion Rights—Conversion Upon Occurrence of Specified Corporate Events" as required under the indenture, which failure continues for a period of three business days;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comply with our obligation to convert the notes into common stock, cash or a combination of cash and common stock, as applicable, upon exercise of a holder's conversion right;</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comply with any of our other agreements in the notes or the indenture, and our failure to cure (or obtain a waiver of) such default within 60 days after we receive notice of such default by the trustee or by holders of not less than 25% in aggregate principal amount of notes then outstanding;</w:t>
      </w:r>
    </w:p>
    <w:p>
      <w:pPr>
        <w:spacing w:after="0" w:line="207"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our failure to make any payment at maturity (after giving effect to any applicable grace period) of indebtedness, which term as used in the indenture means obligations (other than non-recourse obligations) of Micron for borrowed money or evidenced by bonds, notes or similar instruments ("indebtedness"), in a principal amount in excess of $100 million and continuance of such failure, or (ii) the acceleration of indebtedness of Micron in an amount in excess of $100 million because of a default with respect to such indebtedness without such indebtedness having been discharged or such acceleration having been cured, waived, rescinded or annulled within a period of 30 days after written notice to us by the trustee or to us and the trustee by the holders of not less than 25% in aggregate principal amount of notes then outstanding (provided, however, that if any such failure or acceleration referred to in (i) or (ii) above shall cease or be cured, waived, rescinded or annulled, then the event of default by reason thereof shall be deemed not to have occurred); or</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an event of default shall have happened and be continuing, either the trustee or the holders of not less than 25% in aggregate principal amount of notes then outstanding may declare the principal amount of the notes, and any accrued and unpaid interest through the date of such declaration, to be immediately due and payable. In the case of certain events of bankruptcy or insolvency, the principal amount of the notes and any unpaid interest accrued thereon through the occurrence of such event, shall automatically become and be immediately due and payable.</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Notwithstanding the foregoing, the indenture will provide that we may, at our option, elect that the sole remedy for an event of default relating to our failure to comply with our obligations described under "—Reports" below or our failure to comply with the requirements of Section 314(a)(1) of the Trust Indenture Act will for the first 180 days after the occurrence of such an event of default consist exclusively of the right to receive an extension fee on the notes in an amount equal to 0.5% of the principal amount of the notes. We shall pay the extension fee on all outstanding notes on the date on which such event of default first occurs. On the 181st day after such event of default (if the event of default relating to the reporting obligations is not cured or waived prior to such 181st day), the notes will be subject to acceleration as provided above. The provisions of the indenture described in this paragraph will not affect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right="80"/>
        <w:spacing w:after="0" w:line="268" w:lineRule="auto"/>
        <w:rPr>
          <w:sz w:val="20"/>
          <w:szCs w:val="20"/>
          <w:color w:val="auto"/>
        </w:rPr>
      </w:pPr>
      <w:r>
        <w:rPr>
          <w:rFonts w:ascii="Arial" w:cs="Arial" w:eastAsia="Arial" w:hAnsi="Arial"/>
          <w:sz w:val="18"/>
          <w:szCs w:val="18"/>
          <w:color w:val="auto"/>
        </w:rPr>
        <w:t>the rights of holders of notes if any other event of default occurs under the Indenture. If we do not pay the extension fee on a timely basis in accordance with this paragraph, the notes will be subject to acceleration as provided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Sales of Assets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indenture provides that we may consolidate with or merge into any person or convey, transfer or lease our properties and assets substantially as an entirety to another person (other than a subsidiary of Micron); provided that:</w:t>
      </w:r>
    </w:p>
    <w:p>
      <w:pPr>
        <w:spacing w:after="0" w:line="199" w:lineRule="exact"/>
        <w:rPr>
          <w:sz w:val="20"/>
          <w:szCs w:val="20"/>
          <w:color w:val="auto"/>
        </w:rPr>
      </w:pPr>
    </w:p>
    <w:p>
      <w:pPr>
        <w:ind w:left="1080" w:right="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Micron) is a corporation organized and existing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corporation (if other than Micron) assumes all our obligations under the notes and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Micron or such successor is not immediately thereafter in default under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conditions described in the indenture are met.</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Upon the assumption of our obligations by such person in such circumstances, subject to certain exceptions, we shall be discharged from all obligations under the notes and the indenture. Although such transactions are permitted under the indenture, certain of the foregoing transactions occurring could constitute a change in control, permitting each holder to require us to repurchase the notes of such holder as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and the trustee may enter into supplemental indentures that add, change or eliminate provisions of the indenture or modify the rights of the holders of the notes with the consent of the holders of at least a majority in principal amount of the notes then outstanding. However, without the consent of each holder affected thereby, no supplemental indenture may:</w:t>
      </w:r>
    </w:p>
    <w:p>
      <w:pPr>
        <w:spacing w:after="0" w:line="22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of, repurchase price with respect to or any premium or interest on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us to repurchase a note;</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provisions of the indenture described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Without the consent of any holder of notes, we and the trustee may enter into a supplemental indenture for any of the following purposes:</w:t>
      </w:r>
    </w:p>
    <w:p>
      <w:pPr>
        <w:spacing w:after="0" w:line="239" w:lineRule="exact"/>
        <w:rPr>
          <w:sz w:val="20"/>
          <w:szCs w:val="20"/>
          <w:color w:val="auto"/>
        </w:rPr>
      </w:pPr>
    </w:p>
    <w:p>
      <w:pPr>
        <w:ind w:left="1080" w:right="5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or the notes or to conform the indenture to the description of notes contained in this prospectus;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 successor to us and the assumption by that successor of our obligations under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2" w:name="page53"/>
    <w:bookmarkEnd w:id="52"/>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secure our obligations in respect of the notes and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conferred upon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changes to comply with the Trust Indenture Act, or any amendment thereto;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jc w:val="both"/>
        <w:ind w:right="200" w:firstLine="348"/>
        <w:spacing w:after="0" w:line="256" w:lineRule="auto"/>
        <w:rPr>
          <w:sz w:val="20"/>
          <w:szCs w:val="20"/>
          <w:color w:val="auto"/>
        </w:rPr>
      </w:pPr>
      <w:r>
        <w:rPr>
          <w:rFonts w:ascii="Arial" w:cs="Arial" w:eastAsia="Arial" w:hAnsi="Arial"/>
          <w:sz w:val="18"/>
          <w:szCs w:val="18"/>
          <w:color w:val="auto"/>
        </w:rPr>
        <w:t>The holders of a majority in principal amount of the outstanding notes may, on behalf of the holders of such notes waive any existing or past default under the indenture and its consequences, except an uncured default (a) in the payment of the principal amount, accrued and unpaid interest or repurchase price (b) in the payment or delivery of the consideration due upon conversion of the notes or (c) in respect of any provision that under the indenture cannot be modified or amended without the consent of the holder of each outstanding note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notes or by depositing with the trustee, the paying agent or the conversion agent, if applicable after the notes have become due and payable, whether at the stated maturity for the notes, or a repurchase date, or upon conversion or otherwise, cash or cash and shares of common stock, solely to satisfy outstanding conversions, if applicable, pursuant to the terms of the indenture sufficient to pay all of the outstanding notes, and paying all other sums payable under the indenture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responsible for making all calculations called for under the notes. These calculations include, but are not limited to, conversion value, the conversion date, the volume weighted average price, the cash settlement averaging period, the trading prices of the notes, the closing price, the conversion price, the conversion rate and the number of shares of common stock, if any, to be issued upon conversion of the notes. We will make all these calculations using commercially reasonable means and, absent manifest error, our calculations will be final and binding on holders of notes. We will provide a schedule of our calculations to the trustee, and the trustee is entitled to rely upon the accuracy of our calculations without independent verification.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provides that any reports or documents that we are required to file with the SEC pursuant to Section 13 or 15(d) of the Exchange Act will be filed with the trustee within 15 days after the same is required to be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Wells Fargo Bank, National Association will be the initial trustee, registrar, paying agent and conversion agent under the indenture. We may maintain deposit accounts and conduct other banking transactions with the trustee in the normal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are governed by, and construed in accordance with, the law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Global Notes; Book-Entry; Form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initially issue the notes in the form of global securities. The global securities will be deposited with the trustee as custodian for DTC and registered in the name of a nominee of DTC. Except as set forth below, each global security may be transferred, in whole and not in part, only to DTC or another nominee of DTC. A holder will hold its beneficial interests in the global securities directly through DTC if such holder has an account with DTC or indirectly through organizations that have accounts with DTC. Notes in definitive certificated form (called "certificated securities") will be issued only in limited circumstances described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DTC was created to hold securities of institutions that have accounts with DTC (called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(called, the "indirect participants") that clear through or maintain a custodial relationship with a participant, whether directly or indirectly.</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expect that pursuant to procedures established by DTC upon the deposit of the global securities with DTC, DTC will credit, on its book-entry registration and transfer system, the principal amount of notes represented by such global securities to the accounts of participants. The accounts to be credited shall be designated by the underwriters. Ownership of beneficial interests in the global securities will be limited to participants or persons that may hold interests through participants. Ownership of beneficial interests in the global securities will be shown on, and the transfer of those beneficial interests will be effected only through, records maintained by DTC (with respect to participants' interests), the participants and the indirect participants.</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These limits and laws may impair the ability to transfer or pledge beneficial interests in the global securities.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Owners of beneficial interests in global securities who desire to convert their interests into cash or cash and shares of common stock should contact their brokers or other participants or indirect participants through whom they hold such beneficial interests to obtain information on procedures, including proper forms and cut-off times, for submitting requests for conversion. So long as DTC, or its nominee, is the registered owner or holder of a global security, DTC or its nominee, as the case may be, will be considered the sole owner or holder of the notes represented by the applicable global security for all purposes under the indenture and the notes, as applicable. In addition, no owner of a beneficial interest in a global security will be able to transfer that interest except in accordance with the applicable procedures of DTC.</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Except as set forth below, as an owner of a beneficial interest in a global security, holders will not be entitled to have the notes represented by a global security registered in its name, will not receive or be entitled to receive physical delivery of certificated securities and will not be considered to be the owner or holder of any notes under a global security. We understand that under existing industry practice, if an owner of a beneficial interest in a global security desires to take action that DTC, as the holder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180"/>
        <w:spacing w:after="0" w:line="332" w:lineRule="auto"/>
        <w:rPr>
          <w:sz w:val="20"/>
          <w:szCs w:val="20"/>
          <w:color w:val="auto"/>
        </w:rPr>
      </w:pPr>
      <w:r>
        <w:rPr>
          <w:rFonts w:ascii="Arial" w:cs="Arial" w:eastAsia="Arial" w:hAnsi="Arial"/>
          <w:sz w:val="16"/>
          <w:szCs w:val="16"/>
          <w:color w:val="auto"/>
        </w:rPr>
        <w:t>global securities, is entitled to take, DTC would authorize the participants to take such action. Additionally, in such case, the participants would authorize beneficial owners owning through such participants to take such action or would otherwise act upon the instructions of beneficial owners owning through them.</w:t>
      </w:r>
    </w:p>
    <w:p>
      <w:pPr>
        <w:spacing w:after="0" w:line="139"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securities registered in the name of and held by DTC or its nominee to DTC or its nominee, as the case may be, as the registered owner and holder of the global securities. Neither we, the trustee nor any paying agent will have any responsibility or liability for any aspect of the records relating to or payments made on account of beneficial interests in the global securities or for maintaining, supervising or reviewing any records relating to such beneficial interests.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of a global security, will credit participants' accounts with payments in amounts proportionate to their respective beneficial interests in the principal amount of the global securities as shown on the records of DTC or its nominee. We also expect that payments by participants or indirect participants to owners of beneficial interests in a global security held through such participants or indirect participants will be governed by standing instructions and customary practices and will be the responsibility of such participants or indirect participants. We will not have any responsibility or liability for any aspect of the records relating to, or payments made on account of, beneficial interests in the global securities for any note or for maintaining, supervising or reviewing any records relating to such beneficial interests or for any other aspect of the relationship between DTC and its participants or indirect participants or the relationship between such participants or indirect participants and the owners of beneficial interests in the global securities owning through such participants.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Transfers between participants in DTC will be effected in the ordinary way in accordance with DTC rules and will be settled in same-day funds.</w:t>
      </w:r>
    </w:p>
    <w:p>
      <w:pPr>
        <w:spacing w:after="0" w:line="24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the DTC interests in the applicable global security is credited and only in respect of such portion of the aggregate principal amount of notes as to which such participant or participants has or have given such direction. However, if DTC notifies us that it is unwilling to be a depositary for the global securities or ceases to be a clearing agency and we do not appoint a successor depositary or clearing agency within 90 days after receiving notice from DTC or becoming aware that DTC is no longer a clearing agency or there is an event of default under the notes, DTC will exchange the global securities for certificated securities which it will distribute to its participants. Although DTC is expected to follow the foregoing procedures in order to facilitate transfers of interests in the global securities among participants of DTC, it is under no obligation to perform or continue to perform such procedures, and such procedures may be discontinued at any time. Neither we nor the trustee will have any responsibility or liability for the performance by DTC or the participants or indirect participants of their respective obligations under the rules and procedures governing their respective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authorized capital stock consists of 3,000,000,000 shares of common stock, $0.10 par value. As of May 15, 2007, there were approximately 756 million shares of common stock issued and outstanding. The following summary is qualified in its entirety by reference to our certificate of incorporation and bylaws.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have issued warrants to purchase 29.1 million shares of our common stock. The warrants entitle the holders to exercise their warrants and purchase shares of our common stock for $56.00 per share (the "Exercise Price") at any time through June 15, 2008 (the "Expiration Date"). The Exercise Price is subject to adjustments in certain events. Warrants exercised prior to the Expiration Date will be settled on a "net share" basis, wherein investors received common stock equal to the difference between $56.00 and the average closing sale price for the shares of common stock over the 30 trading days immediately preceding the Exercise Date. At expiration, the Company may elect to settle the warrants on a net share basis or for cash, provided certain conditions are satisfied. As of May 16, 2007, there have been no exercises of warrants and all warrants issued remain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right="160" w:firstLine="359"/>
        <w:spacing w:after="0" w:line="268" w:lineRule="auto"/>
        <w:tabs>
          <w:tab w:leader="none" w:pos="6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5" w:lineRule="exact"/>
        <w:rPr>
          <w:rFonts w:ascii="Arial" w:cs="Arial" w:eastAsia="Arial" w:hAnsi="Arial"/>
          <w:sz w:val="18"/>
          <w:szCs w:val="18"/>
          <w:color w:val="auto"/>
        </w:rPr>
      </w:pPr>
    </w:p>
    <w:p>
      <w:pPr>
        <w:ind w:right="60" w:firstLine="359"/>
        <w:spacing w:after="0" w:line="298" w:lineRule="auto"/>
        <w:tabs>
          <w:tab w:leader="none" w:pos="6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66" w:lineRule="exact"/>
        <w:rPr>
          <w:rFonts w:ascii="Arial" w:cs="Arial" w:eastAsia="Arial" w:hAnsi="Arial"/>
          <w:sz w:val="16"/>
          <w:szCs w:val="16"/>
          <w:color w:val="auto"/>
        </w:rPr>
      </w:pPr>
    </w:p>
    <w:p>
      <w:pPr>
        <w:ind w:right="220" w:firstLine="359"/>
        <w:spacing w:after="0" w:line="370" w:lineRule="auto"/>
        <w:tabs>
          <w:tab w:leader="none" w:pos="688" w:val="left"/>
        </w:tabs>
        <w:numPr>
          <w:ilvl w:val="0"/>
          <w:numId w:val="43"/>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right="160" w:firstLine="359"/>
        <w:spacing w:after="0" w:line="268"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5" w:lineRule="exact"/>
        <w:rPr>
          <w:rFonts w:ascii="Arial" w:cs="Arial" w:eastAsia="Arial" w:hAnsi="Arial"/>
          <w:sz w:val="18"/>
          <w:szCs w:val="18"/>
          <w:color w:val="auto"/>
        </w:rPr>
      </w:pPr>
    </w:p>
    <w:p>
      <w:pPr>
        <w:ind w:right="200" w:firstLine="359"/>
        <w:spacing w:after="0" w:line="268"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CAPPED CALL TRANSACTIONS</w:t>
      </w:r>
    </w:p>
    <w:p>
      <w:pPr>
        <w:spacing w:after="0" w:line="231"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connection with this offering of notes, we plan to enter into one or more capped call transactions with one or more counterparties, which may include some of the underwriters and/or their affiliates (the "counterparties"). We expect that the capped call transactions will cover, subject to anti-dilutive adjustments,</w:t>
      </w:r>
    </w:p>
    <w:p>
      <w:pPr>
        <w:spacing w:after="0"/>
        <w:tabs>
          <w:tab w:leader="none" w:pos="210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our common stock.</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capped call transactions are separate transactions entered into by us and the counterparties, are not part of the terms of the notes and will not affect the holders' rights under the notes. As a holder of the notes, you will not have any rights with respect to the capped call transactions.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capped call transactions are expected to reduce the potential dilution upon conversion of the notes in the event that the market value per share of our common stock, as measured under the terms of the capped call transactions, at the time of exercise is greater than the strike price of the capped call transactions, which correspond to the initial conversion price of the notes and are subject to certain anti-dilutive adjustments. If, however, the market value per share of our common stock exceeds the cap price of the capped transactions, as measured under the terms of the capped call transactions, the dilution mitigation under the capped call transactions will be limited, which means that there would be dilution to the extent that the then market value per share of our common stock exceeds the cap price of the capped call transactions. The capped call transactions are expected to be in three tranches with cap prices ranging from approximately 50% to 100% higher than the closing price of our common stock on the date hereof, and are subject to certain anti-dilutive adjustments.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establishing its initial hedge of these capped call transactions, we expect that the counterparties described (and/or their affiliates) above:</w:t>
      </w:r>
    </w:p>
    <w:p>
      <w:pPr>
        <w:spacing w:after="0" w:line="262" w:lineRule="exact"/>
        <w:rPr>
          <w:sz w:val="20"/>
          <w:szCs w:val="20"/>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w:t>
      </w:r>
    </w:p>
    <w:p>
      <w:pPr>
        <w:spacing w:after="0" w:line="19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agree to indemnify the option counterparty, or its affiliates, for losses incurred in connection with a potential unwinding of their hedge positions under certain circumstances, and in certain other limited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This section is a discussion of the material U.S. federal income tax considerations relating to the purchase, ownership and disposition of the notes and the common stock into which the notes may be converted. This summary does not provide a complete analysis of all potential tax considerations. The information provided below is based on existing U.S. federal income tax authorities, all of which are subject to change or differing interpretations, possibly with retroactive effect. There can be no assurances that the Internal Revenue Service (the "IRS") will not challenge one or more of the tax consequences described herein, and we have not obtained, nor do we intend to obtain, a ruling from the IRS with respect to the U.S. federal income tax consequences of purchasing, owning or disposing of the notes or common stock. The summary generally applies only to beneficial owners of the notes that purchase their notes in this offering for an amount equal to the issue price of the notes, which is the first price at which a substantial amount of the notes is sold for money to the public (not including sales to bond houses, brokers or similar persons or organizations acting in the capacity of underwriters, placement agents or wholesalers), and that hold the notes and common stock as "capital assets"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be wholly applicable to all categories of investors, some of which may be subject to special rules (such as dealers in securities or currencies, traders in securities that elect to use a mark-to-market method of accounting, banks, thrifts, regulated investment companies, real estate investment trusts, insurance companies, tax-exempt entities, tax-deferred or other retirement accounts, certain former citizens or residents of the United States, "controlled foreign corporations," "passive foreign investment companies," persons holding notes or common stock as part of a hedging or conversion transaction or a straddle, or persons deemed to sell notes or common stock under the constructive sale provisions of the Code). Finally, the summary does not describe the effect of the U.S. federal estate and gift tax laws or the effects of any applicable foreign, state or local laws.</w:t>
      </w:r>
    </w:p>
    <w:p>
      <w:pPr>
        <w:spacing w:after="0" w:line="17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AND THE CONSEQUENCES OF U.S. FEDERAL ESTATE OR GIFT TAX LAWS, FOREIGN, STATE AND LOCAL LAWS, AND TAX TREATIES.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As used herein, the term "U.S. holder" means a beneficial owner of the notes or the common stock into which the notes may be converted that, for U.S. federal income tax purposes is (1) an individual who is a citizen or resident of the United States, (2) a corporation, or an entity treated as a corporation for U.S. federal income tax purposes, created or organized in or under the laws of the United States or any state of the United States, including the District of Columbia, or</w:t>
      </w:r>
    </w:p>
    <w:p>
      <w:pPr>
        <w:spacing w:after="0" w:line="1" w:lineRule="exact"/>
        <w:rPr>
          <w:sz w:val="20"/>
          <w:szCs w:val="20"/>
          <w:color w:val="auto"/>
        </w:rPr>
      </w:pPr>
    </w:p>
    <w:p>
      <w:pPr>
        <w:jc w:val="both"/>
        <w:ind w:right="460" w:firstLine="8"/>
        <w:spacing w:after="0" w:line="255"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A trust is a U.S. holder if it (1) is subject to the primary supervision of a U.S. court and the control of one of more U.S. persons or (2) has a valid election in effect under applicable U.S. Treasury regulations to be treated as a U.S. person.</w:t>
      </w:r>
    </w:p>
    <w:p>
      <w:pPr>
        <w:spacing w:after="0" w:line="19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"non-U.S. holder" is a beneficial owner of the notes or the common stock into which the notes may be converted (other than a partnership or an entity or arrangement treated as a partnership for U.S. federal income tax purposes) that is not a U.S. holder.</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a partnership (including for this purpose any entity or arrangement, domestic or foreign, treated as a partnership for U.S. federal income tax purposes) is a beneficial owner of a note or common stock acquired upon conversion of a note, the tax treatment of a partner in the partnership will depend upon the status of the partner and the activities of the partnership. A beneficial owner of a note or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ind w:right="20"/>
        <w:spacing w:after="0" w:line="332" w:lineRule="auto"/>
        <w:rPr>
          <w:sz w:val="20"/>
          <w:szCs w:val="20"/>
          <w:color w:val="auto"/>
        </w:rPr>
      </w:pPr>
      <w:r>
        <w:rPr>
          <w:rFonts w:ascii="Arial" w:cs="Arial" w:eastAsia="Arial" w:hAnsi="Arial"/>
          <w:sz w:val="16"/>
          <w:szCs w:val="16"/>
          <w:color w:val="auto"/>
        </w:rPr>
        <w:t>acquired upon conversion of a note that is a partnership, and partners in such partnership, should consult their own tax advisors about the U.S. federal income tax consequences of purchasing, owning and disposing of the notes and the common stock into which the notes may be converted.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U.S. holders will be required to recognize as ordinary income any stated interest paid or accrued on the notes, in accordance with their regular method of tax accounting.</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In general, if the terms of a debt instrument entitle a holder to receive payments (other than fixed periodic interest) that exceed the issue price of the instrument by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holder will be required to include such excess in income as "original issue discount" over the term of the instrument, irrespective of the holder's regular method of tax accounting. We believe that the notes will not be issued with original issue discount for U.S. federal income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or Other Taxable Disposition of Notes</w:t>
      </w:r>
    </w:p>
    <w:p>
      <w:pPr>
        <w:spacing w:after="0" w:line="22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U.S. holder generally will recognize capital gain or loss if the holder disposes of a note in a sale, exchange, redemption or other taxable disposition (other than conversion of a note into cash and shares of our common stock, the U.S. federal income tax consequences of which are described under "—U.S. Holders— Conversion of Notes" below). The U.S. holder's gain or loss will equal the difference between the proceeds received by the holder (other than amounts attributable to accrued but unpaid interest) and the holder's tax basis in the note. The U.S. holder's tax basis in the note will generally equal the amount the holder paid for the note. The portion of any proceeds that is attributable to accrued interest will not be taken into account in computing the U.S. holder's capital gain or loss. Instead, that portion will be recognized as ordinary interest income to the extent that the U.S. holder has not previously included the accrued interest in income. The gain or loss recognized by the U.S. holder on the disposition of the note will be long-term capital gain or loss if the holder held the note for more than one year, or short-term capital gain or loss if the holder held the note for one year or less, at the time of the transaction. Long-term capital gains of non-corporate taxpayers currently are taxed at a maximum 15% federal rate. Short-term capital gains are taxed at ordinary income rates. The deductibility of capital losses is subject to limitations.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Notes</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U.S. holder generally will not recognize any income, gain or loss on the conversion of a note into common stock, except with respect to cash received in lieu of a fractional share of common stock and the fair market value of any common stock attributable to accrued and unpaid interest, subject to the discussion under "—U.S. Holders—Constructive Distributions" below regarding the possibility that the adjustment to the conversion rate of a note converted in connection with a fundamental change may be treated as a taxable stock dividend. The U.S. holder's aggregate tax basis in the common stock (including any fractional share for which cash is paid, but excluding shares attributable to accrued interest) will equal the U.S. holder's tax basis in the note. The U.S. holder's holding period in the common stock (other than shares attributable to accrued interest) will include the holding period in the note.</w:t>
      </w:r>
    </w:p>
    <w:p>
      <w:pPr>
        <w:spacing w:after="0" w:line="174"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Upon conversion of a note solely into cash, a U.S. holder generally will be subject to the rules described under "—U.S. Holders—Sale, Exchange, Redemption or Other Taxable Disposition of Notes" above.</w:t>
      </w:r>
    </w:p>
    <w:p>
      <w:pPr>
        <w:spacing w:after="0" w:line="186"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tax consequences of the conversion of a note into cash and shares of our common stock are not entirely clear. A U.S. holder may be treated as exchanging the note for our common stock and cash in a recapitalization for U.S. federal income tax purposes. In such case, the U.S. holder would not be permitted to recognize loss, but would be required to recognize capital gain. The amount of capital gain recognized by a U.S. holder would equal the lesser of (i) the excess (if any) of (A) the amount of cash received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0" w:name="page61"/>
    <w:bookmarkEnd w:id="60"/>
    <w:p>
      <w:pPr>
        <w:spacing w:after="0" w:line="285" w:lineRule="auto"/>
        <w:rPr>
          <w:sz w:val="20"/>
          <w:szCs w:val="20"/>
          <w:color w:val="auto"/>
        </w:rPr>
      </w:pPr>
      <w:r>
        <w:rPr>
          <w:rFonts w:ascii="Arial" w:cs="Arial" w:eastAsia="Arial" w:hAnsi="Arial"/>
          <w:sz w:val="16"/>
          <w:szCs w:val="16"/>
          <w:color w:val="auto"/>
        </w:rPr>
        <w:t>(excluding any cash received in lieu of a fractional share of our common stock and any cash received attributable to accrued and unpaid interest) plus the fair market value of our common stock received (treating a fractional share of our common stock as issued and received for this purpose and excluding any such common stock that is attributable to accrued and unpaid interest) upon conversion over (B) the U.S. holder's tax basis in the converted note, and (ii) the amount of cash received upon conversion (other than any cash received in lieu of a fractional share of our common stock and any cash received attributable to accrued and unpaid interest). Subject to the discussion under "—U.S. Holders—Constructive Distributions" below regarding the possibility that the adjustment to the conversion rate of a note converted in connection with a fundamental change may be treated as a taxable stock dividend, the gain recognized by a U.S. holder upon conversion of a note will be long-term capital gain if the holder held the note for more than one year, or short-term capital gain if the holder held the note for one year or less, at the time of the conversion. Long-term capital gains of non-corporate taxpayers currently are taxed at a maximum 15% federal rate. Short-term capital gains are taxed at ordinary income rates. The U.S. holder's tax basis in the common stock received (including any fractional share for which cash is paid, but excluding shares attributable to accrued and unpaid interest) generally would equal the tax basis of the converted note, decreased by the amount of cash received (other than cash in lieu of a fractional share of common stock and any cash attributable to accrued and unpaid interest), and increased by the amount of gain (if any) recognized upon conversion (other than any gain recognized as a result of cash received in lieu of a fractional share of common stock). The U.S. holder's holding period in the common stock (other than shares attributable to accrued and unpaid interest) would include the holding period in the converted note.</w:t>
      </w:r>
    </w:p>
    <w:p>
      <w:pPr>
        <w:spacing w:after="0" w:line="182"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Alternatively, the conversion of a note into cash and shares of our common stock may be treated as in part a payment in redemption for cash of a portion of the note and in part a conversion of a portion of the note into common stock. In such case, a U.S. holder's aggregate tax basis in the note would be allocated between the portion of the note treated as redeemed and the portion of the note treated as converted into common stock on a pro rata basis. The U.S. holder generally would recognize capital gain or loss with respect to the portion of the note treated as redeemed equal to the difference between the amount of cash received by the U.S. holder (other than amounts attributable to accrued and unpaid interest) and the U.S. holder's tax basis in the portion of the note treated as redeemed. See "—U.S. Holders—Sale, Exchange, Redemption or Other Taxable Disposition of Notes" above. With respect to the portion of the note treated as converted, a U.S. holder generally would not recognize any gain or loss (except with respect to cash received in lieu of a fractional share of common stock and common stock received attributable to accrued and unpaid interest), subject to the discussion under "—U.S. Holders—Constructive Distributions" below regarding the possibility that the adjustment to the conversion rate of a note converted in connection with a fundamental change may be treated as a taxable stock dividend. The tax basis allocated to the portion of the note treated as converted into common stock would be the U.S. holder's tax basis in the common stock (including any fractional share for which cash is paid, but excluding shares attributable to accrued interest). The U.S. holder's holding period in the common stock (other than shares attributable to accrued interest) would include the holding period in the converted note.</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It is also possible that the U.S. holder would be treated as converting the note in its entirety into our common stock, and then selling a portion of the common stock to us in a deemed redemption. The tax consequences of such a deemed redemption would depend in part upon whether the transaction were treated as a dividend for U.S. federal income tax purposes. U.S. holders are urged to consult with their own tax advisors regarding the U.S. federal income taxes of a redemption of our common stock.</w:t>
      </w:r>
    </w:p>
    <w:p>
      <w:pPr>
        <w:spacing w:after="0" w:line="197"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With respect to cash received in lieu of a fractional share of our common stock, a U.S. holder would be treated as if the fractional share were issued and received and then immediately redeemed for cash. Accordingly, the U.S. holder generally would recognize gain or loss equal to the difference between the cash received and that portion of the holder's tax basis in the common stock (determined as discussed above) attributable to the fractional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right="140" w:firstLine="341"/>
        <w:spacing w:after="0" w:line="256" w:lineRule="auto"/>
        <w:rPr>
          <w:sz w:val="20"/>
          <w:szCs w:val="20"/>
          <w:color w:val="auto"/>
        </w:rPr>
      </w:pPr>
      <w:r>
        <w:rPr>
          <w:rFonts w:ascii="Arial" w:cs="Arial" w:eastAsia="Arial" w:hAnsi="Arial"/>
          <w:sz w:val="18"/>
          <w:szCs w:val="18"/>
          <w:color w:val="auto"/>
        </w:rPr>
        <w:t>Any cash and the value of any portion of our common stock that is attributable to accrued and unpaid interest on the notes not yet included in income by a U.S. holder would be taxed as ordinary income. The basis in any shares of common stock attributable to accrued and unpaid interest would equal the fair market value of such shares when received. The holding period in any shares of common stock attributable to accrued and unpaid interest would begin on the day after the date of conversion.</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U.S. holder that converts a note between a record date for an interest payment and the next interest payment date and consequently receives a payment of cash interest, as described in "Description of the Notes—Conversion Procedures", should consult its own tax advisor concerning the appropriate treatment of such payments.</w:t>
      </w:r>
    </w:p>
    <w:p>
      <w:pPr>
        <w:spacing w:after="0" w:line="194"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b w:val="1"/>
          <w:bCs w:val="1"/>
          <w:i w:val="1"/>
          <w:iCs w:val="1"/>
          <w:color w:val="auto"/>
        </w:rPr>
        <w:t>U.S. holders are urged to consult their own tax advisors with respect to the U.S. federal income tax consequences of converting their notes into cash or a combination of cash and our common stock.</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event that we undergo a business combination as described under "Description of the Notes—Conversion of Notes—Conversion Rate Adjustments," the conversion obligation may be adjusted so that holders would be entitled to convert the notes into the type of consideration that they would have been entitled to receive upon such business combination had the notes been converted into our common stock immediately prior to such business combination, except that such holders will not be entitled to receive a make whole premium unless such notes are converted in connection with the relevant fundamental change. Depending on the facts and circumstances at the time of such business combination, such adjustment may result in a deemed exchange of the outstanding debentures, which may be a taxable event for U.S. federal income tax purposes.</w:t>
      </w:r>
    </w:p>
    <w:p>
      <w:pPr>
        <w:spacing w:after="0" w:line="174" w:lineRule="exact"/>
        <w:rPr>
          <w:sz w:val="20"/>
          <w:szCs w:val="20"/>
          <w:color w:val="auto"/>
        </w:rPr>
      </w:pPr>
    </w:p>
    <w:p>
      <w:pPr>
        <w:ind w:right="540" w:firstLine="176"/>
        <w:spacing w:after="0" w:line="268" w:lineRule="auto"/>
        <w:rPr>
          <w:sz w:val="20"/>
          <w:szCs w:val="20"/>
          <w:color w:val="auto"/>
        </w:rPr>
      </w:pPr>
      <w:r>
        <w:rPr>
          <w:rFonts w:ascii="Arial" w:cs="Arial" w:eastAsia="Arial" w:hAnsi="Arial"/>
          <w:sz w:val="18"/>
          <w:szCs w:val="18"/>
          <w:b w:val="1"/>
          <w:bCs w:val="1"/>
          <w:i w:val="1"/>
          <w:iCs w:val="1"/>
          <w:color w:val="auto"/>
        </w:rPr>
        <w:t>U.S. holders are urged to consult their own tax advisors regarding the U.S. federal income tax consequences of such an adjustment upon a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after a U.S. holder acquires our common stock upon a conversion of a note, we make a distribution in respect of such common stock from our current or accumulated earnings and profits as determined under U.S. federal income tax principles, the distribution will be treated as a dividend and will be includible in a U.S. holder's income when paid. If the distribution exceeds our current and accumulated earnings and profits, the excess will be treated first as a tax-free return of the U.S. holder's investment, up to the U.S. holder's tax basis in its common stock, and any remaining excess will be treated as capital gain from the sale or exchange of the common stock. If the U.S. holder is a U.S. corporation, it would generally be able to claim a dividends received deduction on a portion of any distribution taxed as a dividend, provided that certain holding period requirements are satisfied. Subject to certain exceptions, dividends received by non-corporate U.S. holders currently are taxed at a maximum rate of 15%, provided that certain holding period requirements are met.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Constructive Distributions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terms of the notes allow for changes in the conversion rate of the notes under certain circumstances. A change in conversion rate that allows holders of notes to receive more shares of common stock on conversion may increase such holders' proportionate interests in our earnings and profits or assets. In that case, the holders of notes may be treated as though they received a taxable distribution in the form of our common stock. A taxable constructive stock distribution would result, for example, if the conversion rate is adjusted to compensate holders of notes for distributions of cash or property to our stockholders. The adjustment to the conversion rate of notes converted in connection with a change in control, as described under "Description of the Notes—Conversion of Notes —Increase of Conversion Rate Upon Certain Fundamental Changes" above, also may be treated as a taxable stock distribution. Not all changes in the conversion rate that result in holders of notes receiving more common stock 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ind w:right="20"/>
        <w:spacing w:after="0" w:line="286" w:lineRule="auto"/>
        <w:rPr>
          <w:sz w:val="20"/>
          <w:szCs w:val="20"/>
          <w:color w:val="auto"/>
        </w:rPr>
      </w:pPr>
      <w:r>
        <w:rPr>
          <w:rFonts w:ascii="Arial" w:cs="Arial" w:eastAsia="Arial" w:hAnsi="Arial"/>
          <w:sz w:val="16"/>
          <w:szCs w:val="16"/>
          <w:color w:val="auto"/>
        </w:rPr>
        <w:t>conversion, however, increase such holders' proportionate interests in us. For instance, a change in conversion rate could simply prevent the dilution of the holders' interests upon a stock split or other change in capital structure. Changes of this type, if made pursuant to bona fide reasonable adjustment formula, are not treated as constructive stock distributions. Conversely, if an event occurs that dilutes the interests of holders of notes and the conversion rate is not adjusted, the resulting increase in the proportionate interests of our stockholders could be treated as a taxable stock distribution to the stockholders. In addition, if an event occurs that increases the interests of holders of the notes and the conversion rate of the notes is not adjusted (or not adequately adjusted), this could be treated as a taxable stock distribution to holders of the notes. Any taxable constructive stock distributions resulting from a change to, or failure to change, the conversion rate that is treated as a distribution of common stock would be treated for U.S. federal income tax purposes in the same manner as distributions on our common stock paid in cash or other property. They would result in a taxable dividend to the recipient to the extent of our current or accumulated earnings and profits (with the recipient's tax basis in its note or common stock (as the case may be) being increased by the amount of such dividend), with any excess treated as a tax-free return of the holder's investment in its note or common stock (as the case may be) or as capital gain. U.S. holders should consult their own tax advisors regarding whether any taxable constructive stock dividend would be eligible for the maximum 15% rate or the dividends received deduction described in the previous paragraph as the requisite applicable holding period requirements might not be considered to be satisfied.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or Other Disposition of Common Stock</w:t>
      </w:r>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U.S. holder generally will recognize capital gain or loss on a sale, exchange or other disposition of common stock. The U.S. holder's gain or loss will equal the difference between the proceeds received by the holder and the holder's tax basis in the stock. The proceeds received by the U.S. holder will include the amount of any cash and the fair market value of any other property received for the stock. The gain or loss recognized by a U.S. holder on a sale or exchange of common stock will be long-term capital gain or loss if the holder's holding period in the common stock is more than one year, or short-term capital gain or loss if the holder's holding period in the common stock is one year or less, at the time of the transaction. Long-term capital gains of non-corporate taxpayers are currently taxed at a maximum 15% federal rate. Short-term capital gains are taxed at ordinary income rates. The deductibility of capital losses is subject to limitations.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is limited to the U.S. federal income tax consequences relevant to a non-U.S. holder (as defined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Payments of interest to nonresident persons or entities are generally subject to U.S. federal income tax at a rate of 30% (or a reduced or zero rate under the terms of an applicable income tax treaty between the United States and the non-U.S. holder's country of residence), collected by means of withholding by the payor. Payments of interest on the notes to most non-U.S. holders, however, will qualify as "portfolio interest," and thus will be exempt from U.S. federal income tax, including withholding of such tax, if the non-U.S. holders certify their nonresident status as described below.</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portfolio interest exception will not apply to payments of interest to a non-U.S. holder that:</w:t>
      </w:r>
    </w:p>
    <w:p>
      <w:pPr>
        <w:spacing w:after="0" w:line="239" w:lineRule="exact"/>
        <w:rPr>
          <w:sz w:val="20"/>
          <w:szCs w:val="20"/>
          <w:color w:val="auto"/>
        </w:rPr>
      </w:pPr>
    </w:p>
    <w:p>
      <w:pPr>
        <w:ind w:left="1080" w:right="5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owns, actually or constructively, shares of our stock representing at least 10% of the total combined voting power of all classes of our stock entitled to vote;</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a bank that acquired the notes in consideration for an extension of credit made pursuant to a loan agreement entered into in the ordinary course of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a "controlled foreign corporation" that is related, directly or indirectly, to us through sufficient stock ownership; or</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is engaged in the conduct of a trade or business in the United States to which such interest payments are effectively connected (and, generally, if an income tax treaty applies, such interest payments are attributable to a U.S. permanent establishment maintained by the non-U.S. holder) (see the discussion under "—Non-U.S. Holders—Income or Gains Effectively Connected with a U.S. Trade or Business" below).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foreign corporation is a controlled foreign corporation if more than 50% of its stock is owned, actually or constructively, by one or more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persons that each owns, actually or constructively, at least 10% of the corporation's voting stock.</w:t>
      </w:r>
    </w:p>
    <w:p>
      <w:pPr>
        <w:spacing w:after="0" w:line="219"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portfolio interest exception, entitlement to treaty benefits and several of the special rules for non-U.S. holders described below apply only if the holder certifies its nonresident status. A non-U.S. holder can meet this certification requirement by providing a properly executed IRS Form W-8BEN or appropriate substitute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Conversion or Other Disposition of Notes or Common Stock</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Non-U.S. holders generally will not be subject to U.S. federal income or withholding tax on any gain realized on the sale, exchange, redemption, conversion or other disposition of notes or common stock (other than with respect to payments attributable to accrued interest, which will be taxed as described under "— Non-U.S. Holders—Taxation of Interest" above), unless:</w:t>
      </w:r>
    </w:p>
    <w:p>
      <w:pPr>
        <w:spacing w:after="0" w:line="208" w:lineRule="exact"/>
        <w:rPr>
          <w:sz w:val="20"/>
          <w:szCs w:val="20"/>
          <w:color w:val="auto"/>
        </w:rPr>
      </w:pPr>
    </w:p>
    <w:p>
      <w:pPr>
        <w:ind w:left="1080" w:right="14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U.S. trade or business (and, generally, if an income tax treaty applies, the gain is attributable to a U.S. permanent establishment maintained by the non-U.S. holder), in which case the gain would be subject to tax as described below under "—Non-U.S. holders—Income or Gains Effectively Connected with a U.S. Trade or Business";</w:t>
      </w:r>
    </w:p>
    <w:p>
      <w:pPr>
        <w:spacing w:after="0" w:line="174" w:lineRule="exact"/>
        <w:rPr>
          <w:rFonts w:ascii="Arial" w:cs="Arial" w:eastAsia="Arial" w:hAnsi="Arial"/>
          <w:sz w:val="16"/>
          <w:szCs w:val="16"/>
          <w:color w:val="auto"/>
        </w:rPr>
      </w:pPr>
    </w:p>
    <w:p>
      <w:pPr>
        <w:jc w:val="both"/>
        <w:ind w:left="1080" w:right="4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year of disposition and certain other conditions apply, in which case, except as otherwise provided by an applicable income tax treaty, the gain, which may be offset by U.S. source capital losses, would be subject to a flat 30% tax, even though the individual is not considered a resident of the United States; or</w:t>
      </w:r>
    </w:p>
    <w:p>
      <w:pPr>
        <w:spacing w:after="0" w:line="187"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(described below) treat the gain as effectively connected with a U.S. trade or business.</w:t>
      </w:r>
    </w:p>
    <w:p>
      <w:pPr>
        <w:spacing w:after="0" w:line="186"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FIRPTA rules may apply to a sale, exchange, redemption or other disposition of notes or common stock by a non-U.S. holder if we currently are, or were at any time within five years before the sale, exchange, redemption, conversion or other disposition (or, if shorter, the non-U.S. holder's holding period for the notes or common stock disposed of), a "U.S. real property holding corporation" (or USRPHC). In very general terms, we would be a USRPHC if interests in U.S. real estate comprised at least 50% of our assets. We believe that we currently are not, and will not become in the future, a USRPHC.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Dividends paid to a non-U.S. holder on common stock received on conversion of a note, including any taxable constructive stock dividends resulting from certain adjustments (or failure to make adjustments)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4" w:name="page65"/>
    <w:bookmarkEnd w:id="64"/>
    <w:p>
      <w:pPr>
        <w:ind w:right="20"/>
        <w:spacing w:after="0" w:line="288" w:lineRule="auto"/>
        <w:rPr>
          <w:sz w:val="20"/>
          <w:szCs w:val="20"/>
          <w:color w:val="auto"/>
        </w:rPr>
      </w:pPr>
      <w:r>
        <w:rPr>
          <w:rFonts w:ascii="Arial" w:cs="Arial" w:eastAsia="Arial" w:hAnsi="Arial"/>
          <w:sz w:val="16"/>
          <w:szCs w:val="16"/>
          <w:color w:val="auto"/>
        </w:rPr>
        <w:t>the number of shares of common stock to be issued on conversion (as described under "—U.S. Holders—Constructive Distributions" above) generally will be subject to U.S. withholding tax at a 30% rate. Withholding tax applicable to any taxable constructive stock dividends received by a non-U.S. holder may be withheld from interest on the notes, distributions on the common stock, shares of common stock or proceeds subsequently paid or credited to the non-U.S. holder. The withholding tax on dividends (including any taxable constructive stock dividends), however, may be reduced under the terms of an applicable income tax treaty between the United States and the non-U.S. holder's country of residence. A non-U.S. holder should demonstrate its entitlement to treaty benefits by timely delivering a properly executed IRS Form W-8BEN or appropriate substitute form. A non-U.S. holder that is eligible for a reduced rate of withholding under the terms of an applicable income tax treaty may obtain a refund of any excess amounts withheld by timely filing an appropriate claim for refund with the IRS. Dividends on the common stock that are effectively connected with a non-U.S. holder's conduct of a U.S. trade or business are discussed below under "—Non-U.S. Holders—Income or Gains Effectively Connected with a U.S. Trade or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or Gains Effectively Connected With a U.S. Trade or Business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preceding discussion of the U.S. federal income and withholding tax considerations of the purchase, ownership or disposition of notes or common stock by a non-U.S. holder assumes that the holder is not engaged in a U.S. trade or business. If any interest on the notes, dividends on common stock, or gain from the sale, exchange, redemption, conversion or other disposition of the notes or common stock is effectively connected with a U.S. trade or business conducted by the non-U.S. holder, then the income or gain will be subject to U.S. federal income tax on a net income basis at the regular graduated rates and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Payments of interest or dividends that are effectively connected with a U.S. trade or business (and, if a tax treaty applies, attributable to a permanent establishment or fixed base), and therefore included in the gross income of a non-U.S. holder, will not be subject to the 30% withholding tax provided that the holder claims exemption from withholding. To claim exemption from withholding, the holder must certify its qualification, which can be done by timely filing a properly executed IRS Form W-8ECI or appropriate substitute form. If the non-U.S. holder is a corporation (or an entity treated as a corporation for U.S. federal income tax purposes), that portion of its earnings and profits that is effectively connected with its U.S. trade or business generally also would be subject to a "branch profits tax." The branch profits tax rate is generally 30%, although an applicable income tax treaty might provide for a lower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payers to withhold from payments subject to information reporting if the recipient fails to cooperate with the reporting regime by failing to provide a taxpayer identification number to the payor, furnishing an incorrect identification number, or repeatedly failing to report interest or dividends on tax returns. The backup withholding rate is currently 28%.</w:t>
      </w:r>
    </w:p>
    <w:p>
      <w:pPr>
        <w:spacing w:after="0" w:line="15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Payments of interest or dividends to U.S. holders of notes or common stock generally will be subject to information reporting, and will be subject to backup withholding, unless the holder (1) is an exempt payee, such as a corporation, or (2) provides the payor with a correct taxpayer identification number and complies with applicable certification requirements. Payments made to U.S. holders by a broker upon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sale of notes or common stock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9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must report annually to the IRS the interest and/or dividends paid to each non-U.S. holder and the tax withheld, if any, with respect to such interest and/or dividends, including any tax withheld pursuant to the rules described under "—Non-U.S. Holders—Taxation of Interest" and "—Non-U.S. Holders— Dividends" above. Copies of these reports may be made available to tax authorities in the country where the non-U.S. holder resides. Payments to non-U.S. holders of dividends on our common stock or interest on the notes may be subject to backup withholding unless the non-U.S. holder certifies its non-U.S. status on a properly executed IRS Form W-8BEN or appropriate substitute form and the payor does not have actual knowledge or reason to know that such recipient is a United States person. Payments made to non-U.S. holders by a broker upon a sale of the notes or our common stock will not be subject to information reporting or backup withholding as long as the non-U.S. holder certifies its non-U.S. status or otherwise establishes an exemption and the payor does not have actual knowledge or reason to know that such recipient is a United States person.</w:t>
      </w:r>
    </w:p>
    <w:p>
      <w:pPr>
        <w:spacing w:after="0" w:line="172"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Any amounts withheld from a payment to a U.S. holder or non-U.S. holder of notes or common stock under the backup withholding rules can be credited against any U.S. federal income tax liability of the holder, provided the required information is timely furnished to the IRS.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May , 2007, the underwriters named below, for whom Morgan Stanley &amp; Co. Incorporated is acting as the representative, have severally agreed to purchase, and we have agreed to sell to the underwriters, severally, the principal amount of notes set forth opposite the names of the underwriters below:</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7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Lehman Brothers Inc.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1,100,000,000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-871855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-871855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-871855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-871855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underwriters and the representative are collectively referred to as the "underwriters" and the "representative", respectively. The underwriters are offering the notes subject to their acceptance of the notes from us and subject to prior sale. The underwriting agreement provides that the obligations of the underwriters to pay for and accept delivery of the notes offered by this prospectus are subject to the approval of certain legal matters by their counsel and to certain other conditions. The underwriters are obligated to take and pay for all of the notes offered by this prospectus if any such notes are taken. However, the underwriters are not required to take or pay for the notes covered by the underwriters' over-allotment option described below.</w:t>
      </w:r>
    </w:p>
    <w:p>
      <w:pPr>
        <w:spacing w:after="0" w:line="170"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underwriters initially propose to offer part of the notes directly to the public at the public offering price listed on the cover page of this prospectus and part to certain dealers. After the initial offering of the notes, the offering price and other selling terms may from time to time be varied by the representative.</w:t>
      </w:r>
    </w:p>
    <w:p>
      <w:pPr>
        <w:spacing w:after="0" w:line="139"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additional $165,000,000 aggregate principal amount of notes at the public offering price listed on the cover page of this prospectus, less underwriting discounts and commissions. The underwriters may exercise this option solely for the purpose of covering over-allotments, if any, made in connection with the offering of the notes offered by this prospectus. To the extent the option is exercised, each underwriter will become obligated, subject to certain conditions, to purchase about the same percentage of the additional notes as the number listed next to the underwriter's name in the preceding table bears to the total number of notes listed next to the names of all underwriters in the preceding table.</w:t>
      </w:r>
    </w:p>
    <w:p>
      <w:pPr>
        <w:spacing w:after="0" w:line="198"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shows the per note and total public offering price, underwriting discounts and commissions, and proceeds before expenses to us. These amounts are shown assuming both no exercise and full exercise of the underwriters' option to purchase up to an additional $165,000,000 aggregate principal amount of notes.</w:t>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gridSpan w:val="3"/>
          </w:tcPr>
          <w:p>
            <w:pPr>
              <w:jc w:val="right"/>
              <w:ind w:right="8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Per Note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9"/>
              </w:rPr>
              <w:t>No Exercise</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Full Exercise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2"/>
              </w:rPr>
              <w:t>Underwriting discounts and commissions to be paid by</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-878205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-878205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-629920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-629920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-629920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-629920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-629920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-629920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and capped call transactions described below, are approximately $1 million.</w:t>
      </w:r>
    </w:p>
    <w:p>
      <w:pPr>
        <w:spacing w:after="0" w:line="186"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underwriters have informed us that they do not intend sales to discretionary accounts to exceed 5% of the aggregate principal amount of notes offered by them. The notes are a new issue of securities with no established trading market. We do not intend to list the notes on any national securities exchange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80"/>
        <w:spacing w:after="0" w:line="335" w:lineRule="auto"/>
        <w:rPr>
          <w:sz w:val="20"/>
          <w:szCs w:val="20"/>
          <w:color w:val="auto"/>
        </w:rPr>
      </w:pPr>
      <w:r>
        <w:rPr>
          <w:rFonts w:ascii="Arial" w:cs="Arial" w:eastAsia="Arial" w:hAnsi="Arial"/>
          <w:sz w:val="15"/>
          <w:szCs w:val="15"/>
          <w:color w:val="auto"/>
        </w:rPr>
        <w:t>or include them in any automated quotation system. The underwriters have advised us that they presently intend to make a market in the notes as permitted by applicable laws and regulations. The underwriters are not obligated, however, to make a market in the notes and any such market-making activity may be discontinued at any time at the sole discretion of the underwriters. Accordingly, no assurance can be given as to the liquidity of, or trading markets for, the notes.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listing on the New York Stock Exchange under the trading symbol "MU".</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and each of our directors and executive officers have agreed that, without the prior written consent of Morgan Stanley &amp; Co. Incorporated, during the period ending 60 days after the date of this prospectus:</w:t>
      </w:r>
    </w:p>
    <w:p>
      <w:pPr>
        <w:spacing w:after="0" w:line="199" w:lineRule="exact"/>
        <w:rPr>
          <w:sz w:val="20"/>
          <w:szCs w:val="20"/>
          <w:color w:val="auto"/>
        </w:rPr>
      </w:pPr>
    </w:p>
    <w:p>
      <w:pPr>
        <w:ind w:left="10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exchangeable for common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Incorporated on behalf of the underwriters, it will not, during the period ending 60 days after the date of this prospectus, make any demand for, or exercise any right with respect to, the registration of any shares of common stock or any security convertible into or exercisable or exchangeable for common stock. The restrictions described in this paragraph do not apply to:</w:t>
      </w:r>
    </w:p>
    <w:p>
      <w:pPr>
        <w:spacing w:after="0" w:line="180"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sale of notes to the underwriters;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grant of options or the issuance of shares of restricted stock or restricted stock units by us to employees, officers, directors, advisors or consultants pursuant to any employee benefit plan referred to in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in respect of any employee benefit plan referred to in this prospectus;</w:t>
      </w:r>
    </w:p>
    <w:p>
      <w:pPr>
        <w:spacing w:after="0" w:line="252"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sale of shares or forfeiture to us by executive officers or directors in amounts sufficient to pay taxes payable by such executive officers or directors upon the vesting or delivery of restricted stock units or restricted preferred stock units issued pursuant to employee benefit plans described in this prospectus;</w:t>
      </w:r>
    </w:p>
    <w:p>
      <w:pPr>
        <w:spacing w:after="0" w:line="207"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by an executive officer or director of any option or warrant to purchase shares of common stock, provided that the underlying common stock continues to be subject to the restrictions set forth above;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transfer by an executive officer or director pursuant to a trading plan established pursuant to Rule 10b5-1 under the Exchange Act in existence as of the date of this prospectus;</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establishment by an executive officer or director of a trading plan pursuant to Rule 10b5-1 under the Exchange Act for the transfer of shares of common stock, provided that such plan does not provide for the transfer of common stock during the 60-day lock-up period;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8" w:name="page69"/>
    <w:bookmarkEnd w:id="68"/>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transfers by an executive officer or director by will or by intestate;</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or exercisable or exchangeable for common stock as a bona fide gift;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extent applicable, distributions to limited partners, stockholders, direct or indirect members, or wholly owned subsidiaries of us;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executive officer or director who ceases to be an executive officer or director of us.</w:t>
      </w:r>
    </w:p>
    <w:p>
      <w:pPr>
        <w:spacing w:after="0" w:line="225"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The fifth, sixth, seventh, eighth and ninth bullets above are subject to the fact that no filing by any party (donor, donee, transferor or transferee) under Section 16(a) of the Exchange Act will be required or will be made voluntarily in connection with such transfer or distribution (other than a filing on Form 5 made after the expiration of the lock-up period) and that any such shares or securities so transferred shall be subject to the restrictions described above for the remainder of the 60 day lock-up period.</w:t>
      </w:r>
    </w:p>
    <w:p>
      <w:pPr>
        <w:spacing w:after="0" w:line="197"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order to facilitate the offering of the notes, the underwriters may engage in transactions that stabilize, maintain or otherwise affect the price of the notes or the common stock. Specifically, the underwriters may sell more notes than they are obligated to purchase under the underwriting agreement, creating a short position. A short sale is covered if the short position is no greater than the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notes compared to the price available under the over-allotment option. The underwriters may also sell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the offering. As an additional means of facilitating the offering, the underwriters may bid for, and purchase, notes or shares of common stock in the open market to stabilize the price of the notes or the common stock. These activities may stabilize or maintain the market price of the notes or the common stock above independent market levels or prevent or retard a decline in the market price of the notes or the common stock. The underwriters are not required to engage in these activities, and may end any of these activities at any time. In connection with this offering, we plan to enter into one or more capped call transactions with one or more counterparties, which may include certain of the underwriters and/or their affiliates (the "counterparties"). These transactions are expected to reduce the potential dilution upon conversion of the notes to the extent described in "Capped Call Transactions." We intend to use approximately $132 million of the proceeds from this offering to pay the cost of the capped call transactions. If the underwriters exercise their option to purchase additional notes to cover overallotments, we will use a portion of the net proceeds from the sale of the additional notes to enter into additional capped call with respect to the shares initially issuable upon conversion of the additional notes.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(and/or their affiliates) above:</w:t>
      </w:r>
    </w:p>
    <w:p>
      <w:pPr>
        <w:spacing w:after="0" w:line="287" w:lineRule="exact"/>
        <w:rPr>
          <w:sz w:val="20"/>
          <w:szCs w:val="20"/>
          <w:color w:val="auto"/>
        </w:rPr>
      </w:pPr>
    </w:p>
    <w:p>
      <w:pPr>
        <w:ind w:left="1080" w:right="1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we expect that the counterparties described above may modify or unwind their hedge positions by entering into or unwinding various derivative transactions and/or purchasing or selling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9" w:name="page70"/>
    <w:bookmarkEnd w:id="69"/>
    <w:p>
      <w:pPr>
        <w:spacing w:after="0" w:line="289" w:lineRule="auto"/>
        <w:rPr>
          <w:sz w:val="20"/>
          <w:szCs w:val="20"/>
          <w:color w:val="auto"/>
        </w:rPr>
      </w:pPr>
      <w:r>
        <w:rPr>
          <w:rFonts w:ascii="Arial" w:cs="Arial" w:eastAsia="Arial" w:hAnsi="Arial"/>
          <w:sz w:val="16"/>
          <w:szCs w:val="16"/>
          <w:color w:val="auto"/>
        </w:rPr>
        <w:t>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 See "Capped Call Transactions." The capped call transactions are separate transactions and are not part of the terms of the notes and will not affect the holders' rights under the notes. As a holder of the notes, you will not have any rights with respect to the capped call transactions. We will agree to indemnify the option counterparty, or its affiliates, for losses incurred in connection with a potential unwinding of their hedge positions under certain circumstances and in certain other limited circumstances. See "Capped Call Transactions."</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a discussion of the effect of any market or other activity by the counterparties in connection with these capped call transactions, see "Risk factors—Our capped call transactions may affect the value of our common stock and the notes" and "Capped Call Transactions."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42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9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In the ordinary course of business, the underwriters and/or their affiliates have provided, or may in the future provide, investment banking, investment advisory and/or commercial banking services with us or our affiliates for which customary compensation has been, or will be, received.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notes to the public in that Member State, except that it may, with effect from and including such date, make an offer of notes to the public in that Member State:</w:t>
      </w:r>
    </w:p>
    <w:p>
      <w:pPr>
        <w:spacing w:after="0" w:line="211" w:lineRule="exact"/>
        <w:rPr>
          <w:sz w:val="20"/>
          <w:szCs w:val="20"/>
          <w:color w:val="auto"/>
        </w:rPr>
      </w:pPr>
    </w:p>
    <w:p>
      <w:pPr>
        <w:ind w:left="1080" w:right="5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any time to legal entities which are authorized or regulated to operate in the financial markets or, if not so authorized or regulated, whose corporate purpose is solely to invest in securities;</w:t>
      </w:r>
    </w:p>
    <w:p>
      <w:pPr>
        <w:spacing w:after="0" w:line="212" w:lineRule="exact"/>
        <w:rPr>
          <w:rFonts w:ascii="Arial" w:cs="Arial" w:eastAsia="Arial" w:hAnsi="Arial"/>
          <w:sz w:val="18"/>
          <w:szCs w:val="18"/>
          <w:color w:val="auto"/>
        </w:rPr>
      </w:pPr>
    </w:p>
    <w:p>
      <w:pPr>
        <w:jc w:val="both"/>
        <w:ind w:left="1080" w:right="120" w:hanging="532"/>
        <w:spacing w:after="0" w:line="370" w:lineRule="auto"/>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any time in any other circumstances which do not require the publication by us of a prospectus pursuant to Article 3 of the Prospectus Directive.</w:t>
      </w:r>
    </w:p>
    <w:p>
      <w:pPr>
        <w:spacing w:after="0" w:line="24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the purposes of the above, the expression an "offer of the notes to the public" in relation to any notes in any Member State means the communication in any form and by any means of sufficient information on the terms of the offer and the notes common stock to be offered so as to enable an investor to decide to purchase or subscribe the notes, as the same may be varied in that Member State by any measure implementing the Prospectus Directive in that Member State and the expression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Directive means Directive 2003/71/EC and includes any relevant implementing measure in that Member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the notes in circumstances in which Section 21(1) of such Act does not apply to us and it has complied and will comply with all applicable provisions of such Act with respect to anything done by it in relation to any the notes in, from or otherwise involving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notes shares of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20" w:firstLine="348"/>
        <w:spacing w:after="0" w:line="305" w:lineRule="auto"/>
        <w:rPr>
          <w:sz w:val="20"/>
          <w:szCs w:val="20"/>
          <w:color w:val="auto"/>
        </w:rPr>
      </w:pPr>
      <w:r>
        <w:rPr>
          <w:rFonts w:ascii="Arial" w:cs="Arial" w:eastAsia="Arial" w:hAnsi="Arial"/>
          <w:sz w:val="15"/>
          <w:szCs w:val="15"/>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w:t>
      </w:r>
    </w:p>
    <w:p>
      <w:pPr>
        <w:ind w:right="40" w:firstLine="8"/>
        <w:spacing w:after="0" w:line="300" w:lineRule="auto"/>
        <w:tabs>
          <w:tab w:leader="none" w:pos="2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 shares, notes and units of shares and notes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 by operation of law.</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have not been and will not be registered under the Securities and Exchange Law of Japan (the Securities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VALIDITY OF THE NOTES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validity of the notes will be passed upon for us by Wilson Sonsini Goodrich &amp; Rosati, Professional Corporation, Palo Alto, California and for the underwriters by Simpson Thacher &amp; Bartlett LLP, Palo Alto, California.</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31, 2006 have been so incorporated in reliance on the report, which contains an explanatory paragraph on management's assessment of the effectiveness of internal control over financial reporting and on the effectiveness of internal control over financial reporting because TECH Semiconductor Pte. Ltd., which was consolidated on March 3, 2006, and Lexar Media, Inc., which was acquired on June 21, 2006, were excluded from its assessment of internal control over financial reporting as of August 31, 2006, of PricewaterhouseCoopers LLP, an independent registered public accounting firm, given on the authority of said firm as experts in auditing and accounting.</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DOCUMENTS INCORPORATED BY REFERENCE</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which means important information may be disclosed to you by referring you to another document filed separately with the SEC. The information incorporated by reference is deemed to be part of this prospectus, except for any information superseded by information contained directly in this prospectus. This prospectus incorporates by reference the documents set forth below that we have previously filed with the SEC. These documents contain important information about us and our finances. The information incorporated by reference is an important part of this prospectus, and information that we file later with the SEC will automatically update and supersede this information. We incorporate by reference the documents listed below (other than information furnished pursuant to Items 2.02 and 7.01 of Form 8-K and any related exhibits):</w:t>
      </w:r>
    </w:p>
    <w:p>
      <w:pPr>
        <w:spacing w:after="0" w:line="188"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31, 2006, filed on November 8, 2006;</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November 30, 2006 and March 1, 2007, filed on January 16, 2007 and April 10, 2007, respectively; and</w:t>
      </w:r>
    </w:p>
    <w:p>
      <w:pPr>
        <w:spacing w:after="0" w:line="199"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(No. 1-10658), declared effective by the SEC on November 28, 1990, including any amendments or reports filed for the purpose of updating such information.</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all filings we make under the Exchange Act after the date of effectiveness of the registration statement shall be deemed to be incorporated by reference in this prospectus and any future filings we will make with the SEC under Section 13(a), 13(c), 14 of 15(d) of the Exchange Act prior to the sale of all the shares covered by the prospectus (other than, in each case, any information furnished in any such filings pursuant to Items 2.02 and 7.01 of Form 8-K and any related exhibits) will also be incorporated by reference in this prospectus. However, if we file our Annual Report on Form 10-K for the year ending August 30, 2007, or any other fiscal year thereafter, prior to the sale of all the shares covered by this prospectus, then we will incorporate by reference in this prospectus only such Annual Report on Form 10-K and those documents subsequently filed with the SEC prior to the sale of such shares.</w:t>
      </w:r>
    </w:p>
    <w:p>
      <w:pPr>
        <w:spacing w:after="0" w:line="17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will provide without charge to each person, including any beneficial owner, to whom this prospectus is delivered, upon written or oral request of such person, a copy of any and all of the document shall have been incorporated by reference in this prospectus (not including exhibits to such documents,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320"/>
        <w:spacing w:after="0" w:line="268" w:lineRule="auto"/>
        <w:rPr>
          <w:sz w:val="20"/>
          <w:szCs w:val="20"/>
          <w:color w:val="auto"/>
        </w:rPr>
      </w:pPr>
      <w:r>
        <w:rPr>
          <w:rFonts w:ascii="Arial" w:cs="Arial" w:eastAsia="Arial" w:hAnsi="Arial"/>
          <w:sz w:val="18"/>
          <w:szCs w:val="18"/>
          <w:color w:val="auto"/>
        </w:rPr>
        <w:t>unless such exhibits are specifically incorporated by reference in this prospectus or into such documents). Such request may be directed to us in writing or by telephone at:</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(208) 368-4000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We have filed with the SEC, Washington, D.C. 20549, a registration statement on Form S-3 under the Securities Act with respect to the notes offered hereby. For further information with respect to the company, the notes and the common stock, reference is made to the registration statement and the exhibits and any schedules filed therewith. A copy of the registration statement, including the exhibits and schedules thereto, may be read and copied at the SEC's Public Reference Room at 100 F Street, N.E., Washington, D.C. 20549. Information on the operation of the Public Reference Room may be obtained by calling the SEC at 1-800-SEC-0330. In addition, the SEC maintains an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any schedules thereto. The registration statement, including the exhibits and schedules thereto, are also available for reading and copying at the offices of the New York Stock Exchange at 20 Broad Street, New York, New York 10005.</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are subject to the requirements of the Exchange Act and file periodic reports and other information with the SEC. We also maintain an Internet site at </w:t>
      </w:r>
      <w:r>
        <w:rPr>
          <w:rFonts w:ascii="Arial" w:cs="Arial" w:eastAsia="Arial" w:hAnsi="Arial"/>
          <w:sz w:val="18"/>
          <w:szCs w:val="18"/>
          <w:i w:val="1"/>
          <w:iCs w:val="1"/>
          <w:color w:val="auto"/>
        </w:rPr>
        <w:t>http://www.micron.com</w:t>
      </w:r>
      <w:r>
        <w:rPr>
          <w:rFonts w:ascii="Arial" w:cs="Arial" w:eastAsia="Arial" w:hAnsi="Arial"/>
          <w:sz w:val="18"/>
          <w:szCs w:val="18"/>
          <w:color w:val="auto"/>
        </w:rPr>
        <w:t>. Our website and the information contained therein or connected thereto shall not be deemed to be incorporated into this prospectus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of which it forms a part.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1021715</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2395855</wp:posOffset>
            </wp:positionH>
            <wp:positionV relativeFrom="page">
              <wp:posOffset>88900</wp:posOffset>
            </wp:positionV>
            <wp:extent cx="2778760" cy="797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79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sets forth the costs and expenses payable by the registrant in connection with the offerings described in this registration statement. In addition to the costs and expenses set forth below, the registrant will pay any selling commissions and brokerage fees and any applicable taxes, fees and disbursements with respect to securities registered hereby sold by the registrant. Except as to the amount set forth below, the registrant is deferring payment of the registration fee in reliance on Rule 456(b) and Rule 457(r) under the Securities Act of 1933. All of the amounts shown are estimates.</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Financial printers fees and expenses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 and Expenses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r>
      <w:tr>
        <w:trPr>
          <w:trHeight w:val="112"/>
        </w:trPr>
        <w:tc>
          <w:tcPr>
            <w:tcW w:w="5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5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910,000*</w:t>
            </w:r>
          </w:p>
        </w:tc>
      </w:tr>
      <w:tr>
        <w:trPr>
          <w:trHeight w:val="105"/>
        </w:trPr>
        <w:tc>
          <w:tcPr>
            <w:tcW w:w="5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5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 is deferring payment of the registration fee in reliance on Rule 456(b) and Rule 457(r) under the Securities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Our Bylaws provide for mandatory indemnification of its directors, officers, employees and other agents to the maximum extent permitted by Delaware law. We have entered into indemnification agreements with our directors and certain of our officers. The indemnification agreements provide directors and elected officers with further indemnification to the maximum extent permitted by Delaware law.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16.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7900" w:type="dxa"/>
            <w:vAlign w:val="bottom"/>
          </w:tcPr>
          <w:p>
            <w:pPr>
              <w:spacing w:after="0"/>
              <w:rPr>
                <w:sz w:val="14"/>
                <w:szCs w:val="14"/>
                <w:color w:val="auto"/>
              </w:rPr>
            </w:pPr>
          </w:p>
        </w:tc>
      </w:tr>
      <w:tr>
        <w:trPr>
          <w:trHeight w:val="174"/>
        </w:trPr>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7900" w:type="dxa"/>
            <w:vAlign w:val="bottom"/>
          </w:tcPr>
          <w:p>
            <w:pPr>
              <w:ind w:left="3320"/>
              <w:spacing w:after="0"/>
              <w:rPr>
                <w:sz w:val="20"/>
                <w:szCs w:val="20"/>
                <w:color w:val="auto"/>
              </w:rPr>
            </w:pPr>
            <w:r>
              <w:rPr>
                <w:rFonts w:ascii="Arial" w:cs="Arial" w:eastAsia="Arial" w:hAnsi="Arial"/>
                <w:sz w:val="14"/>
                <w:szCs w:val="14"/>
                <w:b w:val="1"/>
                <w:bCs w:val="1"/>
                <w:color w:val="auto"/>
              </w:rPr>
              <w:t>Description of Exhibit</w:t>
            </w:r>
          </w:p>
        </w:tc>
      </w:tr>
      <w:tr>
        <w:trPr>
          <w:trHeight w:val="105"/>
        </w:trPr>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900" w:type="dxa"/>
            <w:vAlign w:val="bottom"/>
            <w:tcBorders>
              <w:bottom w:val="single" w:sz="8" w:color="808080"/>
            </w:tcBorders>
          </w:tcPr>
          <w:p>
            <w:pPr>
              <w:spacing w:after="0"/>
              <w:rPr>
                <w:sz w:val="9"/>
                <w:szCs w:val="9"/>
                <w:color w:val="auto"/>
              </w:rPr>
            </w:pPr>
          </w:p>
        </w:tc>
      </w:tr>
      <w:tr>
        <w:trPr>
          <w:trHeight w:val="313"/>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Underwriting Agreement.*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9"/>
              </w:rPr>
              <w:t>Restated Certificate of Incorporation of Micron Technology, Inc. (incorporated herein by reference to</w:t>
            </w: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89"/>
              </w:rPr>
              <w:t>Exhibit 3.1 to the Company's Quarterly Report on Form 10-Q for the fiscal quarter ended November 30, 2000).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6"/>
              </w:rPr>
              <w:t>Bylaws of Micron Technology, Inc., as amended (incorporated herein by reference to Exhibit 3.7 to the</w:t>
            </w: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Company's Current Report on Form 8-K filed December 7, 2006).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Form of Indenture (including form of Convertible Senior Note).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5"/>
              </w:rPr>
              <w:t>Consent of Wilson Sonsini Goodrich &amp; Rosati, Professional Corporation (included in the opinion filed as</w:t>
            </w: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Exhibit 5.1 to this registration statement).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Power of Attorney (included on signature page hereof).</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Form T-1 Statement of Eligibility of the Trustee under the Indenture.</w:t>
            </w:r>
          </w:p>
        </w:tc>
      </w:tr>
      <w:tr>
        <w:trPr>
          <w:trHeight w:val="120"/>
        </w:trPr>
        <w:tc>
          <w:tcPr>
            <w:tcW w:w="6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-1952625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-1952625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-1952625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 be filed as an exhibit to a Current Report on Form 8-K and incorporated by reference, if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left="680" w:hanging="321"/>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80" w:right="40" w:firstLine="403"/>
        <w:spacing w:after="0" w:line="290" w:lineRule="auto"/>
        <w:tabs>
          <w:tab w:leader="none" w:pos="1774" w:val="left"/>
        </w:tabs>
        <w:numPr>
          <w:ilvl w:val="2"/>
          <w:numId w:val="5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2" w:lineRule="exact"/>
        <w:rPr>
          <w:rFonts w:ascii="Arial" w:cs="Arial" w:eastAsia="Arial" w:hAnsi="Arial"/>
          <w:sz w:val="16"/>
          <w:szCs w:val="16"/>
          <w:color w:val="auto"/>
        </w:rPr>
      </w:pPr>
    </w:p>
    <w:p>
      <w:pPr>
        <w:ind w:left="1080" w:right="120" w:firstLine="360"/>
        <w:spacing w:after="0" w:line="268" w:lineRule="auto"/>
        <w:tabs>
          <w:tab w:leader="none" w:pos="1779"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25" w:lineRule="exact"/>
        <w:rPr>
          <w:sz w:val="20"/>
          <w:szCs w:val="20"/>
          <w:color w:val="auto"/>
        </w:rPr>
      </w:pPr>
    </w:p>
    <w:p>
      <w:pPr>
        <w:ind w:left="540" w:firstLine="359"/>
        <w:spacing w:after="0" w:line="298" w:lineRule="auto"/>
        <w:tabs>
          <w:tab w:leader="none" w:pos="12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7" w:lineRule="exact"/>
        <w:rPr>
          <w:sz w:val="20"/>
          <w:szCs w:val="20"/>
          <w:color w:val="auto"/>
        </w:rPr>
      </w:pPr>
    </w:p>
    <w:p>
      <w:pPr>
        <w:ind w:left="540" w:right="80" w:firstLine="359"/>
        <w:spacing w:after="0" w:line="268" w:lineRule="auto"/>
        <w:tabs>
          <w:tab w:leader="none" w:pos="12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7" w:name="page78"/>
    <w:bookmarkEnd w:id="77"/>
    <w:p>
      <w:pPr>
        <w:ind w:left="500"/>
        <w:spacing w:after="0"/>
        <w:rPr>
          <w:sz w:val="20"/>
          <w:szCs w:val="20"/>
          <w:color w:val="auto"/>
        </w:rPr>
      </w:pPr>
      <w:r>
        <w:rPr>
          <w:rFonts w:ascii="Arial" w:cs="Arial" w:eastAsia="Arial" w:hAnsi="Arial"/>
          <w:sz w:val="18"/>
          <w:szCs w:val="18"/>
          <w:color w:val="auto"/>
        </w:rPr>
        <w:t>offered therein, and the offering of such securities at that time shall be deemed to be the initial bona fide offering thereof.</w:t>
      </w:r>
    </w:p>
    <w:p>
      <w:pPr>
        <w:spacing w:after="0" w:line="225" w:lineRule="exact"/>
        <w:rPr>
          <w:sz w:val="20"/>
          <w:szCs w:val="20"/>
          <w:color w:val="auto"/>
        </w:rPr>
      </w:pPr>
    </w:p>
    <w:p>
      <w:pPr>
        <w:ind w:left="500" w:right="720" w:firstLine="359"/>
        <w:spacing w:after="0" w:line="268" w:lineRule="auto"/>
        <w:tabs>
          <w:tab w:leader="none" w:pos="11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00" w:hanging="341"/>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40" w:right="140" w:firstLine="360"/>
        <w:spacing w:after="0" w:line="268" w:lineRule="auto"/>
        <w:tabs>
          <w:tab w:leader="none" w:pos="1723"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20" w:hanging="320"/>
        <w:spacing w:after="0"/>
        <w:tabs>
          <w:tab w:leader="none" w:pos="17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4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ind w:left="500" w:right="140" w:firstLine="359"/>
        <w:spacing w:after="0" w:line="268" w:lineRule="auto"/>
        <w:tabs>
          <w:tab w:leader="none" w:pos="11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86" w:lineRule="exact"/>
        <w:rPr>
          <w:sz w:val="20"/>
          <w:szCs w:val="20"/>
          <w:color w:val="auto"/>
        </w:rPr>
      </w:pPr>
    </w:p>
    <w:p>
      <w:pPr>
        <w:ind w:left="1040" w:right="140" w:firstLine="348"/>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7" w:lineRule="exact"/>
        <w:rPr>
          <w:sz w:val="20"/>
          <w:szCs w:val="20"/>
          <w:color w:val="auto"/>
        </w:rPr>
      </w:pPr>
    </w:p>
    <w:p>
      <w:pPr>
        <w:ind w:left="1740" w:hanging="253"/>
        <w:spacing w:after="0"/>
        <w:tabs>
          <w:tab w:leader="none" w:pos="17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40" w:right="200" w:firstLine="403"/>
        <w:spacing w:after="0" w:line="268" w:lineRule="auto"/>
        <w:tabs>
          <w:tab w:leader="none" w:pos="17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40" w:right="20" w:firstLine="360"/>
        <w:spacing w:after="0" w:line="268" w:lineRule="auto"/>
        <w:tabs>
          <w:tab w:leader="none" w:pos="173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40" w:hanging="340"/>
        <w:spacing w:after="0"/>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40" w:right="260" w:firstLine="359"/>
        <w:spacing w:after="0" w:line="370" w:lineRule="auto"/>
        <w:tabs>
          <w:tab w:leader="none" w:pos="644"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90" w:right="259" w:bottom="1440" w:gutter="0" w:footer="0" w:header="0"/>
        </w:sectPr>
      </w:pPr>
    </w:p>
    <w:bookmarkStart w:id="78" w:name="page79"/>
    <w:bookmarkEnd w:id="78"/>
    <w:p>
      <w:pPr>
        <w:ind w:right="80"/>
        <w:spacing w:after="0" w:line="259" w:lineRule="auto"/>
        <w:rPr>
          <w:sz w:val="20"/>
          <w:szCs w:val="20"/>
          <w:color w:val="auto"/>
        </w:rPr>
      </w:pPr>
      <w:r>
        <w:rPr>
          <w:rFonts w:ascii="Arial" w:cs="Arial" w:eastAsia="Arial" w:hAnsi="Arial"/>
          <w:sz w:val="18"/>
          <w:szCs w:val="18"/>
          <w:color w:val="auto"/>
        </w:rPr>
        <w:t>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ind w:right="80" w:firstLine="359"/>
        <w:spacing w:after="0" w:line="289" w:lineRule="auto"/>
        <w:tabs>
          <w:tab w:leader="none" w:pos="678"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540" w:right="100" w:firstLine="359"/>
        <w:spacing w:after="0" w:line="306" w:lineRule="auto"/>
        <w:tabs>
          <w:tab w:leader="none" w:pos="1228"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jc w:val="both"/>
        <w:ind w:left="540" w:firstLine="359"/>
        <w:spacing w:after="0" w:line="259" w:lineRule="auto"/>
        <w:tabs>
          <w:tab w:leader="none" w:pos="12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16 day of May, 2007.</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94615</wp:posOffset>
            </wp:positionV>
            <wp:extent cx="32626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5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W.G. Stover, Jr.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Vice President of Finance and 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Steven R. Appleton and W. G. Stover, Jr., or either of them, his true and lawful attorneys-in-fact and agents, with full power of substitution and resubstitution, for him and in his name, place and stead, in any and all capacities, to sign any and all amendments to the registration statement, including post-effective amendments, and registration statements filed pursuant to Rule 462 under the Securities Act of 1933,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foregoing,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duly signed by the following persons in the capacities and on the dates indicated.</w:t>
      </w:r>
    </w:p>
    <w:p>
      <w:pPr>
        <w:spacing w:after="0" w:line="182" w:lineRule="exact"/>
        <w:rPr>
          <w:sz w:val="20"/>
          <w:szCs w:val="20"/>
          <w:color w:val="auto"/>
        </w:rPr>
      </w:pPr>
    </w:p>
    <w:p>
      <w:pPr>
        <w:ind w:left="2440"/>
        <w:spacing w:after="0"/>
        <w:tabs>
          <w:tab w:leader="none" w:pos="7280" w:val="left"/>
          <w:tab w:leader="none" w:pos="102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520"/>
        <w:spacing w:after="0"/>
        <w:rPr>
          <w:sz w:val="20"/>
          <w:szCs w:val="20"/>
          <w:color w:val="auto"/>
        </w:rPr>
      </w:pPr>
      <w:r>
        <w:rPr>
          <w:rFonts w:ascii="Arial" w:cs="Arial" w:eastAsia="Arial" w:hAnsi="Arial"/>
          <w:sz w:val="15"/>
          <w:szCs w:val="15"/>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345186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51860" cy="21590"/>
                    </a:xfrm>
                    <a:prstGeom prst="rect">
                      <a:avLst/>
                    </a:prstGeom>
                    <a:noFill/>
                  </pic:spPr>
                </pic:pic>
              </a:graphicData>
            </a:graphic>
          </wp:anchor>
        </w:drawing>
      </w:r>
    </w:p>
    <w:p>
      <w:pPr>
        <w:spacing w:after="0" w:line="26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Steven R. Appleton</w:t>
      </w:r>
    </w:p>
    <w:p>
      <w:pPr>
        <w:spacing w:after="0" w:line="275" w:lineRule="exact"/>
        <w:rPr>
          <w:sz w:val="20"/>
          <w:szCs w:val="20"/>
          <w:color w:val="auto"/>
        </w:rPr>
      </w:pPr>
    </w:p>
    <w:p>
      <w:pPr>
        <w:jc w:val="center"/>
        <w:ind w:left="520"/>
        <w:spacing w:after="0"/>
        <w:rPr>
          <w:sz w:val="20"/>
          <w:szCs w:val="20"/>
          <w:color w:val="auto"/>
        </w:rPr>
      </w:pPr>
      <w:r>
        <w:rPr>
          <w:rFonts w:ascii="Arial" w:cs="Arial" w:eastAsia="Arial" w:hAnsi="Arial"/>
          <w:sz w:val="16"/>
          <w:szCs w:val="16"/>
          <w:i w:val="1"/>
          <w:iCs w:val="1"/>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345186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51860" cy="21590"/>
                    </a:xfrm>
                    <a:prstGeom prst="rect">
                      <a:avLst/>
                    </a:prstGeom>
                    <a:noFill/>
                  </pic:spPr>
                </pic:pic>
              </a:graphicData>
            </a:graphic>
          </wp:anchor>
        </w:drawing>
      </w:r>
    </w:p>
    <w:p>
      <w:pPr>
        <w:spacing w:after="0" w:line="25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 G. Stover, Jr.</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i w:val="1"/>
          <w:iCs w:val="1"/>
          <w:color w:val="auto"/>
        </w:rPr>
        <w:t>/s/ Teruaki Aoki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45186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51860" cy="21590"/>
                    </a:xfrm>
                    <a:prstGeom prst="rect">
                      <a:avLst/>
                    </a:prstGeom>
                    <a:noFill/>
                  </pic:spPr>
                </pic:pic>
              </a:graphicData>
            </a:graphic>
          </wp:anchor>
        </w:drawing>
      </w:r>
    </w:p>
    <w:p>
      <w:pPr>
        <w:spacing w:after="0" w:line="23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Teruaki Aoki</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6"/>
          <w:szCs w:val="16"/>
          <w:i w:val="1"/>
          <w:iCs w:val="1"/>
          <w:color w:val="auto"/>
        </w:rPr>
        <w:t>/s/ James W.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345186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51860" cy="21590"/>
                    </a:xfrm>
                    <a:prstGeom prst="rect">
                      <a:avLst/>
                    </a:prstGeom>
                    <a:noFill/>
                  </pic:spPr>
                </pic:pic>
              </a:graphicData>
            </a:graphic>
          </wp:anchor>
        </w:drawing>
      </w:r>
    </w:p>
    <w:p>
      <w:pPr>
        <w:spacing w:after="0" w:line="25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James W. Bagley</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5"/>
          <w:szCs w:val="15"/>
          <w:i w:val="1"/>
          <w:iCs w:val="1"/>
          <w:color w:val="auto"/>
        </w:rPr>
        <w:t>/s/ Mercedes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345186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51860" cy="21590"/>
                    </a:xfrm>
                    <a:prstGeom prst="rect">
                      <a:avLst/>
                    </a:prstGeom>
                    <a:noFill/>
                  </pic:spPr>
                </pic:pic>
              </a:graphicData>
            </a:graphic>
          </wp:anchor>
        </w:drawing>
      </w:r>
    </w:p>
    <w:p>
      <w:pPr>
        <w:spacing w:after="0" w:line="26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Mercedes Johnson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President (Principal Executive Officer)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May 16, 2007</w:t>
            </w:r>
          </w:p>
        </w:tc>
      </w:tr>
      <w:tr>
        <w:trPr>
          <w:trHeight w:val="426"/>
        </w:trPr>
        <w:tc>
          <w:tcPr>
            <w:tcW w:w="3900" w:type="dxa"/>
            <w:vAlign w:val="bottom"/>
          </w:tcPr>
          <w:p>
            <w:pPr>
              <w:spacing w:after="0"/>
              <w:rPr>
                <w:sz w:val="20"/>
                <w:szCs w:val="20"/>
                <w:color w:val="auto"/>
              </w:rPr>
            </w:pPr>
            <w:r>
              <w:rPr>
                <w:rFonts w:ascii="Arial" w:cs="Arial" w:eastAsia="Arial" w:hAnsi="Arial"/>
                <w:sz w:val="18"/>
                <w:szCs w:val="18"/>
                <w:color w:val="auto"/>
                <w:w w:val="98"/>
              </w:rPr>
              <w:t>Vice President of Finance, Chief Financial Officer</w:t>
            </w:r>
          </w:p>
        </w:tc>
        <w:tc>
          <w:tcPr>
            <w:tcW w:w="1360" w:type="dxa"/>
            <w:vAlign w:val="bottom"/>
          </w:tcPr>
          <w:p>
            <w:pPr>
              <w:spacing w:after="0"/>
              <w:rPr>
                <w:sz w:val="24"/>
                <w:szCs w:val="24"/>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19"/>
                <w:szCs w:val="19"/>
                <w:color w:val="auto"/>
              </w:rPr>
            </w:pPr>
          </w:p>
        </w:tc>
      </w:tr>
      <w:tr>
        <w:trPr>
          <w:trHeight w:val="270"/>
        </w:trPr>
        <w:tc>
          <w:tcPr>
            <w:tcW w:w="3900" w:type="dxa"/>
            <w:vAlign w:val="bottom"/>
          </w:tcPr>
          <w:p>
            <w:pPr>
              <w:spacing w:after="0"/>
              <w:rPr>
                <w:sz w:val="23"/>
                <w:szCs w:val="23"/>
                <w:color w:val="auto"/>
              </w:rPr>
            </w:pP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May 16, 2007</w:t>
            </w:r>
          </w:p>
        </w:tc>
      </w:tr>
      <w:tr>
        <w:trPr>
          <w:trHeight w:val="918"/>
        </w:trPr>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May 16, 2007</w:t>
            </w:r>
          </w:p>
        </w:tc>
      </w:tr>
      <w:tr>
        <w:trPr>
          <w:trHeight w:val="918"/>
        </w:trPr>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May 16, 2007</w:t>
            </w:r>
          </w:p>
        </w:tc>
      </w:tr>
      <w:tr>
        <w:trPr>
          <w:trHeight w:val="918"/>
        </w:trPr>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May 16, 2007</w:t>
            </w:r>
          </w:p>
        </w:tc>
      </w:tr>
    </w:tbl>
    <w:p>
      <w:pPr>
        <w:spacing w:after="0" w:line="200" w:lineRule="exact"/>
        <w:rPr>
          <w:sz w:val="20"/>
          <w:szCs w:val="20"/>
          <w:color w:val="auto"/>
        </w:rPr>
      </w:pPr>
    </w:p>
    <w:p>
      <w:pPr>
        <w:sectPr>
          <w:pgSz w:w="11900" w:h="16838" w:orient="portrait"/>
          <w:cols w:equalWidth="0" w:num="2">
            <w:col w:w="4940" w:space="720"/>
            <w:col w:w="5740"/>
          </w:cols>
          <w:pgMar w:left="240" w:top="341" w:right="25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22"/>
        </w:trPr>
        <w:tc>
          <w:tcPr>
            <w:tcW w:w="5440" w:type="dxa"/>
            <w:vAlign w:val="bottom"/>
          </w:tcPr>
          <w:p>
            <w:pPr>
              <w:jc w:val="center"/>
              <w:spacing w:after="0"/>
              <w:rPr>
                <w:sz w:val="20"/>
                <w:szCs w:val="20"/>
                <w:color w:val="auto"/>
              </w:rPr>
            </w:pPr>
            <w:r>
              <w:rPr>
                <w:rFonts w:ascii="Arial" w:cs="Arial" w:eastAsia="Arial" w:hAnsi="Arial"/>
                <w:sz w:val="18"/>
                <w:szCs w:val="18"/>
                <w:i w:val="1"/>
                <w:iCs w:val="1"/>
                <w:color w:val="auto"/>
                <w:w w:val="89"/>
              </w:rPr>
              <w:t>/s/ Lawrence N. Mondry</w:t>
            </w:r>
          </w:p>
        </w:tc>
        <w:tc>
          <w:tcPr>
            <w:tcW w:w="266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20"/>
        </w:trPr>
        <w:tc>
          <w:tcPr>
            <w:tcW w:w="544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2820" w:type="dxa"/>
            <w:vAlign w:val="bottom"/>
          </w:tcPr>
          <w:p>
            <w:pPr>
              <w:spacing w:after="0"/>
              <w:rPr>
                <w:sz w:val="10"/>
                <w:szCs w:val="10"/>
                <w:color w:val="auto"/>
              </w:rPr>
            </w:pPr>
          </w:p>
        </w:tc>
      </w:tr>
      <w:tr>
        <w:trPr>
          <w:trHeight w:val="319"/>
        </w:trPr>
        <w:tc>
          <w:tcPr>
            <w:tcW w:w="5440" w:type="dxa"/>
            <w:vAlign w:val="bottom"/>
          </w:tcPr>
          <w:p>
            <w:pPr>
              <w:jc w:val="center"/>
              <w:spacing w:after="0"/>
              <w:rPr>
                <w:sz w:val="20"/>
                <w:szCs w:val="20"/>
                <w:color w:val="auto"/>
              </w:rPr>
            </w:pPr>
            <w:r>
              <w:rPr>
                <w:rFonts w:ascii="Arial" w:cs="Arial" w:eastAsia="Arial" w:hAnsi="Arial"/>
                <w:sz w:val="18"/>
                <w:szCs w:val="18"/>
                <w:color w:val="auto"/>
                <w:w w:val="91"/>
              </w:rPr>
              <w:t>Lawrence N. Mondry</w:t>
            </w:r>
          </w:p>
        </w:tc>
        <w:tc>
          <w:tcPr>
            <w:tcW w:w="2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40"/>
              <w:spacing w:after="0"/>
              <w:rPr>
                <w:sz w:val="20"/>
                <w:szCs w:val="20"/>
                <w:color w:val="auto"/>
              </w:rPr>
            </w:pPr>
            <w:r>
              <w:rPr>
                <w:rFonts w:ascii="Arial" w:cs="Arial" w:eastAsia="Arial" w:hAnsi="Arial"/>
                <w:sz w:val="18"/>
                <w:szCs w:val="18"/>
                <w:color w:val="auto"/>
                <w:w w:val="87"/>
              </w:rPr>
              <w:t>May 16, 2007</w:t>
            </w:r>
          </w:p>
        </w:tc>
      </w:tr>
      <w:tr>
        <w:trPr>
          <w:trHeight w:val="459"/>
        </w:trPr>
        <w:tc>
          <w:tcPr>
            <w:tcW w:w="5440" w:type="dxa"/>
            <w:vAlign w:val="bottom"/>
          </w:tcPr>
          <w:p>
            <w:pPr>
              <w:jc w:val="center"/>
              <w:spacing w:after="0"/>
              <w:rPr>
                <w:sz w:val="20"/>
                <w:szCs w:val="20"/>
                <w:color w:val="auto"/>
              </w:rPr>
            </w:pPr>
            <w:r>
              <w:rPr>
                <w:rFonts w:ascii="Arial" w:cs="Arial" w:eastAsia="Arial" w:hAnsi="Arial"/>
                <w:sz w:val="18"/>
                <w:szCs w:val="18"/>
                <w:i w:val="1"/>
                <w:iCs w:val="1"/>
                <w:color w:val="auto"/>
                <w:w w:val="88"/>
              </w:rPr>
              <w:t>/s/ Gordon C. Smith</w:t>
            </w:r>
          </w:p>
        </w:tc>
        <w:tc>
          <w:tcPr>
            <w:tcW w:w="2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20"/>
        </w:trPr>
        <w:tc>
          <w:tcPr>
            <w:tcW w:w="544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2820" w:type="dxa"/>
            <w:vAlign w:val="bottom"/>
          </w:tcPr>
          <w:p>
            <w:pPr>
              <w:spacing w:after="0"/>
              <w:rPr>
                <w:sz w:val="10"/>
                <w:szCs w:val="10"/>
                <w:color w:val="auto"/>
              </w:rPr>
            </w:pPr>
          </w:p>
        </w:tc>
      </w:tr>
      <w:tr>
        <w:trPr>
          <w:trHeight w:val="319"/>
        </w:trPr>
        <w:tc>
          <w:tcPr>
            <w:tcW w:w="5440" w:type="dxa"/>
            <w:vAlign w:val="bottom"/>
          </w:tcPr>
          <w:p>
            <w:pPr>
              <w:jc w:val="center"/>
              <w:spacing w:after="0"/>
              <w:rPr>
                <w:sz w:val="20"/>
                <w:szCs w:val="20"/>
                <w:color w:val="auto"/>
              </w:rPr>
            </w:pPr>
            <w:r>
              <w:rPr>
                <w:rFonts w:ascii="Arial" w:cs="Arial" w:eastAsia="Arial" w:hAnsi="Arial"/>
                <w:sz w:val="18"/>
                <w:szCs w:val="18"/>
                <w:color w:val="auto"/>
                <w:w w:val="89"/>
              </w:rPr>
              <w:t>Gordon C. Smith</w:t>
            </w:r>
          </w:p>
        </w:tc>
        <w:tc>
          <w:tcPr>
            <w:tcW w:w="2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40"/>
              <w:spacing w:after="0"/>
              <w:rPr>
                <w:sz w:val="20"/>
                <w:szCs w:val="20"/>
                <w:color w:val="auto"/>
              </w:rPr>
            </w:pPr>
            <w:r>
              <w:rPr>
                <w:rFonts w:ascii="Arial" w:cs="Arial" w:eastAsia="Arial" w:hAnsi="Arial"/>
                <w:sz w:val="18"/>
                <w:szCs w:val="18"/>
                <w:color w:val="auto"/>
                <w:w w:val="87"/>
              </w:rPr>
              <w:t>May 16, 2007</w:t>
            </w:r>
          </w:p>
        </w:tc>
      </w:tr>
      <w:tr>
        <w:trPr>
          <w:trHeight w:val="363"/>
        </w:trPr>
        <w:tc>
          <w:tcPr>
            <w:tcW w:w="5440" w:type="dxa"/>
            <w:vAlign w:val="bottom"/>
            <w:tcBorders>
              <w:bottom w:val="single" w:sz="8" w:color="808080"/>
            </w:tcBorders>
          </w:tcPr>
          <w:p>
            <w:pPr>
              <w:spacing w:after="0"/>
              <w:rPr>
                <w:sz w:val="24"/>
                <w:szCs w:val="24"/>
                <w:color w:val="auto"/>
              </w:rPr>
            </w:pPr>
          </w:p>
        </w:tc>
        <w:tc>
          <w:tcPr>
            <w:tcW w:w="2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60"/>
              <w:spacing w:after="0"/>
              <w:rPr>
                <w:sz w:val="20"/>
                <w:szCs w:val="20"/>
                <w:color w:val="auto"/>
              </w:rPr>
            </w:pPr>
            <w:r>
              <w:rPr>
                <w:rFonts w:ascii="Arial" w:cs="Arial" w:eastAsia="Arial" w:hAnsi="Arial"/>
                <w:sz w:val="18"/>
                <w:szCs w:val="18"/>
                <w:color w:val="auto"/>
                <w:w w:val="99"/>
              </w:rPr>
              <w:t>May  , 2007</w:t>
            </w:r>
          </w:p>
        </w:tc>
      </w:tr>
      <w:tr>
        <w:trPr>
          <w:trHeight w:val="319"/>
        </w:trPr>
        <w:tc>
          <w:tcPr>
            <w:tcW w:w="5440" w:type="dxa"/>
            <w:vAlign w:val="bottom"/>
          </w:tcPr>
          <w:p>
            <w:pPr>
              <w:jc w:val="center"/>
              <w:spacing w:after="0"/>
              <w:rPr>
                <w:sz w:val="20"/>
                <w:szCs w:val="20"/>
                <w:color w:val="auto"/>
              </w:rPr>
            </w:pPr>
            <w:r>
              <w:rPr>
                <w:rFonts w:ascii="Arial" w:cs="Arial" w:eastAsia="Arial" w:hAnsi="Arial"/>
                <w:sz w:val="18"/>
                <w:szCs w:val="18"/>
                <w:color w:val="auto"/>
                <w:w w:val="90"/>
              </w:rPr>
              <w:t>Robert E. Switz</w:t>
            </w:r>
          </w:p>
        </w:tc>
        <w:tc>
          <w:tcPr>
            <w:tcW w:w="26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-1245870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-1245870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-662940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-216535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74" w:right="739" w:bottom="1440" w:gutter="0" w:footer="0" w:header="0"/>
        </w:sectPr>
      </w:pPr>
    </w:p>
    <w:bookmarkStart w:id="81" w:name="page82"/>
    <w:bookmarkEnd w:id="81"/>
    <w:p>
      <w:pPr>
        <w:ind w:left="4592"/>
        <w:spacing w:after="0"/>
        <w:rPr>
          <w:sz w:val="20"/>
          <w:szCs w:val="20"/>
          <w:color w:val="auto"/>
        </w:rPr>
      </w:pPr>
      <w:r>
        <w:rPr>
          <w:rFonts w:ascii="Arial" w:cs="Arial" w:eastAsia="Arial" w:hAnsi="Arial"/>
          <w:sz w:val="18"/>
          <w:szCs w:val="18"/>
          <w:b w:val="1"/>
          <w:bCs w:val="1"/>
          <w:color w:val="auto"/>
        </w:rPr>
        <w:t>INDEX TO THE EXHIBITS</w:t>
      </w:r>
    </w:p>
    <w:p>
      <w:pPr>
        <w:sectPr>
          <w:pgSz w:w="11900" w:h="16838" w:orient="portrait"/>
          <w:cols w:equalWidth="0" w:num="1">
            <w:col w:w="10211"/>
          </w:cols>
          <w:pgMar w:left="248" w:top="341" w:right="1440" w:bottom="1440" w:gutter="0" w:footer="0" w:header="0"/>
        </w:sectPr>
      </w:pPr>
    </w:p>
    <w:p>
      <w:pPr>
        <w:spacing w:after="0" w:line="227" w:lineRule="exact"/>
        <w:rPr>
          <w:sz w:val="20"/>
          <w:szCs w:val="20"/>
          <w:color w:val="auto"/>
        </w:rPr>
      </w:pPr>
    </w:p>
    <w:p>
      <w:pPr>
        <w:ind w:left="152"/>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12"/>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45847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847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81280</wp:posOffset>
            </wp:positionV>
            <wp:extent cx="496951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69510" cy="215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3632" w:space="720"/>
            <w:col w:w="5859"/>
          </w:cols>
          <w:pgMar w:left="248" w:top="341" w:right="1440" w:bottom="1440" w:gutter="0" w:footer="0" w:header="0"/>
          <w:type w:val="continuous"/>
        </w:sectPr>
      </w:pPr>
    </w:p>
    <w:p>
      <w:pPr>
        <w:spacing w:after="0" w:line="44" w:lineRule="exact"/>
        <w:rPr>
          <w:sz w:val="20"/>
          <w:szCs w:val="20"/>
          <w:color w:val="auto"/>
        </w:rPr>
      </w:pPr>
    </w:p>
    <w:p>
      <w:pPr>
        <w:ind w:left="492"/>
        <w:spacing w:after="0"/>
        <w:tabs>
          <w:tab w:leader="none" w:pos="105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w:t>
      </w:r>
    </w:p>
    <w:p>
      <w:pPr>
        <w:spacing w:after="0" w:line="15" w:lineRule="exact"/>
        <w:rPr>
          <w:sz w:val="20"/>
          <w:szCs w:val="20"/>
          <w:color w:val="auto"/>
        </w:rPr>
      </w:pPr>
    </w:p>
    <w:p>
      <w:pPr>
        <w:ind w:left="492"/>
        <w:spacing w:after="0"/>
        <w:tabs>
          <w:tab w:leader="none" w:pos="105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Micron Technology, Inc. (incorporated herein by reference to</w:t>
      </w:r>
    </w:p>
    <w:p>
      <w:pPr>
        <w:spacing w:after="0" w:line="9" w:lineRule="exact"/>
        <w:rPr>
          <w:sz w:val="20"/>
          <w:szCs w:val="20"/>
          <w:color w:val="auto"/>
        </w:rPr>
      </w:pPr>
    </w:p>
    <w:p>
      <w:pPr>
        <w:ind w:left="1072"/>
        <w:spacing w:after="0"/>
        <w:rPr>
          <w:sz w:val="20"/>
          <w:szCs w:val="20"/>
          <w:color w:val="auto"/>
        </w:rPr>
      </w:pPr>
      <w:r>
        <w:rPr>
          <w:rFonts w:ascii="Arial" w:cs="Arial" w:eastAsia="Arial" w:hAnsi="Arial"/>
          <w:sz w:val="16"/>
          <w:szCs w:val="16"/>
          <w:color w:val="auto"/>
        </w:rPr>
        <w:t>Exhibit 3.1 to the Company's Quarterly Report on Form 10-Q for the fiscal quarter ended November 30, 2000).</w:t>
      </w:r>
    </w:p>
    <w:p>
      <w:pPr>
        <w:spacing w:after="0" w:line="32" w:lineRule="exact"/>
        <w:rPr>
          <w:sz w:val="20"/>
          <w:szCs w:val="20"/>
          <w:color w:val="auto"/>
        </w:rPr>
      </w:pPr>
    </w:p>
    <w:p>
      <w:pPr>
        <w:ind w:left="1072" w:right="1899" w:hanging="583"/>
        <w:spacing w:after="0" w:line="250" w:lineRule="auto"/>
        <w:tabs>
          <w:tab w:leader="none" w:pos="105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Micron Technology, Inc., as amended (incorporated herein by reference to Exhibit 3.7 to the Company's Current Report on Form 8-K filed December 7, 2006).</w:t>
      </w:r>
    </w:p>
    <w:p>
      <w:pPr>
        <w:spacing w:after="0" w:line="1" w:lineRule="exact"/>
        <w:rPr>
          <w:sz w:val="20"/>
          <w:szCs w:val="20"/>
          <w:color w:val="auto"/>
        </w:rPr>
      </w:pPr>
    </w:p>
    <w:p>
      <w:pPr>
        <w:ind w:left="492"/>
        <w:spacing w:after="0"/>
        <w:tabs>
          <w:tab w:leader="none" w:pos="105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Indenture (including form of Convertible Senior Note).</w:t>
      </w:r>
    </w:p>
    <w:p>
      <w:pPr>
        <w:spacing w:after="0" w:line="9" w:lineRule="exact"/>
        <w:rPr>
          <w:sz w:val="20"/>
          <w:szCs w:val="20"/>
          <w:color w:val="auto"/>
        </w:rPr>
      </w:pPr>
    </w:p>
    <w:p>
      <w:pPr>
        <w:ind w:left="492"/>
        <w:spacing w:after="0"/>
        <w:tabs>
          <w:tab w:leader="none" w:pos="10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9"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w:t>
      </w:r>
    </w:p>
    <w:p>
      <w:pPr>
        <w:spacing w:after="0" w:line="9" w:lineRule="exact"/>
        <w:rPr>
          <w:sz w:val="20"/>
          <w:szCs w:val="20"/>
          <w:color w:val="auto"/>
        </w:rPr>
      </w:pPr>
    </w:p>
    <w:p>
      <w:pPr>
        <w:ind w:left="1072" w:right="1739" w:hanging="671"/>
        <w:spacing w:after="0" w:line="250" w:lineRule="auto"/>
        <w:tabs>
          <w:tab w:leader="none" w:pos="105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Wilson Sonsini Goodrich &amp; Rosati, Professional Corporation (included in the opinion filed as Exhibit 5.1 to this registration statement).</w:t>
      </w:r>
    </w:p>
    <w:p>
      <w:pPr>
        <w:spacing w:after="0" w:line="1"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w:t>
      </w:r>
    </w:p>
    <w:p>
      <w:pPr>
        <w:spacing w:after="0" w:line="9"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 hereof).</w:t>
      </w:r>
    </w:p>
    <w:p>
      <w:pPr>
        <w:spacing w:after="0" w:line="9" w:lineRule="exact"/>
        <w:rPr>
          <w:sz w:val="20"/>
          <w:szCs w:val="20"/>
          <w:color w:val="auto"/>
        </w:rPr>
      </w:pPr>
    </w:p>
    <w:p>
      <w:pPr>
        <w:ind w:left="412"/>
        <w:spacing w:after="0"/>
        <w:tabs>
          <w:tab w:leader="none" w:pos="1052"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43307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18" w:lineRule="exact"/>
        <w:rPr>
          <w:sz w:val="20"/>
          <w:szCs w:val="20"/>
          <w:color w:val="auto"/>
        </w:rPr>
      </w:pPr>
    </w:p>
    <w:p>
      <w:pPr>
        <w:ind w:left="532" w:hanging="532"/>
        <w:spacing w:after="0"/>
        <w:tabs>
          <w:tab w:leader="none" w:pos="5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To be filed as an exhibit to a Current Report on Form 8-K and incorporated by reference,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341" w:right="1440" w:bottom="1440" w:gutter="0" w:footer="0" w:header="0"/>
          <w:type w:val="continuous"/>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Dated as of May [</w:t>
        <w:tab/>
        <w:t>•</w:t>
      </w:r>
      <w:r>
        <w:rPr>
          <w:sz w:val="20"/>
          <w:szCs w:val="20"/>
          <w:color w:val="auto"/>
        </w:rPr>
        <w:tab/>
      </w:r>
      <w:r>
        <w:rPr>
          <w:rFonts w:ascii="Arial" w:cs="Arial" w:eastAsia="Arial" w:hAnsi="Arial"/>
          <w:sz w:val="16"/>
          <w:szCs w:val="16"/>
          <w:b w:val="1"/>
          <w:bCs w:val="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$1,100,000,000</w:t>
      </w:r>
    </w:p>
    <w:p>
      <w:pPr>
        <w:spacing w:after="0" w:line="21" w:lineRule="exact"/>
        <w:rPr>
          <w:sz w:val="20"/>
          <w:szCs w:val="20"/>
          <w:color w:val="auto"/>
        </w:rPr>
      </w:pPr>
    </w:p>
    <w:p>
      <w:pPr>
        <w:ind w:left="3980" w:hanging="228"/>
        <w:spacing w:after="0"/>
        <w:tabs>
          <w:tab w:leader="none" w:pos="39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 Convertible Senior Notes due June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80" w:type="dxa"/>
            <w:vAlign w:val="bottom"/>
          </w:tcPr>
          <w:p>
            <w:pPr>
              <w:ind w:left="2280"/>
              <w:spacing w:after="0"/>
              <w:rPr>
                <w:sz w:val="20"/>
                <w:szCs w:val="20"/>
                <w:color w:val="auto"/>
              </w:rPr>
            </w:pPr>
            <w:r>
              <w:rPr>
                <w:rFonts w:ascii="Arial" w:cs="Arial" w:eastAsia="Arial" w:hAnsi="Arial"/>
                <w:sz w:val="18"/>
                <w:szCs w:val="18"/>
                <w:b w:val="1"/>
                <w:bCs w:val="1"/>
                <w:color w:val="auto"/>
              </w:rPr>
              <w:t>Micron Technology, Inc.</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180" w:type="dxa"/>
            <w:vAlign w:val="bottom"/>
            <w:gridSpan w:val="4"/>
          </w:tcPr>
          <w:p>
            <w:pPr>
              <w:ind w:left="360"/>
              <w:spacing w:after="0"/>
              <w:rPr>
                <w:sz w:val="20"/>
                <w:szCs w:val="20"/>
                <w:color w:val="auto"/>
              </w:rPr>
            </w:pPr>
            <w:r>
              <w:rPr>
                <w:rFonts w:ascii="Arial" w:cs="Arial" w:eastAsia="Arial" w:hAnsi="Arial"/>
                <w:sz w:val="18"/>
                <w:szCs w:val="18"/>
                <w:color w:val="auto"/>
                <w:w w:val="89"/>
              </w:rPr>
              <w:t>Reconciliation and Tie between the Trust Indenture Act of 1939 and Indenture, dated as of May</w:t>
            </w:r>
          </w:p>
        </w:tc>
        <w:tc>
          <w:tcPr>
            <w:tcW w:w="4180" w:type="dxa"/>
            <w:vAlign w:val="bottom"/>
            <w:gridSpan w:val="4"/>
          </w:tcPr>
          <w:p>
            <w:pPr>
              <w:ind w:left="120"/>
              <w:spacing w:after="0"/>
              <w:rPr>
                <w:sz w:val="20"/>
                <w:szCs w:val="20"/>
                <w:color w:val="auto"/>
              </w:rPr>
            </w:pPr>
            <w:r>
              <w:rPr>
                <w:rFonts w:ascii="Arial" w:cs="Arial" w:eastAsia="Arial" w:hAnsi="Arial"/>
                <w:sz w:val="18"/>
                <w:szCs w:val="18"/>
                <w:color w:val="auto"/>
                <w:w w:val="87"/>
              </w:rPr>
              <w:t>, 2007, between Micron Technology, Inc. and Wells Fargo</w:t>
            </w:r>
          </w:p>
        </w:tc>
        <w:tc>
          <w:tcPr>
            <w:tcW w:w="0" w:type="dxa"/>
            <w:vAlign w:val="bottom"/>
          </w:tcPr>
          <w:p>
            <w:pPr>
              <w:spacing w:after="0"/>
              <w:rPr>
                <w:sz w:val="1"/>
                <w:szCs w:val="1"/>
                <w:color w:val="auto"/>
              </w:rPr>
            </w:pPr>
          </w:p>
        </w:tc>
      </w:tr>
      <w:tr>
        <w:trPr>
          <w:trHeight w:val="222"/>
        </w:trPr>
        <w:tc>
          <w:tcPr>
            <w:tcW w:w="7180" w:type="dxa"/>
            <w:vAlign w:val="bottom"/>
            <w:gridSpan w:val="4"/>
          </w:tcPr>
          <w:p>
            <w:pPr>
              <w:spacing w:after="0"/>
              <w:rPr>
                <w:sz w:val="20"/>
                <w:szCs w:val="20"/>
                <w:color w:val="auto"/>
              </w:rPr>
            </w:pPr>
            <w:r>
              <w:rPr>
                <w:rFonts w:ascii="Arial" w:cs="Arial" w:eastAsia="Arial" w:hAnsi="Arial"/>
                <w:sz w:val="18"/>
                <w:szCs w:val="18"/>
                <w:color w:val="auto"/>
              </w:rPr>
              <w:t>Bank, National Association, as Trustee.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Trust Indenture Act Section</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vMerge w:val="restart"/>
          </w:tcPr>
          <w:p>
            <w:pPr>
              <w:spacing w:after="0"/>
              <w:rPr>
                <w:sz w:val="9"/>
                <w:szCs w:val="9"/>
                <w:color w:val="auto"/>
              </w:rPr>
            </w:pPr>
          </w:p>
        </w:tc>
        <w:tc>
          <w:tcPr>
            <w:tcW w:w="300" w:type="dxa"/>
            <w:vAlign w:val="bottom"/>
            <w:vMerge w:val="restart"/>
          </w:tcPr>
          <w:p>
            <w:pPr>
              <w:spacing w:after="0"/>
              <w:rPr>
                <w:sz w:val="9"/>
                <w:szCs w:val="9"/>
                <w:color w:val="auto"/>
              </w:rPr>
            </w:pPr>
          </w:p>
        </w:tc>
        <w:tc>
          <w:tcPr>
            <w:tcW w:w="5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310</w:t>
            </w: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(a)(1)</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(a)(2)</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7.10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(a)(4)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(a)(5)</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7.08(a)(iii), 7.08(e)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311</w:t>
            </w:r>
          </w:p>
        </w:tc>
        <w:tc>
          <w:tcPr>
            <w:tcW w:w="4680" w:type="dxa"/>
            <w:vAlign w:val="bottom"/>
          </w:tcPr>
          <w:p>
            <w:pPr>
              <w:ind w:left="140"/>
              <w:spacing w:after="0"/>
              <w:rPr>
                <w:sz w:val="20"/>
                <w:szCs w:val="20"/>
                <w:color w:val="auto"/>
              </w:rPr>
            </w:pPr>
            <w:r>
              <w:rPr>
                <w:rFonts w:ascii="Arial" w:cs="Arial" w:eastAsia="Arial" w:hAnsi="Arial"/>
                <w:sz w:val="18"/>
                <w:szCs w:val="18"/>
                <w:color w:val="auto"/>
              </w:rPr>
              <w:t>(a)</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7.03</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312</w:t>
            </w: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13.02(a), 13.04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13.02(a), 13.04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313</w:t>
            </w:r>
          </w:p>
        </w:tc>
        <w:tc>
          <w:tcPr>
            <w:tcW w:w="4680" w:type="dxa"/>
            <w:vAlign w:val="bottom"/>
          </w:tcPr>
          <w:p>
            <w:pPr>
              <w:ind w:left="140"/>
              <w:spacing w:after="0"/>
              <w:rPr>
                <w:sz w:val="20"/>
                <w:szCs w:val="20"/>
                <w:color w:val="auto"/>
              </w:rPr>
            </w:pPr>
            <w:r>
              <w:rPr>
                <w:rFonts w:ascii="Arial" w:cs="Arial" w:eastAsia="Arial" w:hAnsi="Arial"/>
                <w:sz w:val="18"/>
                <w:szCs w:val="18"/>
                <w:color w:val="auto"/>
              </w:rPr>
              <w:t>(a)</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7.06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7.05, 7.06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314</w:t>
            </w:r>
          </w:p>
        </w:tc>
        <w:tc>
          <w:tcPr>
            <w:tcW w:w="4680" w:type="dxa"/>
            <w:vAlign w:val="bottom"/>
          </w:tcPr>
          <w:p>
            <w:pPr>
              <w:ind w:left="140"/>
              <w:spacing w:after="0"/>
              <w:rPr>
                <w:sz w:val="20"/>
                <w:szCs w:val="20"/>
                <w:color w:val="auto"/>
              </w:rPr>
            </w:pPr>
            <w:r>
              <w:rPr>
                <w:rFonts w:ascii="Arial" w:cs="Arial" w:eastAsia="Arial" w:hAnsi="Arial"/>
                <w:sz w:val="18"/>
                <w:szCs w:val="18"/>
                <w:color w:val="auto"/>
              </w:rPr>
              <w:t>(a)</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4.04, 4.05</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(c)(1)</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13.05(1)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(c)(2)</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13.05(2)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(e)</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13.06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315</w:t>
            </w: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 7.02(a)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(b)</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7.05</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7.01(c)</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 7.02(a)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7.02(c)</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(e)</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6.12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316</w:t>
            </w: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(a)(1)(A)</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(a)(1)(B)</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9.02(b)</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317</w:t>
            </w:r>
          </w:p>
        </w:tc>
        <w:tc>
          <w:tcPr>
            <w:tcW w:w="4680" w:type="dxa"/>
            <w:vAlign w:val="bottom"/>
          </w:tcPr>
          <w:p>
            <w:pPr>
              <w:ind w:left="140"/>
              <w:spacing w:after="0"/>
              <w:rPr>
                <w:sz w:val="20"/>
                <w:szCs w:val="20"/>
                <w:color w:val="auto"/>
              </w:rPr>
            </w:pPr>
            <w:r>
              <w:rPr>
                <w:rFonts w:ascii="Arial" w:cs="Arial" w:eastAsia="Arial" w:hAnsi="Arial"/>
                <w:sz w:val="18"/>
                <w:szCs w:val="18"/>
                <w:color w:val="auto"/>
              </w:rPr>
              <w:t>(a)(1)</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6.03</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(a)(2)</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(b)</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8.02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318</w:t>
            </w: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-5794375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-5794375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-5794375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-5794375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r>
      <w:tr>
        <w:trPr>
          <w:trHeight w:val="105"/>
        </w:trPr>
        <w:tc>
          <w:tcPr>
            <w:tcW w:w="108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313"/>
        </w:trPr>
        <w:tc>
          <w:tcPr>
            <w:tcW w:w="10840" w:type="dxa"/>
            <w:vAlign w:val="bottom"/>
            <w:gridSpan w:val="3"/>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1.01.</w:t>
            </w:r>
          </w:p>
        </w:tc>
        <w:tc>
          <w:tcPr>
            <w:tcW w:w="87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1.02.</w:t>
            </w:r>
          </w:p>
        </w:tc>
        <w:tc>
          <w:tcPr>
            <w:tcW w:w="878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1.03.</w:t>
            </w:r>
          </w:p>
        </w:tc>
        <w:tc>
          <w:tcPr>
            <w:tcW w:w="8780" w:type="dxa"/>
            <w:vAlign w:val="bottom"/>
          </w:tcPr>
          <w:p>
            <w:pPr>
              <w:ind w:left="100"/>
              <w:spacing w:after="0"/>
              <w:rPr>
                <w:sz w:val="20"/>
                <w:szCs w:val="20"/>
                <w:color w:val="auto"/>
              </w:rPr>
            </w:pPr>
            <w:r>
              <w:rPr>
                <w:rFonts w:ascii="Arial" w:cs="Arial" w:eastAsia="Arial" w:hAnsi="Arial"/>
                <w:sz w:val="18"/>
                <w:szCs w:val="18"/>
                <w:color w:val="auto"/>
              </w:rPr>
              <w:t>Incorporation by Reference of Trust Indenture Act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1.04.</w:t>
            </w:r>
          </w:p>
        </w:tc>
        <w:tc>
          <w:tcPr>
            <w:tcW w:w="878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1.05.</w:t>
            </w:r>
          </w:p>
        </w:tc>
        <w:tc>
          <w:tcPr>
            <w:tcW w:w="8780" w:type="dxa"/>
            <w:vAlign w:val="bottom"/>
          </w:tcPr>
          <w:p>
            <w:pPr>
              <w:ind w:left="100"/>
              <w:spacing w:after="0"/>
              <w:rPr>
                <w:sz w:val="20"/>
                <w:szCs w:val="20"/>
                <w:color w:val="auto"/>
              </w:rPr>
            </w:pPr>
            <w:r>
              <w:rPr>
                <w:rFonts w:ascii="Arial" w:cs="Arial" w:eastAsia="Arial" w:hAnsi="Arial"/>
                <w:sz w:val="18"/>
                <w:szCs w:val="18"/>
                <w:color w:val="auto"/>
              </w:rPr>
              <w:t>Acts of Holders</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ARTICLE 2</w:t>
            </w:r>
          </w:p>
        </w:tc>
        <w:tc>
          <w:tcPr>
            <w:tcW w:w="1100" w:type="dxa"/>
            <w:vAlign w:val="bottom"/>
          </w:tcPr>
          <w:p>
            <w:pPr>
              <w:ind w:left="80"/>
              <w:spacing w:after="0"/>
              <w:rPr>
                <w:sz w:val="20"/>
                <w:szCs w:val="20"/>
                <w:color w:val="auto"/>
              </w:rPr>
            </w:pPr>
            <w:r>
              <w:rPr>
                <w:rFonts w:ascii="Arial" w:cs="Arial" w:eastAsia="Arial" w:hAnsi="Arial"/>
                <w:sz w:val="18"/>
                <w:szCs w:val="18"/>
                <w:color w:val="auto"/>
              </w:rPr>
              <w:t>The Notes</w:t>
            </w:r>
          </w:p>
        </w:tc>
        <w:tc>
          <w:tcPr>
            <w:tcW w:w="8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2.01.</w:t>
            </w:r>
          </w:p>
        </w:tc>
        <w:tc>
          <w:tcPr>
            <w:tcW w:w="8780" w:type="dxa"/>
            <w:vAlign w:val="bottom"/>
          </w:tcPr>
          <w:p>
            <w:pPr>
              <w:ind w:left="100"/>
              <w:spacing w:after="0"/>
              <w:rPr>
                <w:sz w:val="20"/>
                <w:szCs w:val="20"/>
                <w:color w:val="auto"/>
              </w:rPr>
            </w:pPr>
            <w:r>
              <w:rPr>
                <w:rFonts w:ascii="Arial" w:cs="Arial" w:eastAsia="Arial" w:hAnsi="Arial"/>
                <w:sz w:val="18"/>
                <w:szCs w:val="18"/>
                <w:color w:val="auto"/>
              </w:rPr>
              <w:t>Form, Dating and Denominations; Legends</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2.02.</w:t>
            </w:r>
          </w:p>
        </w:tc>
        <w:tc>
          <w:tcPr>
            <w:tcW w:w="878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2.03.</w:t>
            </w:r>
          </w:p>
        </w:tc>
        <w:tc>
          <w:tcPr>
            <w:tcW w:w="8780" w:type="dxa"/>
            <w:vAlign w:val="bottom"/>
          </w:tcPr>
          <w:p>
            <w:pPr>
              <w:ind w:left="100"/>
              <w:spacing w:after="0"/>
              <w:rPr>
                <w:sz w:val="20"/>
                <w:szCs w:val="20"/>
                <w:color w:val="auto"/>
              </w:rPr>
            </w:pPr>
            <w:r>
              <w:rPr>
                <w:rFonts w:ascii="Arial" w:cs="Arial" w:eastAsia="Arial" w:hAnsi="Arial"/>
                <w:sz w:val="18"/>
                <w:szCs w:val="18"/>
                <w:color w:val="auto"/>
              </w:rPr>
              <w:t>Registrar, Paying Agent and Conversion Agent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2.04.</w:t>
            </w:r>
          </w:p>
        </w:tc>
        <w:tc>
          <w:tcPr>
            <w:tcW w:w="878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2.05.</w:t>
            </w:r>
          </w:p>
        </w:tc>
        <w:tc>
          <w:tcPr>
            <w:tcW w:w="8780" w:type="dxa"/>
            <w:vAlign w:val="bottom"/>
          </w:tcPr>
          <w:p>
            <w:pPr>
              <w:ind w:left="100"/>
              <w:spacing w:after="0"/>
              <w:rPr>
                <w:sz w:val="20"/>
                <w:szCs w:val="20"/>
                <w:color w:val="auto"/>
              </w:rPr>
            </w:pPr>
            <w:r>
              <w:rPr>
                <w:rFonts w:ascii="Arial" w:cs="Arial" w:eastAsia="Arial" w:hAnsi="Arial"/>
                <w:sz w:val="18"/>
                <w:szCs w:val="18"/>
                <w:color w:val="auto"/>
              </w:rPr>
              <w:t>Noteholder Lists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2.06.</w:t>
            </w:r>
          </w:p>
        </w:tc>
        <w:tc>
          <w:tcPr>
            <w:tcW w:w="8780" w:type="dxa"/>
            <w:vAlign w:val="bottom"/>
          </w:tcPr>
          <w:p>
            <w:pPr>
              <w:ind w:left="100"/>
              <w:spacing w:after="0"/>
              <w:rPr>
                <w:sz w:val="20"/>
                <w:szCs w:val="20"/>
                <w:color w:val="auto"/>
              </w:rPr>
            </w:pPr>
            <w:r>
              <w:rPr>
                <w:rFonts w:ascii="Arial" w:cs="Arial" w:eastAsia="Arial" w:hAnsi="Arial"/>
                <w:sz w:val="18"/>
                <w:szCs w:val="18"/>
                <w:color w:val="auto"/>
              </w:rPr>
              <w:t>Transfer and Exchange</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2.07.</w:t>
            </w:r>
          </w:p>
        </w:tc>
        <w:tc>
          <w:tcPr>
            <w:tcW w:w="878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2.08.</w:t>
            </w:r>
          </w:p>
        </w:tc>
        <w:tc>
          <w:tcPr>
            <w:tcW w:w="878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2.09.</w:t>
            </w:r>
          </w:p>
        </w:tc>
        <w:tc>
          <w:tcPr>
            <w:tcW w:w="878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2.10.</w:t>
            </w:r>
          </w:p>
        </w:tc>
        <w:tc>
          <w:tcPr>
            <w:tcW w:w="878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2.11.</w:t>
            </w:r>
          </w:p>
        </w:tc>
        <w:tc>
          <w:tcPr>
            <w:tcW w:w="878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2.12.</w:t>
            </w:r>
          </w:p>
        </w:tc>
        <w:tc>
          <w:tcPr>
            <w:tcW w:w="878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2.13.</w:t>
            </w:r>
          </w:p>
        </w:tc>
        <w:tc>
          <w:tcPr>
            <w:tcW w:w="8780" w:type="dxa"/>
            <w:vAlign w:val="bottom"/>
          </w:tcPr>
          <w:p>
            <w:pPr>
              <w:ind w:left="100"/>
              <w:spacing w:after="0"/>
              <w:rPr>
                <w:sz w:val="20"/>
                <w:szCs w:val="20"/>
                <w:color w:val="auto"/>
              </w:rPr>
            </w:pPr>
            <w:r>
              <w:rPr>
                <w:rFonts w:ascii="Arial" w:cs="Arial" w:eastAsia="Arial" w:hAnsi="Arial"/>
                <w:sz w:val="18"/>
                <w:szCs w:val="18"/>
                <w:color w:val="auto"/>
              </w:rPr>
              <w:t>Book-Entry Provisions for Global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ARTICLE 3</w:t>
            </w:r>
          </w:p>
        </w:tc>
        <w:tc>
          <w:tcPr>
            <w:tcW w:w="1100" w:type="dxa"/>
            <w:vAlign w:val="bottom"/>
          </w:tcPr>
          <w:p>
            <w:pPr>
              <w:ind w:left="80"/>
              <w:spacing w:after="0"/>
              <w:rPr>
                <w:sz w:val="20"/>
                <w:szCs w:val="20"/>
                <w:color w:val="auto"/>
              </w:rPr>
            </w:pPr>
            <w:r>
              <w:rPr>
                <w:rFonts w:ascii="Arial" w:cs="Arial" w:eastAsia="Arial" w:hAnsi="Arial"/>
                <w:sz w:val="18"/>
                <w:szCs w:val="18"/>
                <w:color w:val="auto"/>
                <w:w w:val="94"/>
              </w:rPr>
              <w:t>Repurchases</w:t>
            </w:r>
          </w:p>
        </w:tc>
        <w:tc>
          <w:tcPr>
            <w:tcW w:w="8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3.01.</w:t>
            </w:r>
          </w:p>
        </w:tc>
        <w:tc>
          <w:tcPr>
            <w:tcW w:w="8780" w:type="dxa"/>
            <w:vAlign w:val="bottom"/>
          </w:tcPr>
          <w:p>
            <w:pPr>
              <w:ind w:left="10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3.02.</w:t>
            </w:r>
          </w:p>
        </w:tc>
        <w:tc>
          <w:tcPr>
            <w:tcW w:w="8780" w:type="dxa"/>
            <w:vAlign w:val="bottom"/>
          </w:tcPr>
          <w:p>
            <w:pPr>
              <w:ind w:left="100"/>
              <w:spacing w:after="0"/>
              <w:rPr>
                <w:sz w:val="20"/>
                <w:szCs w:val="20"/>
                <w:color w:val="auto"/>
              </w:rPr>
            </w:pPr>
            <w:r>
              <w:rPr>
                <w:rFonts w:ascii="Arial" w:cs="Arial" w:eastAsia="Arial" w:hAnsi="Arial"/>
                <w:sz w:val="18"/>
                <w:szCs w:val="18"/>
                <w:color w:val="auto"/>
              </w:rPr>
              <w:t>Effect of Repurchase Notice</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3.03.</w:t>
            </w:r>
          </w:p>
        </w:tc>
        <w:tc>
          <w:tcPr>
            <w:tcW w:w="8780" w:type="dxa"/>
            <w:vAlign w:val="bottom"/>
          </w:tcPr>
          <w:p>
            <w:pPr>
              <w:ind w:left="100"/>
              <w:spacing w:after="0"/>
              <w:rPr>
                <w:sz w:val="20"/>
                <w:szCs w:val="20"/>
                <w:color w:val="auto"/>
              </w:rPr>
            </w:pPr>
            <w:r>
              <w:rPr>
                <w:rFonts w:ascii="Arial" w:cs="Arial" w:eastAsia="Arial" w:hAnsi="Arial"/>
                <w:sz w:val="18"/>
                <w:szCs w:val="18"/>
                <w:color w:val="auto"/>
              </w:rPr>
              <w:t>Deposit of Repurchase Price</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3.04.</w:t>
            </w:r>
          </w:p>
        </w:tc>
        <w:tc>
          <w:tcPr>
            <w:tcW w:w="8780" w:type="dxa"/>
            <w:vAlign w:val="bottom"/>
          </w:tcPr>
          <w:p>
            <w:pPr>
              <w:ind w:left="100"/>
              <w:spacing w:after="0"/>
              <w:rPr>
                <w:sz w:val="20"/>
                <w:szCs w:val="20"/>
                <w:color w:val="auto"/>
              </w:rPr>
            </w:pPr>
            <w:r>
              <w:rPr>
                <w:rFonts w:ascii="Arial" w:cs="Arial" w:eastAsia="Arial" w:hAnsi="Arial"/>
                <w:sz w:val="18"/>
                <w:szCs w:val="18"/>
                <w:color w:val="auto"/>
              </w:rPr>
              <w:t>Notes Repurchased in Part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3.05.</w:t>
            </w:r>
          </w:p>
        </w:tc>
        <w:tc>
          <w:tcPr>
            <w:tcW w:w="8780" w:type="dxa"/>
            <w:vAlign w:val="bottom"/>
          </w:tcPr>
          <w:p>
            <w:pPr>
              <w:ind w:left="10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ARTICLE 4</w:t>
            </w:r>
          </w:p>
        </w:tc>
        <w:tc>
          <w:tcPr>
            <w:tcW w:w="1100" w:type="dxa"/>
            <w:vAlign w:val="bottom"/>
          </w:tcPr>
          <w:p>
            <w:pPr>
              <w:ind w:left="80"/>
              <w:spacing w:after="0"/>
              <w:rPr>
                <w:sz w:val="20"/>
                <w:szCs w:val="20"/>
                <w:color w:val="auto"/>
              </w:rPr>
            </w:pPr>
            <w:r>
              <w:rPr>
                <w:rFonts w:ascii="Arial" w:cs="Arial" w:eastAsia="Arial" w:hAnsi="Arial"/>
                <w:sz w:val="18"/>
                <w:szCs w:val="18"/>
                <w:color w:val="auto"/>
              </w:rPr>
              <w:t>Covenants</w:t>
            </w:r>
          </w:p>
        </w:tc>
        <w:tc>
          <w:tcPr>
            <w:tcW w:w="8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4.01.</w:t>
            </w:r>
          </w:p>
        </w:tc>
        <w:tc>
          <w:tcPr>
            <w:tcW w:w="8780" w:type="dxa"/>
            <w:vAlign w:val="bottom"/>
          </w:tcPr>
          <w:p>
            <w:pPr>
              <w:ind w:left="100"/>
              <w:spacing w:after="0"/>
              <w:rPr>
                <w:sz w:val="20"/>
                <w:szCs w:val="20"/>
                <w:color w:val="auto"/>
              </w:rPr>
            </w:pPr>
            <w:r>
              <w:rPr>
                <w:rFonts w:ascii="Arial" w:cs="Arial" w:eastAsia="Arial" w:hAnsi="Arial"/>
                <w:sz w:val="18"/>
                <w:szCs w:val="18"/>
                <w:color w:val="auto"/>
              </w:rPr>
              <w:t>Payment of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4.02.</w:t>
            </w:r>
          </w:p>
        </w:tc>
        <w:tc>
          <w:tcPr>
            <w:tcW w:w="8780" w:type="dxa"/>
            <w:vAlign w:val="bottom"/>
          </w:tcPr>
          <w:p>
            <w:pPr>
              <w:ind w:left="100"/>
              <w:spacing w:after="0"/>
              <w:rPr>
                <w:sz w:val="20"/>
                <w:szCs w:val="20"/>
                <w:color w:val="auto"/>
              </w:rPr>
            </w:pPr>
            <w:r>
              <w:rPr>
                <w:rFonts w:ascii="Arial" w:cs="Arial" w:eastAsia="Arial" w:hAnsi="Arial"/>
                <w:sz w:val="18"/>
                <w:szCs w:val="18"/>
                <w:color w:val="auto"/>
              </w:rPr>
              <w:t>Maintenance of Office or Agency</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4.03.</w:t>
            </w:r>
          </w:p>
        </w:tc>
        <w:tc>
          <w:tcPr>
            <w:tcW w:w="8780" w:type="dxa"/>
            <w:vAlign w:val="bottom"/>
          </w:tcPr>
          <w:p>
            <w:pPr>
              <w:ind w:left="100"/>
              <w:spacing w:after="0"/>
              <w:rPr>
                <w:sz w:val="20"/>
                <w:szCs w:val="20"/>
                <w:color w:val="auto"/>
              </w:rPr>
            </w:pPr>
            <w:r>
              <w:rPr>
                <w:rFonts w:ascii="Arial" w:cs="Arial" w:eastAsia="Arial" w:hAnsi="Arial"/>
                <w:sz w:val="18"/>
                <w:szCs w:val="18"/>
                <w:color w:val="auto"/>
              </w:rPr>
              <w:t>Existence</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4.04.</w:t>
            </w:r>
          </w:p>
        </w:tc>
        <w:tc>
          <w:tcPr>
            <w:tcW w:w="8780" w:type="dxa"/>
            <w:vAlign w:val="bottom"/>
          </w:tcPr>
          <w:p>
            <w:pPr>
              <w:ind w:left="100"/>
              <w:spacing w:after="0"/>
              <w:rPr>
                <w:sz w:val="20"/>
                <w:szCs w:val="20"/>
                <w:color w:val="auto"/>
              </w:rPr>
            </w:pPr>
            <w:r>
              <w:rPr>
                <w:rFonts w:ascii="Arial" w:cs="Arial" w:eastAsia="Arial" w:hAnsi="Arial"/>
                <w:sz w:val="18"/>
                <w:szCs w:val="18"/>
                <w:color w:val="auto"/>
              </w:rPr>
              <w:t>Annual Reports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4.05.</w:t>
            </w:r>
          </w:p>
        </w:tc>
        <w:tc>
          <w:tcPr>
            <w:tcW w:w="8780" w:type="dxa"/>
            <w:vAlign w:val="bottom"/>
          </w:tcPr>
          <w:p>
            <w:pPr>
              <w:ind w:left="100"/>
              <w:spacing w:after="0"/>
              <w:rPr>
                <w:sz w:val="20"/>
                <w:szCs w:val="20"/>
                <w:color w:val="auto"/>
              </w:rPr>
            </w:pPr>
            <w:r>
              <w:rPr>
                <w:rFonts w:ascii="Arial" w:cs="Arial" w:eastAsia="Arial" w:hAnsi="Arial"/>
                <w:sz w:val="18"/>
                <w:szCs w:val="18"/>
                <w:color w:val="auto"/>
              </w:rPr>
              <w:t>Reports to Trustee</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4.06.</w:t>
            </w:r>
          </w:p>
        </w:tc>
        <w:tc>
          <w:tcPr>
            <w:tcW w:w="8780" w:type="dxa"/>
            <w:vAlign w:val="bottom"/>
          </w:tcPr>
          <w:p>
            <w:pPr>
              <w:ind w:left="100"/>
              <w:spacing w:after="0"/>
              <w:rPr>
                <w:sz w:val="20"/>
                <w:szCs w:val="20"/>
                <w:color w:val="auto"/>
              </w:rPr>
            </w:pPr>
            <w:r>
              <w:rPr>
                <w:rFonts w:ascii="Arial" w:cs="Arial" w:eastAsia="Arial" w:hAnsi="Arial"/>
                <w:sz w:val="18"/>
                <w:szCs w:val="18"/>
                <w:color w:val="auto"/>
              </w:rPr>
              <w:t>Stay, Extension and Usury Laws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840" w:type="dxa"/>
            <w:vAlign w:val="bottom"/>
            <w:gridSpan w:val="3"/>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59"/>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5.01.</w:t>
            </w:r>
          </w:p>
        </w:tc>
        <w:tc>
          <w:tcPr>
            <w:tcW w:w="8780" w:type="dxa"/>
            <w:vAlign w:val="bottom"/>
          </w:tcPr>
          <w:p>
            <w:pPr>
              <w:ind w:left="100"/>
              <w:spacing w:after="0"/>
              <w:rPr>
                <w:sz w:val="20"/>
                <w:szCs w:val="20"/>
                <w:color w:val="auto"/>
              </w:rPr>
            </w:pPr>
            <w:r>
              <w:rPr>
                <w:rFonts w:ascii="Arial" w:cs="Arial" w:eastAsia="Arial" w:hAnsi="Arial"/>
                <w:sz w:val="18"/>
                <w:szCs w:val="18"/>
                <w:color w:val="auto"/>
              </w:rPr>
              <w:t>Consolidation, Merger, Sale or Lease of Assets by the Company</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840" w:type="dxa"/>
            <w:vAlign w:val="bottom"/>
            <w:gridSpan w:val="3"/>
          </w:tcPr>
          <w:p>
            <w:pPr>
              <w:spacing w:after="0"/>
              <w:rPr>
                <w:sz w:val="20"/>
                <w:szCs w:val="20"/>
                <w:color w:val="auto"/>
              </w:rPr>
            </w:pPr>
            <w:r>
              <w:rPr>
                <w:rFonts w:ascii="Arial" w:cs="Arial" w:eastAsia="Arial" w:hAnsi="Arial"/>
                <w:sz w:val="18"/>
                <w:szCs w:val="18"/>
                <w:color w:val="auto"/>
              </w:rPr>
              <w:t>ARTICLE 6  Default and Remedies</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6.01.</w:t>
            </w:r>
          </w:p>
        </w:tc>
        <w:tc>
          <w:tcPr>
            <w:tcW w:w="878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6.02.</w:t>
            </w:r>
          </w:p>
        </w:tc>
        <w:tc>
          <w:tcPr>
            <w:tcW w:w="878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6.03.</w:t>
            </w:r>
          </w:p>
        </w:tc>
        <w:tc>
          <w:tcPr>
            <w:tcW w:w="878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6.04.</w:t>
            </w:r>
          </w:p>
        </w:tc>
        <w:tc>
          <w:tcPr>
            <w:tcW w:w="878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6.05.</w:t>
            </w:r>
          </w:p>
        </w:tc>
        <w:tc>
          <w:tcPr>
            <w:tcW w:w="8780" w:type="dxa"/>
            <w:vAlign w:val="bottom"/>
          </w:tcPr>
          <w:p>
            <w:pPr>
              <w:ind w:left="100"/>
              <w:spacing w:after="0"/>
              <w:rPr>
                <w:sz w:val="20"/>
                <w:szCs w:val="20"/>
                <w:color w:val="auto"/>
              </w:rPr>
            </w:pPr>
            <w:r>
              <w:rPr>
                <w:rFonts w:ascii="Arial" w:cs="Arial" w:eastAsia="Arial" w:hAnsi="Arial"/>
                <w:sz w:val="18"/>
                <w:szCs w:val="18"/>
                <w:color w:val="auto"/>
              </w:rPr>
              <w:t>Control by Majority</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6.06.</w:t>
            </w:r>
          </w:p>
        </w:tc>
        <w:tc>
          <w:tcPr>
            <w:tcW w:w="878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-7300595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-7300595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6.07.</w:t>
            </w:r>
          </w:p>
        </w:tc>
        <w:tc>
          <w:tcPr>
            <w:tcW w:w="6540" w:type="dxa"/>
            <w:vAlign w:val="bottom"/>
          </w:tcPr>
          <w:p>
            <w:pPr>
              <w:ind w:left="100"/>
              <w:spacing w:after="0"/>
              <w:rPr>
                <w:sz w:val="20"/>
                <w:szCs w:val="20"/>
                <w:color w:val="auto"/>
              </w:rPr>
            </w:pPr>
            <w:r>
              <w:rPr>
                <w:rFonts w:ascii="Arial" w:cs="Arial" w:eastAsia="Arial" w:hAnsi="Arial"/>
                <w:sz w:val="18"/>
                <w:szCs w:val="18"/>
                <w:color w:val="auto"/>
              </w:rPr>
              <w:t>Rights of Holders to Receive Payment</w:t>
            </w:r>
          </w:p>
        </w:tc>
        <w:tc>
          <w:tcPr>
            <w:tcW w:w="2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6.08.</w:t>
            </w:r>
          </w:p>
        </w:tc>
        <w:tc>
          <w:tcPr>
            <w:tcW w:w="6540" w:type="dxa"/>
            <w:vAlign w:val="bottom"/>
          </w:tcPr>
          <w:p>
            <w:pPr>
              <w:ind w:left="100"/>
              <w:spacing w:after="0"/>
              <w:rPr>
                <w:sz w:val="20"/>
                <w:szCs w:val="20"/>
                <w:color w:val="auto"/>
              </w:rPr>
            </w:pPr>
            <w:r>
              <w:rPr>
                <w:rFonts w:ascii="Arial" w:cs="Arial" w:eastAsia="Arial" w:hAnsi="Arial"/>
                <w:sz w:val="18"/>
                <w:szCs w:val="18"/>
                <w:color w:val="auto"/>
              </w:rPr>
              <w:t>Collection Suit by Trustee</w:t>
            </w:r>
          </w:p>
        </w:tc>
        <w:tc>
          <w:tcPr>
            <w:tcW w:w="2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6.09.</w:t>
            </w:r>
          </w:p>
        </w:tc>
        <w:tc>
          <w:tcPr>
            <w:tcW w:w="654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2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6.10.</w:t>
            </w:r>
          </w:p>
        </w:tc>
        <w:tc>
          <w:tcPr>
            <w:tcW w:w="654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6.11.</w:t>
            </w:r>
          </w:p>
        </w:tc>
        <w:tc>
          <w:tcPr>
            <w:tcW w:w="654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6.12.</w:t>
            </w:r>
          </w:p>
        </w:tc>
        <w:tc>
          <w:tcPr>
            <w:tcW w:w="654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6.13.</w:t>
            </w:r>
          </w:p>
        </w:tc>
        <w:tc>
          <w:tcPr>
            <w:tcW w:w="6540" w:type="dxa"/>
            <w:vAlign w:val="bottom"/>
          </w:tcPr>
          <w:p>
            <w:pPr>
              <w:ind w:left="100"/>
              <w:spacing w:after="0"/>
              <w:rPr>
                <w:sz w:val="20"/>
                <w:szCs w:val="20"/>
                <w:color w:val="auto"/>
              </w:rPr>
            </w:pPr>
            <w:r>
              <w:rPr>
                <w:rFonts w:ascii="Arial" w:cs="Arial" w:eastAsia="Arial" w:hAnsi="Arial"/>
                <w:sz w:val="18"/>
                <w:szCs w:val="18"/>
                <w:color w:val="auto"/>
              </w:rPr>
              <w:t>Rights and Remedies Cumulative</w:t>
            </w: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6.14.</w:t>
            </w:r>
          </w:p>
        </w:tc>
        <w:tc>
          <w:tcPr>
            <w:tcW w:w="654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6.15.</w:t>
            </w:r>
          </w:p>
        </w:tc>
        <w:tc>
          <w:tcPr>
            <w:tcW w:w="6540" w:type="dxa"/>
            <w:vAlign w:val="bottom"/>
          </w:tcPr>
          <w:p>
            <w:pPr>
              <w:ind w:left="100"/>
              <w:spacing w:after="0"/>
              <w:rPr>
                <w:sz w:val="20"/>
                <w:szCs w:val="20"/>
                <w:color w:val="auto"/>
              </w:rPr>
            </w:pPr>
            <w:r>
              <w:rPr>
                <w:rFonts w:ascii="Arial" w:cs="Arial" w:eastAsia="Arial" w:hAnsi="Arial"/>
                <w:sz w:val="18"/>
                <w:szCs w:val="18"/>
                <w:color w:val="auto"/>
              </w:rPr>
              <w:t>Failure to File</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ARTICLE 7</w:t>
            </w:r>
          </w:p>
        </w:tc>
        <w:tc>
          <w:tcPr>
            <w:tcW w:w="1060" w:type="dxa"/>
            <w:vAlign w:val="bottom"/>
          </w:tcPr>
          <w:p>
            <w:pPr>
              <w:ind w:left="40"/>
              <w:spacing w:after="0"/>
              <w:rPr>
                <w:sz w:val="20"/>
                <w:szCs w:val="20"/>
                <w:color w:val="auto"/>
              </w:rPr>
            </w:pPr>
            <w:r>
              <w:rPr>
                <w:rFonts w:ascii="Arial" w:cs="Arial" w:eastAsia="Arial" w:hAnsi="Arial"/>
                <w:sz w:val="18"/>
                <w:szCs w:val="18"/>
                <w:color w:val="auto"/>
              </w:rPr>
              <w:t>The Trustee</w:t>
            </w:r>
          </w:p>
        </w:tc>
        <w:tc>
          <w:tcPr>
            <w:tcW w:w="65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7.01.</w:t>
            </w:r>
          </w:p>
        </w:tc>
        <w:tc>
          <w:tcPr>
            <w:tcW w:w="6540" w:type="dxa"/>
            <w:vAlign w:val="bottom"/>
          </w:tcPr>
          <w:p>
            <w:pPr>
              <w:ind w:left="100"/>
              <w:spacing w:after="0"/>
              <w:rPr>
                <w:sz w:val="20"/>
                <w:szCs w:val="20"/>
                <w:color w:val="auto"/>
              </w:rPr>
            </w:pPr>
            <w:r>
              <w:rPr>
                <w:rFonts w:ascii="Arial" w:cs="Arial" w:eastAsia="Arial" w:hAnsi="Arial"/>
                <w:sz w:val="18"/>
                <w:szCs w:val="18"/>
                <w:color w:val="auto"/>
              </w:rPr>
              <w:t>General</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7.02.</w:t>
            </w:r>
          </w:p>
        </w:tc>
        <w:tc>
          <w:tcPr>
            <w:tcW w:w="6540" w:type="dxa"/>
            <w:vAlign w:val="bottom"/>
          </w:tcPr>
          <w:p>
            <w:pPr>
              <w:ind w:left="100"/>
              <w:spacing w:after="0"/>
              <w:rPr>
                <w:sz w:val="20"/>
                <w:szCs w:val="20"/>
                <w:color w:val="auto"/>
              </w:rPr>
            </w:pPr>
            <w:r>
              <w:rPr>
                <w:rFonts w:ascii="Arial" w:cs="Arial" w:eastAsia="Arial" w:hAnsi="Arial"/>
                <w:sz w:val="18"/>
                <w:szCs w:val="18"/>
                <w:color w:val="auto"/>
              </w:rPr>
              <w:t>Certain Rights of Trustee</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7.03.</w:t>
            </w:r>
          </w:p>
        </w:tc>
        <w:tc>
          <w:tcPr>
            <w:tcW w:w="6540" w:type="dxa"/>
            <w:vAlign w:val="bottom"/>
          </w:tcPr>
          <w:p>
            <w:pPr>
              <w:ind w:left="100"/>
              <w:spacing w:after="0"/>
              <w:rPr>
                <w:sz w:val="20"/>
                <w:szCs w:val="20"/>
                <w:color w:val="auto"/>
              </w:rPr>
            </w:pPr>
            <w:r>
              <w:rPr>
                <w:rFonts w:ascii="Arial" w:cs="Arial" w:eastAsia="Arial" w:hAnsi="Arial"/>
                <w:sz w:val="18"/>
                <w:szCs w:val="18"/>
                <w:color w:val="auto"/>
              </w:rPr>
              <w:t>Individual Rights of Trustee</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7.04.</w:t>
            </w:r>
          </w:p>
        </w:tc>
        <w:tc>
          <w:tcPr>
            <w:tcW w:w="654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7.05.</w:t>
            </w:r>
          </w:p>
        </w:tc>
        <w:tc>
          <w:tcPr>
            <w:tcW w:w="654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7.06.</w:t>
            </w:r>
          </w:p>
        </w:tc>
        <w:tc>
          <w:tcPr>
            <w:tcW w:w="654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7.07.</w:t>
            </w:r>
          </w:p>
        </w:tc>
        <w:tc>
          <w:tcPr>
            <w:tcW w:w="6540" w:type="dxa"/>
            <w:vAlign w:val="bottom"/>
          </w:tcPr>
          <w:p>
            <w:pPr>
              <w:ind w:left="100"/>
              <w:spacing w:after="0"/>
              <w:rPr>
                <w:sz w:val="20"/>
                <w:szCs w:val="20"/>
                <w:color w:val="auto"/>
              </w:rPr>
            </w:pPr>
            <w:r>
              <w:rPr>
                <w:rFonts w:ascii="Arial" w:cs="Arial" w:eastAsia="Arial" w:hAnsi="Arial"/>
                <w:sz w:val="18"/>
                <w:szCs w:val="18"/>
                <w:color w:val="auto"/>
              </w:rPr>
              <w:t>Compensation and Indemnity</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7.08.</w:t>
            </w:r>
          </w:p>
        </w:tc>
        <w:tc>
          <w:tcPr>
            <w:tcW w:w="6540" w:type="dxa"/>
            <w:vAlign w:val="bottom"/>
          </w:tcPr>
          <w:p>
            <w:pPr>
              <w:ind w:left="100"/>
              <w:spacing w:after="0"/>
              <w:rPr>
                <w:sz w:val="20"/>
                <w:szCs w:val="20"/>
                <w:color w:val="auto"/>
              </w:rPr>
            </w:pPr>
            <w:r>
              <w:rPr>
                <w:rFonts w:ascii="Arial" w:cs="Arial" w:eastAsia="Arial" w:hAnsi="Arial"/>
                <w:sz w:val="18"/>
                <w:szCs w:val="18"/>
                <w:color w:val="auto"/>
              </w:rPr>
              <w:t>Replacement of Trustee</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7.09.</w:t>
            </w:r>
          </w:p>
        </w:tc>
        <w:tc>
          <w:tcPr>
            <w:tcW w:w="6540" w:type="dxa"/>
            <w:vAlign w:val="bottom"/>
          </w:tcPr>
          <w:p>
            <w:pPr>
              <w:ind w:left="100"/>
              <w:spacing w:after="0"/>
              <w:rPr>
                <w:sz w:val="20"/>
                <w:szCs w:val="20"/>
                <w:color w:val="auto"/>
              </w:rPr>
            </w:pPr>
            <w:r>
              <w:rPr>
                <w:rFonts w:ascii="Arial" w:cs="Arial" w:eastAsia="Arial" w:hAnsi="Arial"/>
                <w:sz w:val="18"/>
                <w:szCs w:val="18"/>
                <w:color w:val="auto"/>
              </w:rPr>
              <w:t>Successor Trustee by Merger</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7.10.</w:t>
            </w:r>
          </w:p>
        </w:tc>
        <w:tc>
          <w:tcPr>
            <w:tcW w:w="6540" w:type="dxa"/>
            <w:vAlign w:val="bottom"/>
          </w:tcPr>
          <w:p>
            <w:pPr>
              <w:ind w:left="100"/>
              <w:spacing w:after="0"/>
              <w:rPr>
                <w:sz w:val="20"/>
                <w:szCs w:val="20"/>
                <w:color w:val="auto"/>
              </w:rPr>
            </w:pPr>
            <w:r>
              <w:rPr>
                <w:rFonts w:ascii="Arial" w:cs="Arial" w:eastAsia="Arial" w:hAnsi="Arial"/>
                <w:sz w:val="18"/>
                <w:szCs w:val="18"/>
                <w:color w:val="auto"/>
              </w:rPr>
              <w:t>Eligibility</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7.11.</w:t>
            </w:r>
          </w:p>
        </w:tc>
        <w:tc>
          <w:tcPr>
            <w:tcW w:w="6540" w:type="dxa"/>
            <w:vAlign w:val="bottom"/>
          </w:tcPr>
          <w:p>
            <w:pPr>
              <w:ind w:left="100"/>
              <w:spacing w:after="0"/>
              <w:rPr>
                <w:sz w:val="20"/>
                <w:szCs w:val="20"/>
                <w:color w:val="auto"/>
              </w:rPr>
            </w:pPr>
            <w:r>
              <w:rPr>
                <w:rFonts w:ascii="Arial" w:cs="Arial" w:eastAsia="Arial" w:hAnsi="Arial"/>
                <w:sz w:val="18"/>
                <w:szCs w:val="18"/>
                <w:color w:val="auto"/>
              </w:rPr>
              <w:t>Money Held in Trust</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ARTICLE 8</w:t>
            </w:r>
          </w:p>
        </w:tc>
        <w:tc>
          <w:tcPr>
            <w:tcW w:w="1060" w:type="dxa"/>
            <w:vAlign w:val="bottom"/>
          </w:tcPr>
          <w:p>
            <w:pPr>
              <w:ind w:left="40"/>
              <w:spacing w:after="0"/>
              <w:rPr>
                <w:sz w:val="20"/>
                <w:szCs w:val="20"/>
                <w:color w:val="auto"/>
              </w:rPr>
            </w:pPr>
            <w:r>
              <w:rPr>
                <w:rFonts w:ascii="Arial" w:cs="Arial" w:eastAsia="Arial" w:hAnsi="Arial"/>
                <w:sz w:val="18"/>
                <w:szCs w:val="18"/>
                <w:color w:val="auto"/>
              </w:rPr>
              <w:t>Discharge</w:t>
            </w:r>
          </w:p>
        </w:tc>
        <w:tc>
          <w:tcPr>
            <w:tcW w:w="65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8.01.</w:t>
            </w:r>
          </w:p>
        </w:tc>
        <w:tc>
          <w:tcPr>
            <w:tcW w:w="6540" w:type="dxa"/>
            <w:vAlign w:val="bottom"/>
          </w:tcPr>
          <w:p>
            <w:pPr>
              <w:ind w:left="100"/>
              <w:spacing w:after="0"/>
              <w:rPr>
                <w:sz w:val="20"/>
                <w:szCs w:val="20"/>
                <w:color w:val="auto"/>
              </w:rPr>
            </w:pPr>
            <w:r>
              <w:rPr>
                <w:rFonts w:ascii="Arial" w:cs="Arial" w:eastAsia="Arial" w:hAnsi="Arial"/>
                <w:sz w:val="18"/>
                <w:szCs w:val="18"/>
                <w:color w:val="auto"/>
              </w:rPr>
              <w:t>Satisfaction and Discharge of this Indenture</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8.02.</w:t>
            </w:r>
          </w:p>
        </w:tc>
        <w:tc>
          <w:tcPr>
            <w:tcW w:w="65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8.03.</w:t>
            </w:r>
          </w:p>
        </w:tc>
        <w:tc>
          <w:tcPr>
            <w:tcW w:w="654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8.04.</w:t>
            </w:r>
          </w:p>
        </w:tc>
        <w:tc>
          <w:tcPr>
            <w:tcW w:w="654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8600" w:type="dxa"/>
            <w:vAlign w:val="bottom"/>
            <w:gridSpan w:val="3"/>
          </w:tcPr>
          <w:p>
            <w:pPr>
              <w:spacing w:after="0"/>
              <w:rPr>
                <w:sz w:val="20"/>
                <w:szCs w:val="20"/>
                <w:color w:val="auto"/>
              </w:rPr>
            </w:pPr>
            <w:r>
              <w:rPr>
                <w:rFonts w:ascii="Arial" w:cs="Arial" w:eastAsia="Arial" w:hAnsi="Arial"/>
                <w:sz w:val="18"/>
                <w:szCs w:val="18"/>
                <w:color w:val="auto"/>
              </w:rPr>
              <w:t>ARTICLE 9  Amendments, Supplements and Waivers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9.01.</w:t>
            </w:r>
          </w:p>
        </w:tc>
        <w:tc>
          <w:tcPr>
            <w:tcW w:w="6540" w:type="dxa"/>
            <w:vAlign w:val="bottom"/>
          </w:tcPr>
          <w:p>
            <w:pPr>
              <w:ind w:left="100"/>
              <w:spacing w:after="0"/>
              <w:rPr>
                <w:sz w:val="20"/>
                <w:szCs w:val="20"/>
                <w:color w:val="auto"/>
              </w:rPr>
            </w:pPr>
            <w:r>
              <w:rPr>
                <w:rFonts w:ascii="Arial" w:cs="Arial" w:eastAsia="Arial" w:hAnsi="Arial"/>
                <w:sz w:val="18"/>
                <w:szCs w:val="18"/>
                <w:color w:val="auto"/>
              </w:rPr>
              <w:t>Amendments Without Consent of 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9.02.</w:t>
            </w:r>
          </w:p>
        </w:tc>
        <w:tc>
          <w:tcPr>
            <w:tcW w:w="6540" w:type="dxa"/>
            <w:vAlign w:val="bottom"/>
          </w:tcPr>
          <w:p>
            <w:pPr>
              <w:ind w:left="100"/>
              <w:spacing w:after="0"/>
              <w:rPr>
                <w:sz w:val="20"/>
                <w:szCs w:val="20"/>
                <w:color w:val="auto"/>
              </w:rPr>
            </w:pPr>
            <w:r>
              <w:rPr>
                <w:rFonts w:ascii="Arial" w:cs="Arial" w:eastAsia="Arial" w:hAnsi="Arial"/>
                <w:sz w:val="18"/>
                <w:szCs w:val="18"/>
                <w:color w:val="auto"/>
              </w:rPr>
              <w:t>Amendments With Consent of 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9.03.</w:t>
            </w:r>
          </w:p>
        </w:tc>
        <w:tc>
          <w:tcPr>
            <w:tcW w:w="6540" w:type="dxa"/>
            <w:vAlign w:val="bottom"/>
          </w:tcPr>
          <w:p>
            <w:pPr>
              <w:ind w:left="100"/>
              <w:spacing w:after="0"/>
              <w:rPr>
                <w:sz w:val="20"/>
                <w:szCs w:val="20"/>
                <w:color w:val="auto"/>
              </w:rPr>
            </w:pPr>
            <w:r>
              <w:rPr>
                <w:rFonts w:ascii="Arial" w:cs="Arial" w:eastAsia="Arial" w:hAnsi="Arial"/>
                <w:sz w:val="18"/>
                <w:szCs w:val="18"/>
                <w:color w:val="auto"/>
              </w:rPr>
              <w:t>Effect of Consent</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9.04.</w:t>
            </w:r>
          </w:p>
        </w:tc>
        <w:tc>
          <w:tcPr>
            <w:tcW w:w="6540" w:type="dxa"/>
            <w:vAlign w:val="bottom"/>
          </w:tcPr>
          <w:p>
            <w:pPr>
              <w:ind w:left="100"/>
              <w:spacing w:after="0"/>
              <w:rPr>
                <w:sz w:val="20"/>
                <w:szCs w:val="20"/>
                <w:color w:val="auto"/>
              </w:rPr>
            </w:pPr>
            <w:r>
              <w:rPr>
                <w:rFonts w:ascii="Arial" w:cs="Arial" w:eastAsia="Arial" w:hAnsi="Arial"/>
                <w:sz w:val="18"/>
                <w:szCs w:val="18"/>
                <w:color w:val="auto"/>
              </w:rPr>
              <w:t>Trustee's Rights and Obligations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9.05.</w:t>
            </w:r>
          </w:p>
        </w:tc>
        <w:tc>
          <w:tcPr>
            <w:tcW w:w="6540" w:type="dxa"/>
            <w:vAlign w:val="bottom"/>
          </w:tcPr>
          <w:p>
            <w:pPr>
              <w:ind w:left="100"/>
              <w:spacing w:after="0"/>
              <w:rPr>
                <w:sz w:val="20"/>
                <w:szCs w:val="20"/>
                <w:color w:val="auto"/>
              </w:rPr>
            </w:pPr>
            <w:r>
              <w:rPr>
                <w:rFonts w:ascii="Arial" w:cs="Arial" w:eastAsia="Arial" w:hAnsi="Arial"/>
                <w:sz w:val="18"/>
                <w:szCs w:val="18"/>
                <w:color w:val="auto"/>
              </w:rPr>
              <w:t>Conformity With Trust Indenture Act</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9.06.</w:t>
            </w:r>
          </w:p>
        </w:tc>
        <w:tc>
          <w:tcPr>
            <w:tcW w:w="6540" w:type="dxa"/>
            <w:vAlign w:val="bottom"/>
          </w:tcPr>
          <w:p>
            <w:pPr>
              <w:ind w:left="100"/>
              <w:spacing w:after="0"/>
              <w:rPr>
                <w:sz w:val="20"/>
                <w:szCs w:val="20"/>
                <w:color w:val="auto"/>
              </w:rPr>
            </w:pPr>
            <w:r>
              <w:rPr>
                <w:rFonts w:ascii="Arial" w:cs="Arial" w:eastAsia="Arial" w:hAnsi="Arial"/>
                <w:sz w:val="18"/>
                <w:szCs w:val="18"/>
                <w:color w:val="auto"/>
              </w:rPr>
              <w:t>Payments for Consents</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w w:val="96"/>
              </w:rPr>
              <w:t>ARTICLE 10</w:t>
            </w:r>
          </w:p>
        </w:tc>
        <w:tc>
          <w:tcPr>
            <w:tcW w:w="1060" w:type="dxa"/>
            <w:vAlign w:val="bottom"/>
          </w:tcPr>
          <w:p>
            <w:pPr>
              <w:ind w:left="140"/>
              <w:spacing w:after="0"/>
              <w:rPr>
                <w:sz w:val="20"/>
                <w:szCs w:val="20"/>
                <w:color w:val="auto"/>
              </w:rPr>
            </w:pPr>
            <w:r>
              <w:rPr>
                <w:rFonts w:ascii="Arial" w:cs="Arial" w:eastAsia="Arial" w:hAnsi="Arial"/>
                <w:sz w:val="18"/>
                <w:szCs w:val="18"/>
                <w:color w:val="auto"/>
                <w:w w:val="98"/>
              </w:rPr>
              <w:t>Conversion</w:t>
            </w:r>
          </w:p>
        </w:tc>
        <w:tc>
          <w:tcPr>
            <w:tcW w:w="65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3"/>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10.01.</w:t>
            </w:r>
          </w:p>
        </w:tc>
        <w:tc>
          <w:tcPr>
            <w:tcW w:w="6540" w:type="dxa"/>
            <w:vAlign w:val="bottom"/>
          </w:tcPr>
          <w:p>
            <w:pPr>
              <w:ind w:left="100"/>
              <w:spacing w:after="0"/>
              <w:rPr>
                <w:sz w:val="20"/>
                <w:szCs w:val="20"/>
                <w:color w:val="auto"/>
              </w:rPr>
            </w:pPr>
            <w:r>
              <w:rPr>
                <w:rFonts w:ascii="Arial" w:cs="Arial" w:eastAsia="Arial" w:hAnsi="Arial"/>
                <w:sz w:val="18"/>
                <w:szCs w:val="18"/>
                <w:color w:val="auto"/>
              </w:rPr>
              <w:t>Conversion Privilege</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10.02.</w:t>
            </w:r>
          </w:p>
        </w:tc>
        <w:tc>
          <w:tcPr>
            <w:tcW w:w="6540" w:type="dxa"/>
            <w:vAlign w:val="bottom"/>
          </w:tcPr>
          <w:p>
            <w:pPr>
              <w:ind w:left="100"/>
              <w:spacing w:after="0"/>
              <w:rPr>
                <w:sz w:val="20"/>
                <w:szCs w:val="20"/>
                <w:color w:val="auto"/>
              </w:rPr>
            </w:pPr>
            <w:r>
              <w:rPr>
                <w:rFonts w:ascii="Arial" w:cs="Arial" w:eastAsia="Arial" w:hAnsi="Arial"/>
                <w:sz w:val="18"/>
                <w:szCs w:val="18"/>
                <w:color w:val="auto"/>
              </w:rPr>
              <w:t>Conversion Procedures; Conversion Settlement</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10.03.</w:t>
            </w:r>
          </w:p>
        </w:tc>
        <w:tc>
          <w:tcPr>
            <w:tcW w:w="6540" w:type="dxa"/>
            <w:vAlign w:val="bottom"/>
          </w:tcPr>
          <w:p>
            <w:pPr>
              <w:ind w:left="100"/>
              <w:spacing w:after="0"/>
              <w:rPr>
                <w:sz w:val="20"/>
                <w:szCs w:val="20"/>
                <w:color w:val="auto"/>
              </w:rPr>
            </w:pPr>
            <w:r>
              <w:rPr>
                <w:rFonts w:ascii="Arial" w:cs="Arial" w:eastAsia="Arial" w:hAnsi="Arial"/>
                <w:sz w:val="18"/>
                <w:szCs w:val="18"/>
                <w:color w:val="auto"/>
              </w:rPr>
              <w:t>Fractional Shares</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10.04.</w:t>
            </w:r>
          </w:p>
        </w:tc>
        <w:tc>
          <w:tcPr>
            <w:tcW w:w="6540" w:type="dxa"/>
            <w:vAlign w:val="bottom"/>
          </w:tcPr>
          <w:p>
            <w:pPr>
              <w:ind w:left="100"/>
              <w:spacing w:after="0"/>
              <w:rPr>
                <w:sz w:val="20"/>
                <w:szCs w:val="20"/>
                <w:color w:val="auto"/>
              </w:rPr>
            </w:pPr>
            <w:r>
              <w:rPr>
                <w:rFonts w:ascii="Arial" w:cs="Arial" w:eastAsia="Arial" w:hAnsi="Arial"/>
                <w:sz w:val="18"/>
                <w:szCs w:val="18"/>
                <w:color w:val="auto"/>
              </w:rPr>
              <w:t>Taxes on Conversion</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10.05.</w:t>
            </w:r>
          </w:p>
        </w:tc>
        <w:tc>
          <w:tcPr>
            <w:tcW w:w="6540" w:type="dxa"/>
            <w:vAlign w:val="bottom"/>
          </w:tcPr>
          <w:p>
            <w:pPr>
              <w:ind w:left="100"/>
              <w:spacing w:after="0"/>
              <w:rPr>
                <w:sz w:val="20"/>
                <w:szCs w:val="20"/>
                <w:color w:val="auto"/>
              </w:rPr>
            </w:pPr>
            <w:r>
              <w:rPr>
                <w:rFonts w:ascii="Arial" w:cs="Arial" w:eastAsia="Arial" w:hAnsi="Arial"/>
                <w:sz w:val="18"/>
                <w:szCs w:val="18"/>
                <w:color w:val="auto"/>
              </w:rPr>
              <w:t>Company to Provide Common Stock</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10.06.</w:t>
            </w:r>
          </w:p>
        </w:tc>
        <w:tc>
          <w:tcPr>
            <w:tcW w:w="6540" w:type="dxa"/>
            <w:vAlign w:val="bottom"/>
          </w:tcPr>
          <w:p>
            <w:pPr>
              <w:ind w:left="100"/>
              <w:spacing w:after="0"/>
              <w:rPr>
                <w:sz w:val="20"/>
                <w:szCs w:val="20"/>
                <w:color w:val="auto"/>
              </w:rPr>
            </w:pPr>
            <w:r>
              <w:rPr>
                <w:rFonts w:ascii="Arial" w:cs="Arial" w:eastAsia="Arial" w:hAnsi="Arial"/>
                <w:sz w:val="18"/>
                <w:szCs w:val="18"/>
                <w:color w:val="auto"/>
              </w:rPr>
              <w:t>Adjustment for Change in Capital Stock</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10.07.</w:t>
            </w:r>
          </w:p>
        </w:tc>
        <w:tc>
          <w:tcPr>
            <w:tcW w:w="6540" w:type="dxa"/>
            <w:vAlign w:val="bottom"/>
          </w:tcPr>
          <w:p>
            <w:pPr>
              <w:ind w:left="100"/>
              <w:spacing w:after="0"/>
              <w:rPr>
                <w:sz w:val="20"/>
                <w:szCs w:val="20"/>
                <w:color w:val="auto"/>
              </w:rPr>
            </w:pPr>
            <w:r>
              <w:rPr>
                <w:rFonts w:ascii="Arial" w:cs="Arial" w:eastAsia="Arial" w:hAnsi="Arial"/>
                <w:sz w:val="18"/>
                <w:szCs w:val="18"/>
                <w:color w:val="auto"/>
              </w:rPr>
              <w:t>Adjustment for Rights, Options or Warrants Issue</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10.08.</w:t>
            </w:r>
          </w:p>
        </w:tc>
        <w:tc>
          <w:tcPr>
            <w:tcW w:w="6540" w:type="dxa"/>
            <w:vAlign w:val="bottom"/>
          </w:tcPr>
          <w:p>
            <w:pPr>
              <w:ind w:left="100"/>
              <w:spacing w:after="0"/>
              <w:rPr>
                <w:sz w:val="20"/>
                <w:szCs w:val="20"/>
                <w:color w:val="auto"/>
              </w:rPr>
            </w:pPr>
            <w:r>
              <w:rPr>
                <w:rFonts w:ascii="Arial" w:cs="Arial" w:eastAsia="Arial" w:hAnsi="Arial"/>
                <w:sz w:val="18"/>
                <w:szCs w:val="18"/>
                <w:color w:val="auto"/>
              </w:rPr>
              <w:t>Adjustment for Other Distributions</w:t>
            </w:r>
          </w:p>
        </w:tc>
        <w:tc>
          <w:tcPr>
            <w:tcW w:w="2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10.09.</w:t>
            </w:r>
          </w:p>
        </w:tc>
        <w:tc>
          <w:tcPr>
            <w:tcW w:w="6540" w:type="dxa"/>
            <w:vAlign w:val="bottom"/>
          </w:tcPr>
          <w:p>
            <w:pPr>
              <w:ind w:left="100"/>
              <w:spacing w:after="0"/>
              <w:rPr>
                <w:sz w:val="20"/>
                <w:szCs w:val="20"/>
                <w:color w:val="auto"/>
              </w:rPr>
            </w:pPr>
            <w:r>
              <w:rPr>
                <w:rFonts w:ascii="Arial" w:cs="Arial" w:eastAsia="Arial" w:hAnsi="Arial"/>
                <w:sz w:val="18"/>
                <w:szCs w:val="18"/>
                <w:color w:val="auto"/>
              </w:rPr>
              <w:t>Adjustment for Cash Dividends</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10.10.</w:t>
            </w:r>
          </w:p>
        </w:tc>
        <w:tc>
          <w:tcPr>
            <w:tcW w:w="6540" w:type="dxa"/>
            <w:vAlign w:val="bottom"/>
          </w:tcPr>
          <w:p>
            <w:pPr>
              <w:ind w:left="100"/>
              <w:spacing w:after="0"/>
              <w:rPr>
                <w:sz w:val="20"/>
                <w:szCs w:val="20"/>
                <w:color w:val="auto"/>
              </w:rPr>
            </w:pPr>
            <w:r>
              <w:rPr>
                <w:rFonts w:ascii="Arial" w:cs="Arial" w:eastAsia="Arial" w:hAnsi="Arial"/>
                <w:sz w:val="18"/>
                <w:szCs w:val="18"/>
                <w:color w:val="auto"/>
              </w:rPr>
              <w:t>Adjustment for Tender Offer</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10.11.</w:t>
            </w:r>
          </w:p>
        </w:tc>
        <w:tc>
          <w:tcPr>
            <w:tcW w:w="6540" w:type="dxa"/>
            <w:vAlign w:val="bottom"/>
          </w:tcPr>
          <w:p>
            <w:pPr>
              <w:ind w:left="100"/>
              <w:spacing w:after="0"/>
              <w:rPr>
                <w:sz w:val="20"/>
                <w:szCs w:val="20"/>
                <w:color w:val="auto"/>
              </w:rPr>
            </w:pPr>
            <w:r>
              <w:rPr>
                <w:rFonts w:ascii="Arial" w:cs="Arial" w:eastAsia="Arial" w:hAnsi="Arial"/>
                <w:sz w:val="18"/>
                <w:szCs w:val="18"/>
                <w:color w:val="auto"/>
              </w:rPr>
              <w:t>Provisions Governing Adjustment to Conversion Rate</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Section 10.12.</w:t>
            </w:r>
          </w:p>
        </w:tc>
        <w:tc>
          <w:tcPr>
            <w:tcW w:w="6540" w:type="dxa"/>
            <w:vAlign w:val="bottom"/>
          </w:tcPr>
          <w:p>
            <w:pPr>
              <w:ind w:left="100"/>
              <w:spacing w:after="0"/>
              <w:rPr>
                <w:sz w:val="20"/>
                <w:szCs w:val="20"/>
                <w:color w:val="auto"/>
              </w:rPr>
            </w:pPr>
            <w:r>
              <w:rPr>
                <w:rFonts w:ascii="Arial" w:cs="Arial" w:eastAsia="Arial" w:hAnsi="Arial"/>
                <w:sz w:val="18"/>
                <w:szCs w:val="18"/>
                <w:color w:val="auto"/>
              </w:rPr>
              <w:t>Disposition Events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10.13.</w:t>
            </w:r>
          </w:p>
        </w:tc>
        <w:tc>
          <w:tcPr>
            <w:tcW w:w="8180" w:type="dxa"/>
            <w:vAlign w:val="bottom"/>
          </w:tcPr>
          <w:p>
            <w:pPr>
              <w:ind w:left="140"/>
              <w:spacing w:after="0"/>
              <w:rPr>
                <w:sz w:val="20"/>
                <w:szCs w:val="20"/>
                <w:color w:val="auto"/>
              </w:rPr>
            </w:pPr>
            <w:r>
              <w:rPr>
                <w:rFonts w:ascii="Arial" w:cs="Arial" w:eastAsia="Arial" w:hAnsi="Arial"/>
                <w:sz w:val="18"/>
                <w:szCs w:val="18"/>
                <w:color w:val="auto"/>
              </w:rPr>
              <w:t>Adjustment to Conversion Rate Upon a Make-Whole Change in Control; Discretionary Adjustment</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10.14.</w:t>
            </w:r>
          </w:p>
        </w:tc>
        <w:tc>
          <w:tcPr>
            <w:tcW w:w="8180" w:type="dxa"/>
            <w:vAlign w:val="bottom"/>
          </w:tcPr>
          <w:p>
            <w:pPr>
              <w:ind w:left="140"/>
              <w:spacing w:after="0"/>
              <w:rPr>
                <w:sz w:val="20"/>
                <w:szCs w:val="20"/>
                <w:color w:val="auto"/>
              </w:rPr>
            </w:pPr>
            <w:r>
              <w:rPr>
                <w:rFonts w:ascii="Arial" w:cs="Arial" w:eastAsia="Arial" w:hAnsi="Arial"/>
                <w:sz w:val="18"/>
                <w:szCs w:val="18"/>
                <w:color w:val="auto"/>
              </w:rPr>
              <w:t>When Adjustment May Be Deferred</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10.15.</w:t>
            </w:r>
          </w:p>
        </w:tc>
        <w:tc>
          <w:tcPr>
            <w:tcW w:w="8180" w:type="dxa"/>
            <w:vAlign w:val="bottom"/>
          </w:tcPr>
          <w:p>
            <w:pPr>
              <w:ind w:left="140"/>
              <w:spacing w:after="0"/>
              <w:rPr>
                <w:sz w:val="20"/>
                <w:szCs w:val="20"/>
                <w:color w:val="auto"/>
              </w:rPr>
            </w:pPr>
            <w:r>
              <w:rPr>
                <w:rFonts w:ascii="Arial" w:cs="Arial" w:eastAsia="Arial" w:hAnsi="Arial"/>
                <w:sz w:val="18"/>
                <w:szCs w:val="18"/>
                <w:color w:val="auto"/>
              </w:rPr>
              <w:t>When No Adjustment Required</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10.16.</w:t>
            </w:r>
          </w:p>
        </w:tc>
        <w:tc>
          <w:tcPr>
            <w:tcW w:w="8180" w:type="dxa"/>
            <w:vAlign w:val="bottom"/>
          </w:tcPr>
          <w:p>
            <w:pPr>
              <w:ind w:left="140"/>
              <w:spacing w:after="0"/>
              <w:rPr>
                <w:sz w:val="20"/>
                <w:szCs w:val="20"/>
                <w:color w:val="auto"/>
              </w:rPr>
            </w:pPr>
            <w:r>
              <w:rPr>
                <w:rFonts w:ascii="Arial" w:cs="Arial" w:eastAsia="Arial" w:hAnsi="Arial"/>
                <w:sz w:val="18"/>
                <w:szCs w:val="18"/>
                <w:color w:val="auto"/>
              </w:rPr>
              <w:t>Notice of Adjustment</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10.17.</w:t>
            </w:r>
          </w:p>
        </w:tc>
        <w:tc>
          <w:tcPr>
            <w:tcW w:w="8180" w:type="dxa"/>
            <w:vAlign w:val="bottom"/>
          </w:tcPr>
          <w:p>
            <w:pPr>
              <w:ind w:left="140"/>
              <w:spacing w:after="0"/>
              <w:rPr>
                <w:sz w:val="20"/>
                <w:szCs w:val="20"/>
                <w:color w:val="auto"/>
              </w:rPr>
            </w:pPr>
            <w:r>
              <w:rPr>
                <w:rFonts w:ascii="Arial" w:cs="Arial" w:eastAsia="Arial" w:hAnsi="Arial"/>
                <w:sz w:val="18"/>
                <w:szCs w:val="18"/>
                <w:color w:val="auto"/>
              </w:rPr>
              <w:t>Notice of Certain Transactions</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10.18.</w:t>
            </w:r>
          </w:p>
        </w:tc>
        <w:tc>
          <w:tcPr>
            <w:tcW w:w="8180" w:type="dxa"/>
            <w:vAlign w:val="bottom"/>
          </w:tcPr>
          <w:p>
            <w:pPr>
              <w:ind w:left="140"/>
              <w:spacing w:after="0"/>
              <w:rPr>
                <w:sz w:val="20"/>
                <w:szCs w:val="20"/>
                <w:color w:val="auto"/>
              </w:rPr>
            </w:pPr>
            <w:r>
              <w:rPr>
                <w:rFonts w:ascii="Arial" w:cs="Arial" w:eastAsia="Arial" w:hAnsi="Arial"/>
                <w:sz w:val="18"/>
                <w:szCs w:val="18"/>
                <w:color w:val="auto"/>
              </w:rPr>
              <w:t>Right of Holders to Convert</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10.19.</w:t>
            </w:r>
          </w:p>
        </w:tc>
        <w:tc>
          <w:tcPr>
            <w:tcW w:w="8180" w:type="dxa"/>
            <w:vAlign w:val="bottom"/>
          </w:tcPr>
          <w:p>
            <w:pPr>
              <w:ind w:left="140"/>
              <w:spacing w:after="0"/>
              <w:rPr>
                <w:sz w:val="20"/>
                <w:szCs w:val="20"/>
                <w:color w:val="auto"/>
              </w:rPr>
            </w:pPr>
            <w:r>
              <w:rPr>
                <w:rFonts w:ascii="Arial" w:cs="Arial" w:eastAsia="Arial" w:hAnsi="Arial"/>
                <w:sz w:val="18"/>
                <w:szCs w:val="18"/>
                <w:color w:val="auto"/>
              </w:rPr>
              <w:t>Company Determination Final</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10.20.</w:t>
            </w:r>
          </w:p>
        </w:tc>
        <w:tc>
          <w:tcPr>
            <w:tcW w:w="8180" w:type="dxa"/>
            <w:vAlign w:val="bottom"/>
          </w:tcPr>
          <w:p>
            <w:pPr>
              <w:ind w:left="140"/>
              <w:spacing w:after="0"/>
              <w:rPr>
                <w:sz w:val="20"/>
                <w:szCs w:val="20"/>
                <w:color w:val="auto"/>
              </w:rPr>
            </w:pPr>
            <w:r>
              <w:rPr>
                <w:rFonts w:ascii="Arial" w:cs="Arial" w:eastAsia="Arial" w:hAnsi="Arial"/>
                <w:sz w:val="18"/>
                <w:szCs w:val="18"/>
                <w:color w:val="auto"/>
              </w:rPr>
              <w:t>Trustee's Adjustment Disclaimer</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10.21.</w:t>
            </w:r>
          </w:p>
        </w:tc>
        <w:tc>
          <w:tcPr>
            <w:tcW w:w="8180" w:type="dxa"/>
            <w:vAlign w:val="bottom"/>
          </w:tcPr>
          <w:p>
            <w:pPr>
              <w:ind w:left="140"/>
              <w:spacing w:after="0"/>
              <w:rPr>
                <w:sz w:val="20"/>
                <w:szCs w:val="20"/>
                <w:color w:val="auto"/>
              </w:rPr>
            </w:pPr>
            <w:r>
              <w:rPr>
                <w:rFonts w:ascii="Arial" w:cs="Arial" w:eastAsia="Arial" w:hAnsi="Arial"/>
                <w:sz w:val="18"/>
                <w:szCs w:val="18"/>
                <w:color w:val="auto"/>
              </w:rPr>
              <w:t>Simultaneous Adjustments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10.22.</w:t>
            </w:r>
          </w:p>
        </w:tc>
        <w:tc>
          <w:tcPr>
            <w:tcW w:w="8180" w:type="dxa"/>
            <w:vAlign w:val="bottom"/>
          </w:tcPr>
          <w:p>
            <w:pPr>
              <w:ind w:left="140"/>
              <w:spacing w:after="0"/>
              <w:rPr>
                <w:sz w:val="20"/>
                <w:szCs w:val="20"/>
                <w:color w:val="auto"/>
              </w:rPr>
            </w:pPr>
            <w:r>
              <w:rPr>
                <w:rFonts w:ascii="Arial" w:cs="Arial" w:eastAsia="Arial" w:hAnsi="Arial"/>
                <w:sz w:val="18"/>
                <w:szCs w:val="18"/>
                <w:color w:val="auto"/>
              </w:rPr>
              <w:t>Successive Adjustments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10.23.</w:t>
            </w:r>
          </w:p>
        </w:tc>
        <w:tc>
          <w:tcPr>
            <w:tcW w:w="8180" w:type="dxa"/>
            <w:vAlign w:val="bottom"/>
          </w:tcPr>
          <w:p>
            <w:pPr>
              <w:ind w:left="140"/>
              <w:spacing w:after="0"/>
              <w:rPr>
                <w:sz w:val="20"/>
                <w:szCs w:val="20"/>
                <w:color w:val="auto"/>
              </w:rPr>
            </w:pPr>
            <w:r>
              <w:rPr>
                <w:rFonts w:ascii="Arial" w:cs="Arial" w:eastAsia="Arial" w:hAnsi="Arial"/>
                <w:sz w:val="18"/>
                <w:szCs w:val="18"/>
                <w:color w:val="auto"/>
              </w:rPr>
              <w:t>Rights Issued in Respect of Common Stock Issued Upon Conversion</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10.24.</w:t>
            </w:r>
          </w:p>
        </w:tc>
        <w:tc>
          <w:tcPr>
            <w:tcW w:w="8180" w:type="dxa"/>
            <w:vAlign w:val="bottom"/>
          </w:tcPr>
          <w:p>
            <w:pPr>
              <w:ind w:left="140"/>
              <w:spacing w:after="0"/>
              <w:rPr>
                <w:sz w:val="20"/>
                <w:szCs w:val="20"/>
                <w:color w:val="auto"/>
              </w:rPr>
            </w:pPr>
            <w:r>
              <w:rPr>
                <w:rFonts w:ascii="Arial" w:cs="Arial" w:eastAsia="Arial" w:hAnsi="Arial"/>
                <w:sz w:val="18"/>
                <w:szCs w:val="18"/>
                <w:color w:val="auto"/>
              </w:rPr>
              <w:t>Withholding Taxes for Adjustments in Conversion Rate</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11</w:t>
            </w:r>
          </w:p>
        </w:tc>
        <w:tc>
          <w:tcPr>
            <w:tcW w:w="980" w:type="dxa"/>
            <w:vAlign w:val="bottom"/>
          </w:tcPr>
          <w:p>
            <w:pPr>
              <w:ind w:left="80"/>
              <w:spacing w:after="0"/>
              <w:rPr>
                <w:sz w:val="20"/>
                <w:szCs w:val="20"/>
                <w:color w:val="auto"/>
              </w:rPr>
            </w:pPr>
            <w:r>
              <w:rPr>
                <w:rFonts w:ascii="Arial" w:cs="Arial" w:eastAsia="Arial" w:hAnsi="Arial"/>
                <w:sz w:val="18"/>
                <w:szCs w:val="18"/>
                <w:color w:val="auto"/>
                <w:w w:val="90"/>
              </w:rPr>
              <w:t>Redemption</w:t>
            </w:r>
          </w:p>
        </w:tc>
        <w:tc>
          <w:tcPr>
            <w:tcW w:w="8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53"/>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11.01.</w:t>
            </w:r>
          </w:p>
        </w:tc>
        <w:tc>
          <w:tcPr>
            <w:tcW w:w="8180" w:type="dxa"/>
            <w:vAlign w:val="bottom"/>
          </w:tcPr>
          <w:p>
            <w:pPr>
              <w:ind w:left="140"/>
              <w:spacing w:after="0"/>
              <w:rPr>
                <w:sz w:val="20"/>
                <w:szCs w:val="20"/>
                <w:color w:val="auto"/>
              </w:rPr>
            </w:pPr>
            <w:r>
              <w:rPr>
                <w:rFonts w:ascii="Arial" w:cs="Arial" w:eastAsia="Arial" w:hAnsi="Arial"/>
                <w:sz w:val="18"/>
                <w:szCs w:val="18"/>
                <w:color w:val="auto"/>
              </w:rPr>
              <w:t>Right to Redeem; Notices to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11.02.</w:t>
            </w:r>
          </w:p>
        </w:tc>
        <w:tc>
          <w:tcPr>
            <w:tcW w:w="8180" w:type="dxa"/>
            <w:vAlign w:val="bottom"/>
          </w:tcPr>
          <w:p>
            <w:pPr>
              <w:ind w:left="140"/>
              <w:spacing w:after="0"/>
              <w:rPr>
                <w:sz w:val="20"/>
                <w:szCs w:val="20"/>
                <w:color w:val="auto"/>
              </w:rPr>
            </w:pPr>
            <w:r>
              <w:rPr>
                <w:rFonts w:ascii="Arial" w:cs="Arial" w:eastAsia="Arial" w:hAnsi="Arial"/>
                <w:sz w:val="18"/>
                <w:szCs w:val="18"/>
                <w:color w:val="auto"/>
              </w:rPr>
              <w:t>Selection of Notes to be Redeemed</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11.03.</w:t>
            </w:r>
          </w:p>
        </w:tc>
        <w:tc>
          <w:tcPr>
            <w:tcW w:w="818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11.04.</w:t>
            </w:r>
          </w:p>
        </w:tc>
        <w:tc>
          <w:tcPr>
            <w:tcW w:w="818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11.05.</w:t>
            </w:r>
          </w:p>
        </w:tc>
        <w:tc>
          <w:tcPr>
            <w:tcW w:w="8180" w:type="dxa"/>
            <w:vAlign w:val="bottom"/>
          </w:tcPr>
          <w:p>
            <w:pPr>
              <w:ind w:left="140"/>
              <w:spacing w:after="0"/>
              <w:rPr>
                <w:sz w:val="20"/>
                <w:szCs w:val="20"/>
                <w:color w:val="auto"/>
              </w:rPr>
            </w:pPr>
            <w:r>
              <w:rPr>
                <w:rFonts w:ascii="Arial" w:cs="Arial" w:eastAsia="Arial" w:hAnsi="Arial"/>
                <w:sz w:val="18"/>
                <w:szCs w:val="18"/>
                <w:color w:val="auto"/>
              </w:rPr>
              <w:t>Deposit of Redemption Price</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11.06.</w:t>
            </w:r>
          </w:p>
        </w:tc>
        <w:tc>
          <w:tcPr>
            <w:tcW w:w="8180" w:type="dxa"/>
            <w:vAlign w:val="bottom"/>
          </w:tcPr>
          <w:p>
            <w:pPr>
              <w:ind w:left="140"/>
              <w:spacing w:after="0"/>
              <w:rPr>
                <w:sz w:val="20"/>
                <w:szCs w:val="20"/>
                <w:color w:val="auto"/>
              </w:rPr>
            </w:pPr>
            <w:r>
              <w:rPr>
                <w:rFonts w:ascii="Arial" w:cs="Arial" w:eastAsia="Arial" w:hAnsi="Arial"/>
                <w:sz w:val="18"/>
                <w:szCs w:val="18"/>
                <w:color w:val="auto"/>
              </w:rPr>
              <w:t>Notes Redeemed in Part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020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3"/>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12.01.</w:t>
            </w:r>
          </w:p>
        </w:tc>
        <w:tc>
          <w:tcPr>
            <w:tcW w:w="8180" w:type="dxa"/>
            <w:vAlign w:val="bottom"/>
          </w:tcPr>
          <w:p>
            <w:pPr>
              <w:ind w:left="140"/>
              <w:spacing w:after="0"/>
              <w:rPr>
                <w:sz w:val="20"/>
                <w:szCs w:val="20"/>
                <w:color w:val="auto"/>
              </w:rPr>
            </w:pPr>
            <w:r>
              <w:rPr>
                <w:rFonts w:ascii="Arial" w:cs="Arial" w:eastAsia="Arial" w:hAnsi="Arial"/>
                <w:sz w:val="18"/>
                <w:szCs w:val="18"/>
                <w:color w:val="auto"/>
              </w:rPr>
              <w:t>Interest Payments</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12.02.</w:t>
            </w:r>
          </w:p>
        </w:tc>
        <w:tc>
          <w:tcPr>
            <w:tcW w:w="818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12.03.</w:t>
            </w:r>
          </w:p>
        </w:tc>
        <w:tc>
          <w:tcPr>
            <w:tcW w:w="8180" w:type="dxa"/>
            <w:vAlign w:val="bottom"/>
          </w:tcPr>
          <w:p>
            <w:pPr>
              <w:ind w:left="140"/>
              <w:spacing w:after="0"/>
              <w:rPr>
                <w:sz w:val="20"/>
                <w:szCs w:val="20"/>
                <w:color w:val="auto"/>
              </w:rPr>
            </w:pPr>
            <w:r>
              <w:rPr>
                <w:rFonts w:ascii="Arial" w:cs="Arial" w:eastAsia="Arial" w:hAnsi="Arial"/>
                <w:sz w:val="18"/>
                <w:szCs w:val="18"/>
                <w:color w:val="auto"/>
              </w:rPr>
              <w:t>Interest Rights Preserved</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13</w:t>
            </w:r>
          </w:p>
        </w:tc>
        <w:tc>
          <w:tcPr>
            <w:tcW w:w="916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13.01.</w:t>
            </w:r>
          </w:p>
        </w:tc>
        <w:tc>
          <w:tcPr>
            <w:tcW w:w="8180" w:type="dxa"/>
            <w:vAlign w:val="bottom"/>
          </w:tcPr>
          <w:p>
            <w:pPr>
              <w:ind w:left="140"/>
              <w:spacing w:after="0"/>
              <w:rPr>
                <w:sz w:val="20"/>
                <w:szCs w:val="20"/>
                <w:color w:val="auto"/>
              </w:rPr>
            </w:pPr>
            <w:r>
              <w:rPr>
                <w:rFonts w:ascii="Arial" w:cs="Arial" w:eastAsia="Arial" w:hAnsi="Arial"/>
                <w:sz w:val="18"/>
                <w:szCs w:val="18"/>
                <w:color w:val="auto"/>
              </w:rPr>
              <w:t>Trust Indenture Act of 1939</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13.02.</w:t>
            </w:r>
          </w:p>
        </w:tc>
        <w:tc>
          <w:tcPr>
            <w:tcW w:w="8180" w:type="dxa"/>
            <w:vAlign w:val="bottom"/>
          </w:tcPr>
          <w:p>
            <w:pPr>
              <w:ind w:left="140"/>
              <w:spacing w:after="0"/>
              <w:rPr>
                <w:sz w:val="20"/>
                <w:szCs w:val="20"/>
                <w:color w:val="auto"/>
              </w:rPr>
            </w:pPr>
            <w:r>
              <w:rPr>
                <w:rFonts w:ascii="Arial" w:cs="Arial" w:eastAsia="Arial" w:hAnsi="Arial"/>
                <w:sz w:val="18"/>
                <w:szCs w:val="18"/>
                <w:color w:val="auto"/>
              </w:rPr>
              <w:t>Noteholder Communications; Noteholder Actions</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13.03.</w:t>
            </w:r>
          </w:p>
        </w:tc>
        <w:tc>
          <w:tcPr>
            <w:tcW w:w="8180" w:type="dxa"/>
            <w:vAlign w:val="bottom"/>
          </w:tcPr>
          <w:p>
            <w:pPr>
              <w:ind w:left="140"/>
              <w:spacing w:after="0"/>
              <w:rPr>
                <w:sz w:val="20"/>
                <w:szCs w:val="20"/>
                <w:color w:val="auto"/>
              </w:rPr>
            </w:pPr>
            <w:r>
              <w:rPr>
                <w:rFonts w:ascii="Arial" w:cs="Arial" w:eastAsia="Arial" w:hAnsi="Arial"/>
                <w:sz w:val="18"/>
                <w:szCs w:val="18"/>
                <w:color w:val="auto"/>
              </w:rPr>
              <w:t>Notices</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13.04.</w:t>
            </w:r>
          </w:p>
        </w:tc>
        <w:tc>
          <w:tcPr>
            <w:tcW w:w="8180" w:type="dxa"/>
            <w:vAlign w:val="bottom"/>
          </w:tcPr>
          <w:p>
            <w:pPr>
              <w:ind w:left="140"/>
              <w:spacing w:after="0"/>
              <w:rPr>
                <w:sz w:val="20"/>
                <w:szCs w:val="20"/>
                <w:color w:val="auto"/>
              </w:rPr>
            </w:pPr>
            <w:r>
              <w:rPr>
                <w:rFonts w:ascii="Arial" w:cs="Arial" w:eastAsia="Arial" w:hAnsi="Arial"/>
                <w:sz w:val="18"/>
                <w:szCs w:val="18"/>
                <w:color w:val="auto"/>
              </w:rPr>
              <w:t>Communication by Holders with Other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13.05.</w:t>
            </w:r>
          </w:p>
        </w:tc>
        <w:tc>
          <w:tcPr>
            <w:tcW w:w="818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13.06.</w:t>
            </w:r>
          </w:p>
        </w:tc>
        <w:tc>
          <w:tcPr>
            <w:tcW w:w="818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13.07.</w:t>
            </w:r>
          </w:p>
        </w:tc>
        <w:tc>
          <w:tcPr>
            <w:tcW w:w="8180" w:type="dxa"/>
            <w:vAlign w:val="bottom"/>
          </w:tcPr>
          <w:p>
            <w:pPr>
              <w:ind w:left="140"/>
              <w:spacing w:after="0"/>
              <w:rPr>
                <w:sz w:val="20"/>
                <w:szCs w:val="20"/>
                <w:color w:val="auto"/>
              </w:rPr>
            </w:pPr>
            <w:r>
              <w:rPr>
                <w:rFonts w:ascii="Arial" w:cs="Arial" w:eastAsia="Arial" w:hAnsi="Arial"/>
                <w:sz w:val="18"/>
                <w:szCs w:val="18"/>
                <w:color w:val="auto"/>
              </w:rPr>
              <w:t>Legal Holiday</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13.08.</w:t>
            </w:r>
          </w:p>
        </w:tc>
        <w:tc>
          <w:tcPr>
            <w:tcW w:w="8180" w:type="dxa"/>
            <w:vAlign w:val="bottom"/>
          </w:tcPr>
          <w:p>
            <w:pPr>
              <w:ind w:left="140"/>
              <w:spacing w:after="0"/>
              <w:rPr>
                <w:sz w:val="20"/>
                <w:szCs w:val="20"/>
                <w:color w:val="auto"/>
              </w:rPr>
            </w:pPr>
            <w:r>
              <w:rPr>
                <w:rFonts w:ascii="Arial" w:cs="Arial" w:eastAsia="Arial" w:hAnsi="Arial"/>
                <w:sz w:val="18"/>
                <w:szCs w:val="18"/>
                <w:color w:val="auto"/>
              </w:rPr>
              <w:t>Rules by Trustee, Paying Agent, Conversion Agent and Registrar</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13.09.</w:t>
            </w:r>
          </w:p>
        </w:tc>
        <w:tc>
          <w:tcPr>
            <w:tcW w:w="818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13.10.</w:t>
            </w:r>
          </w:p>
        </w:tc>
        <w:tc>
          <w:tcPr>
            <w:tcW w:w="818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13.11.</w:t>
            </w:r>
          </w:p>
        </w:tc>
        <w:tc>
          <w:tcPr>
            <w:tcW w:w="818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13.12.</w:t>
            </w:r>
          </w:p>
        </w:tc>
        <w:tc>
          <w:tcPr>
            <w:tcW w:w="81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13.13.</w:t>
            </w:r>
          </w:p>
        </w:tc>
        <w:tc>
          <w:tcPr>
            <w:tcW w:w="81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13.14.</w:t>
            </w:r>
          </w:p>
        </w:tc>
        <w:tc>
          <w:tcPr>
            <w:tcW w:w="8180" w:type="dxa"/>
            <w:vAlign w:val="bottom"/>
          </w:tcPr>
          <w:p>
            <w:pPr>
              <w:ind w:left="140"/>
              <w:spacing w:after="0"/>
              <w:rPr>
                <w:sz w:val="20"/>
                <w:szCs w:val="20"/>
                <w:color w:val="auto"/>
              </w:rPr>
            </w:pPr>
            <w:r>
              <w:rPr>
                <w:rFonts w:ascii="Arial" w:cs="Arial" w:eastAsia="Arial" w:hAnsi="Arial"/>
                <w:sz w:val="18"/>
                <w:szCs w:val="18"/>
                <w:color w:val="auto"/>
              </w:rPr>
              <w:t>Table of Contents and Headings</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2020" w:type="dxa"/>
            <w:vAlign w:val="bottom"/>
            <w:gridSpan w:val="2"/>
          </w:tcPr>
          <w:p>
            <w:pPr>
              <w:ind w:left="220"/>
              <w:spacing w:after="0"/>
              <w:rPr>
                <w:sz w:val="20"/>
                <w:szCs w:val="20"/>
                <w:color w:val="auto"/>
              </w:rPr>
            </w:pPr>
            <w:r>
              <w:rPr>
                <w:rFonts w:ascii="Arial" w:cs="Arial" w:eastAsia="Arial" w:hAnsi="Arial"/>
                <w:sz w:val="18"/>
                <w:szCs w:val="18"/>
                <w:color w:val="auto"/>
              </w:rPr>
              <w:t>Section 13.15.</w:t>
            </w:r>
          </w:p>
        </w:tc>
        <w:tc>
          <w:tcPr>
            <w:tcW w:w="8180" w:type="dxa"/>
            <w:vAlign w:val="bottom"/>
          </w:tcPr>
          <w:p>
            <w:pPr>
              <w:ind w:left="14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i w:val="1"/>
                <w:iCs w:val="1"/>
                <w:color w:val="auto"/>
              </w:rPr>
              <w:t>EXHIBITS</w:t>
            </w:r>
          </w:p>
        </w:tc>
        <w:tc>
          <w:tcPr>
            <w:tcW w:w="9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EXHIBIT A</w:t>
            </w:r>
          </w:p>
        </w:tc>
        <w:tc>
          <w:tcPr>
            <w:tcW w:w="980" w:type="dxa"/>
            <w:vAlign w:val="bottom"/>
          </w:tcPr>
          <w:p>
            <w:pPr>
              <w:spacing w:after="0"/>
              <w:rPr>
                <w:sz w:val="24"/>
                <w:szCs w:val="24"/>
                <w:color w:val="auto"/>
              </w:rPr>
            </w:pPr>
          </w:p>
        </w:tc>
        <w:tc>
          <w:tcPr>
            <w:tcW w:w="8180" w:type="dxa"/>
            <w:vAlign w:val="bottom"/>
          </w:tcPr>
          <w:p>
            <w:pPr>
              <w:ind w:left="40"/>
              <w:spacing w:after="0"/>
              <w:rPr>
                <w:sz w:val="20"/>
                <w:szCs w:val="20"/>
                <w:color w:val="auto"/>
              </w:rPr>
            </w:pPr>
            <w:r>
              <w:rPr>
                <w:rFonts w:ascii="Arial" w:cs="Arial" w:eastAsia="Arial" w:hAnsi="Arial"/>
                <w:sz w:val="18"/>
                <w:szCs w:val="18"/>
                <w:i w:val="1"/>
                <w:iCs w:val="1"/>
                <w:color w:val="auto"/>
              </w:rPr>
              <w:t>Form of Note</w:t>
            </w:r>
          </w:p>
        </w:tc>
        <w:tc>
          <w:tcPr>
            <w:tcW w:w="1220" w:type="dxa"/>
            <w:vAlign w:val="bottom"/>
          </w:tcPr>
          <w:p>
            <w:pPr>
              <w:spacing w:after="0"/>
              <w:rPr>
                <w:sz w:val="24"/>
                <w:szCs w:val="24"/>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EXHIBIT B</w:t>
            </w:r>
          </w:p>
        </w:tc>
        <w:tc>
          <w:tcPr>
            <w:tcW w:w="980" w:type="dxa"/>
            <w:vAlign w:val="bottom"/>
          </w:tcPr>
          <w:p>
            <w:pPr>
              <w:spacing w:after="0"/>
              <w:rPr>
                <w:sz w:val="19"/>
                <w:szCs w:val="19"/>
                <w:color w:val="auto"/>
              </w:rPr>
            </w:pPr>
          </w:p>
        </w:tc>
        <w:tc>
          <w:tcPr>
            <w:tcW w:w="8180" w:type="dxa"/>
            <w:vAlign w:val="bottom"/>
          </w:tcPr>
          <w:p>
            <w:pPr>
              <w:ind w:left="40"/>
              <w:spacing w:after="0"/>
              <w:rPr>
                <w:sz w:val="20"/>
                <w:szCs w:val="20"/>
                <w:color w:val="auto"/>
              </w:rPr>
            </w:pPr>
            <w:r>
              <w:rPr>
                <w:rFonts w:ascii="Arial" w:cs="Arial" w:eastAsia="Arial" w:hAnsi="Arial"/>
                <w:sz w:val="18"/>
                <w:szCs w:val="18"/>
                <w:i w:val="1"/>
                <w:iCs w:val="1"/>
                <w:color w:val="auto"/>
              </w:rPr>
              <w:t>DTC Legend</w:t>
            </w:r>
          </w:p>
        </w:tc>
        <w:tc>
          <w:tcPr>
            <w:tcW w:w="12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ind w:right="140" w:firstLine="351"/>
        <w:spacing w:after="0" w:line="275" w:lineRule="auto"/>
        <w:rPr>
          <w:sz w:val="20"/>
          <w:szCs w:val="20"/>
          <w:color w:val="auto"/>
        </w:rPr>
      </w:pPr>
      <w:r>
        <w:rPr>
          <w:rFonts w:ascii="Arial" w:cs="Arial" w:eastAsia="Arial" w:hAnsi="Arial"/>
          <w:sz w:val="18"/>
          <w:szCs w:val="18"/>
          <w:color w:val="auto"/>
        </w:rPr>
        <w:t>INDENTURE dated as of May [ • ], 2007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of $1,100,000,000 (or up to $1,265,000,000 to the extent the Underwriters exercise their over-allotment option under the Underwriting Agreement in full) aggregate principal amount of the Company's [ • ]% Convertible Senior Notes due June 1, 2014 (the "</w:t>
      </w:r>
      <w:r>
        <w:rPr>
          <w:rFonts w:ascii="Arial" w:cs="Arial" w:eastAsia="Arial" w:hAnsi="Arial"/>
          <w:sz w:val="16"/>
          <w:szCs w:val="16"/>
          <w:b w:val="1"/>
          <w:bCs w:val="1"/>
          <w:color w:val="auto"/>
        </w:rPr>
        <w:t>Notes</w:t>
      </w:r>
      <w:r>
        <w:rPr>
          <w:rFonts w:ascii="Arial" w:cs="Arial" w:eastAsia="Arial" w:hAnsi="Arial"/>
          <w:sz w:val="16"/>
          <w:szCs w:val="16"/>
          <w:color w:val="auto"/>
        </w:rPr>
        <w:t>"). All things necessary to make this Indenture a valid agreement of the Company, in accordance with its terms, have been done, and the Company has done all things necessary to make the Notes, when executed by the Company and authenticated and delivered by the Trustee and duly issued by the Company, the valid obligations of the Company as hereinafter provided.</w:t>
      </w:r>
    </w:p>
    <w:p>
      <w:pPr>
        <w:spacing w:after="0" w:line="170"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Indenture is subject to, and will be governed by, the provisions of the Trust Indenture Act that are required to be a part of and govern indentures qualified under the Trust Indenture Act.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3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19"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Notes</w:t>
      </w:r>
      <w:r>
        <w:rPr>
          <w:rFonts w:ascii="Arial" w:cs="Arial" w:eastAsia="Arial" w:hAnsi="Arial"/>
          <w:sz w:val="16"/>
          <w:szCs w:val="16"/>
          <w:color w:val="auto"/>
        </w:rPr>
        <w:t>" means the $165,000,000 aggregate principal amount of Notes issued under this Indenture as a result of the Underwriters exercise of their over-allotment option under the Underwriting Agreement. The Additional Notes shall have the same terms as the Initial Notes.</w:t>
      </w:r>
    </w:p>
    <w:p>
      <w:pPr>
        <w:spacing w:after="0" w:line="128" w:lineRule="exact"/>
        <w:rPr>
          <w:sz w:val="20"/>
          <w:szCs w:val="20"/>
          <w:color w:val="auto"/>
        </w:rPr>
      </w:pPr>
    </w:p>
    <w:p>
      <w:pPr>
        <w:ind w:right="20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48"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74"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resolution duly adopted by the Board of Directors which is certified by the Secretary or an Assistant Secretary of the Company and remains in full force and effect as of the date of its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ind w:right="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the place of payment are authorized or obligated to close.</w:t>
      </w:r>
    </w:p>
    <w:p>
      <w:pPr>
        <w:spacing w:after="0" w:line="174"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means such coin or currency of the United States as at any time of payment is legal tender for the payment of public and private debts.</w:t>
      </w:r>
    </w:p>
    <w:p>
      <w:pPr>
        <w:spacing w:after="0" w:line="248"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 Averaging Period</w:t>
      </w:r>
      <w:r>
        <w:rPr>
          <w:rFonts w:ascii="Arial" w:cs="Arial" w:eastAsia="Arial" w:hAnsi="Arial"/>
          <w:sz w:val="18"/>
          <w:szCs w:val="18"/>
          <w:color w:val="auto"/>
        </w:rPr>
        <w:t>" means (a) with respect to any Conversion Date occurring on or after the 24th Scheduled Trading Day immediately preceding the Maturity Date, the twenty (20) consecutive Trading Day period ending on, and including, the third Scheduled Trading Day immediately preceding the Maturity Date and (b) in all other cases, the twenty (20) consecutive Trading Day period beginning on, and including, the third Trading Day immediately following the relevant Conversion Date.</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have the meaning set forth in Section 3.01(a) of this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Common Stock or any other security on any date means the closing sale price per share (or, if no closing sale price is reported, the average of the last bid and last ask prices or, if more than one in either case, the average of the average bid and the average ask prices) on that date as reported in composite transactions for the principal U.S. securities exchange on which Common Stock or such other security is traded.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66"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65"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Value</w:t>
      </w:r>
      <w:r>
        <w:rPr>
          <w:rFonts w:ascii="Arial" w:cs="Arial" w:eastAsia="Arial" w:hAnsi="Arial"/>
          <w:sz w:val="18"/>
          <w:szCs w:val="18"/>
          <w:color w:val="auto"/>
        </w:rPr>
        <w:t xml:space="preserve">" means the product of (a) the Conversion Rate on the first Trading Day of the Cash Settlement Averaging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average of the Volume Weighted Average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0" w:name="page91"/>
    <w:bookmarkEnd w:id="90"/>
    <w:p>
      <w:pPr>
        <w:ind w:right="160"/>
        <w:spacing w:after="0" w:line="298" w:lineRule="auto"/>
        <w:rPr>
          <w:sz w:val="20"/>
          <w:szCs w:val="20"/>
          <w:color w:val="auto"/>
        </w:rPr>
      </w:pPr>
      <w:r>
        <w:rPr>
          <w:rFonts w:ascii="Arial" w:cs="Arial" w:eastAsia="Arial" w:hAnsi="Arial"/>
          <w:sz w:val="16"/>
          <w:szCs w:val="16"/>
          <w:color w:val="auto"/>
        </w:rPr>
        <w:t>Prices per share of Common Stock on each of the Trading Days during the applicable Cash Settlement Averaging Period. The "Conversion Rate on the first Trading Day of the Cash Settlement Averaging Period," as such term is used in the immediately preceding sentence, shall be appropriately adjusted to take into account the occurrence on or before the relevant Trading Day in the applicable Cash Settlement Averaging Period of any event that would require an adjustment to the applicable Conversion Rate pursuant to Sections 10.06 to 10.10 of this Indenture.</w:t>
      </w:r>
    </w:p>
    <w:p>
      <w:pPr>
        <w:spacing w:after="0" w:line="161"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Sixth and Marquette, MAC N9303-120, Minneapolis, Minnesota 55479.</w:t>
      </w:r>
    </w:p>
    <w:p>
      <w:pPr>
        <w:spacing w:after="0" w:line="174" w:lineRule="exact"/>
        <w:rPr>
          <w:sz w:val="20"/>
          <w:szCs w:val="20"/>
          <w:color w:val="auto"/>
        </w:rPr>
      </w:pPr>
    </w:p>
    <w:p>
      <w:pPr>
        <w:jc w:val="both"/>
        <w:ind w:right="10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Market Price</w:t>
      </w:r>
      <w:r>
        <w:rPr>
          <w:rFonts w:ascii="Arial" w:cs="Arial" w:eastAsia="Arial" w:hAnsi="Arial"/>
          <w:sz w:val="16"/>
          <w:szCs w:val="16"/>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28" w:lineRule="exact"/>
        <w:rPr>
          <w:sz w:val="20"/>
          <w:szCs w:val="20"/>
          <w:color w:val="auto"/>
        </w:rPr>
      </w:pPr>
    </w:p>
    <w:p>
      <w:pPr>
        <w:ind w:right="20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Share Amount</w:t>
      </w:r>
      <w:r>
        <w:rPr>
          <w:rFonts w:ascii="Arial" w:cs="Arial" w:eastAsia="Arial" w:hAnsi="Arial"/>
          <w:sz w:val="16"/>
          <w:szCs w:val="16"/>
          <w:color w:val="auto"/>
        </w:rPr>
        <w:t>" means, for each Trading Day of the Cash Settlement Averaging Period and each $1,000 principal amount of Notes surrendered for conversion, a number of shares of Common Stock (but in no event less than zero) determined pursuant to the following formula: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1360"/>
              <w:spacing w:after="0"/>
              <w:rPr>
                <w:sz w:val="20"/>
                <w:szCs w:val="20"/>
                <w:color w:val="auto"/>
              </w:rPr>
            </w:pPr>
            <w:r>
              <w:rPr>
                <w:rFonts w:ascii="Arial" w:cs="Arial" w:eastAsia="Arial" w:hAnsi="Arial"/>
                <w:sz w:val="18"/>
                <w:szCs w:val="18"/>
                <w:color w:val="auto"/>
              </w:rPr>
              <w:t>Volume Weighted Average</w:t>
            </w:r>
          </w:p>
        </w:tc>
        <w:tc>
          <w:tcPr>
            <w:tcW w:w="178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1840" w:type="dxa"/>
            <w:vAlign w:val="bottom"/>
          </w:tcPr>
          <w:p>
            <w:pPr>
              <w:jc w:val="center"/>
              <w:ind w:right="112"/>
              <w:spacing w:after="0"/>
              <w:rPr>
                <w:sz w:val="20"/>
                <w:szCs w:val="20"/>
                <w:color w:val="auto"/>
              </w:rPr>
            </w:pPr>
            <w:r>
              <w:rPr>
                <w:rFonts w:ascii="Arial" w:cs="Arial" w:eastAsia="Arial" w:hAnsi="Arial"/>
                <w:sz w:val="18"/>
                <w:szCs w:val="18"/>
                <w:color w:val="auto"/>
                <w:w w:val="86"/>
              </w:rPr>
              <w:t>Conversion Rate</w:t>
            </w:r>
          </w:p>
        </w:tc>
        <w:tc>
          <w:tcPr>
            <w:tcW w:w="9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Specified</w:t>
            </w:r>
          </w:p>
        </w:tc>
      </w:tr>
      <w:tr>
        <w:trPr>
          <w:trHeight w:val="216"/>
        </w:trPr>
        <w:tc>
          <w:tcPr>
            <w:tcW w:w="4020" w:type="dxa"/>
            <w:vAlign w:val="bottom"/>
          </w:tcPr>
          <w:p>
            <w:pPr>
              <w:ind w:left="1360"/>
              <w:spacing w:after="0"/>
              <w:rPr>
                <w:sz w:val="20"/>
                <w:szCs w:val="20"/>
                <w:color w:val="auto"/>
              </w:rPr>
            </w:pPr>
            <w:r>
              <w:rPr>
                <w:rFonts w:ascii="Arial" w:cs="Arial" w:eastAsia="Arial" w:hAnsi="Arial"/>
                <w:sz w:val="18"/>
                <w:szCs w:val="18"/>
                <w:color w:val="auto"/>
              </w:rPr>
              <w:t>Price per share of common</w:t>
            </w:r>
          </w:p>
        </w:tc>
        <w:tc>
          <w:tcPr>
            <w:tcW w:w="1780" w:type="dxa"/>
            <w:vAlign w:val="bottom"/>
          </w:tcPr>
          <w:p>
            <w:pPr>
              <w:spacing w:after="0"/>
              <w:rPr>
                <w:sz w:val="18"/>
                <w:szCs w:val="18"/>
                <w:color w:val="auto"/>
              </w:rPr>
            </w:pPr>
          </w:p>
        </w:tc>
        <w:tc>
          <w:tcPr>
            <w:tcW w:w="1840" w:type="dxa"/>
            <w:vAlign w:val="bottom"/>
          </w:tcPr>
          <w:p>
            <w:pPr>
              <w:jc w:val="center"/>
              <w:ind w:right="112"/>
              <w:spacing w:after="0"/>
              <w:rPr>
                <w:sz w:val="20"/>
                <w:szCs w:val="20"/>
                <w:color w:val="auto"/>
              </w:rPr>
            </w:pPr>
            <w:r>
              <w:rPr>
                <w:rFonts w:ascii="Arial" w:cs="Arial" w:eastAsia="Arial" w:hAnsi="Arial"/>
                <w:sz w:val="18"/>
                <w:szCs w:val="18"/>
                <w:color w:val="auto"/>
                <w:w w:val="88"/>
              </w:rPr>
              <w:t>in effect on the</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0"/>
              </w:rPr>
              <w:t>Cash</w:t>
            </w:r>
          </w:p>
        </w:tc>
      </w:tr>
      <w:tr>
        <w:trPr>
          <w:trHeight w:val="222"/>
        </w:trPr>
        <w:tc>
          <w:tcPr>
            <w:tcW w:w="4020" w:type="dxa"/>
            <w:vAlign w:val="bottom"/>
          </w:tcPr>
          <w:p>
            <w:pPr>
              <w:ind w:left="1360"/>
              <w:spacing w:after="0"/>
              <w:rPr>
                <w:sz w:val="20"/>
                <w:szCs w:val="20"/>
                <w:color w:val="auto"/>
              </w:rPr>
            </w:pPr>
            <w:r>
              <w:rPr>
                <w:rFonts w:ascii="Arial" w:cs="Arial" w:eastAsia="Arial" w:hAnsi="Arial"/>
                <w:sz w:val="18"/>
                <w:szCs w:val="18"/>
                <w:color w:val="auto"/>
              </w:rPr>
              <w:t>stock on such Trading Day</w:t>
            </w:r>
          </w:p>
        </w:tc>
        <w:tc>
          <w:tcPr>
            <w:tcW w:w="1780" w:type="dxa"/>
            <w:vAlign w:val="bottom"/>
          </w:tcPr>
          <w:p>
            <w:pPr>
              <w:spacing w:after="0"/>
              <w:rPr>
                <w:sz w:val="19"/>
                <w:szCs w:val="19"/>
                <w:color w:val="auto"/>
              </w:rPr>
            </w:pPr>
          </w:p>
        </w:tc>
        <w:tc>
          <w:tcPr>
            <w:tcW w:w="1840" w:type="dxa"/>
            <w:vAlign w:val="bottom"/>
          </w:tcPr>
          <w:p>
            <w:pPr>
              <w:jc w:val="center"/>
              <w:ind w:right="112"/>
              <w:spacing w:after="0"/>
              <w:rPr>
                <w:sz w:val="20"/>
                <w:szCs w:val="20"/>
                <w:color w:val="auto"/>
              </w:rPr>
            </w:pPr>
            <w:r>
              <w:rPr>
                <w:rFonts w:ascii="Arial" w:cs="Arial" w:eastAsia="Arial" w:hAnsi="Arial"/>
                <w:sz w:val="18"/>
                <w:szCs w:val="18"/>
                <w:color w:val="auto"/>
                <w:w w:val="89"/>
              </w:rPr>
              <w:t>Conversion Date</w:t>
            </w: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Amount</w:t>
            </w:r>
          </w:p>
        </w:tc>
      </w:tr>
      <w:tr>
        <w:trPr>
          <w:trHeight w:val="120"/>
        </w:trPr>
        <w:tc>
          <w:tcPr>
            <w:tcW w:w="580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r>
      <w:tr>
        <w:trPr>
          <w:trHeight w:val="313"/>
        </w:trPr>
        <w:tc>
          <w:tcPr>
            <w:tcW w:w="5800" w:type="dxa"/>
            <w:vAlign w:val="bottom"/>
            <w:gridSpan w:val="2"/>
          </w:tcPr>
          <w:p>
            <w:pPr>
              <w:jc w:val="center"/>
              <w:ind w:left="2292"/>
              <w:spacing w:after="0"/>
              <w:rPr>
                <w:sz w:val="20"/>
                <w:szCs w:val="20"/>
                <w:color w:val="auto"/>
              </w:rPr>
            </w:pPr>
            <w:r>
              <w:rPr>
                <w:rFonts w:ascii="Arial" w:cs="Arial" w:eastAsia="Arial" w:hAnsi="Arial"/>
                <w:sz w:val="18"/>
                <w:szCs w:val="18"/>
                <w:color w:val="auto"/>
                <w:w w:val="87"/>
              </w:rPr>
              <w:t>Volume Weighted Average Price per share</w:t>
            </w:r>
          </w:p>
        </w:tc>
        <w:tc>
          <w:tcPr>
            <w:tcW w:w="184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32"/>
              <w:spacing w:after="0"/>
              <w:rPr>
                <w:sz w:val="20"/>
                <w:szCs w:val="20"/>
                <w:color w:val="auto"/>
              </w:rPr>
            </w:pPr>
            <w:r>
              <w:rPr>
                <w:rFonts w:ascii="Arial" w:cs="Arial" w:eastAsia="Arial" w:hAnsi="Arial"/>
                <w:sz w:val="18"/>
                <w:szCs w:val="18"/>
                <w:color w:val="auto"/>
              </w:rPr>
              <w:t>20</w:t>
            </w:r>
          </w:p>
        </w:tc>
        <w:tc>
          <w:tcPr>
            <w:tcW w:w="1680" w:type="dxa"/>
            <w:vAlign w:val="bottom"/>
          </w:tcPr>
          <w:p>
            <w:pPr>
              <w:spacing w:after="0"/>
              <w:rPr>
                <w:sz w:val="24"/>
                <w:szCs w:val="24"/>
                <w:color w:val="auto"/>
              </w:rPr>
            </w:pPr>
          </w:p>
        </w:tc>
      </w:tr>
      <w:tr>
        <w:trPr>
          <w:trHeight w:val="222"/>
        </w:trPr>
        <w:tc>
          <w:tcPr>
            <w:tcW w:w="5800" w:type="dxa"/>
            <w:vAlign w:val="bottom"/>
            <w:gridSpan w:val="2"/>
          </w:tcPr>
          <w:p>
            <w:pPr>
              <w:jc w:val="center"/>
              <w:ind w:left="2272"/>
              <w:spacing w:after="0"/>
              <w:rPr>
                <w:sz w:val="20"/>
                <w:szCs w:val="20"/>
                <w:color w:val="auto"/>
              </w:rPr>
            </w:pPr>
            <w:r>
              <w:rPr>
                <w:rFonts w:ascii="Arial" w:cs="Arial" w:eastAsia="Arial" w:hAnsi="Arial"/>
                <w:sz w:val="18"/>
                <w:szCs w:val="18"/>
                <w:color w:val="auto"/>
                <w:w w:val="89"/>
              </w:rPr>
              <w:t>of Common Stock on such Trading Day</w:t>
            </w: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-838200</wp:posOffset>
            </wp:positionV>
            <wp:extent cx="51435" cy="3346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33464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-838200</wp:posOffset>
            </wp:positionV>
            <wp:extent cx="51435" cy="3346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334645"/>
                    </a:xfrm>
                    <a:prstGeom prst="rect">
                      <a:avLst/>
                    </a:prstGeom>
                    <a:noFill/>
                  </pic:spPr>
                </pic:pic>
              </a:graphicData>
            </a:graphic>
          </wp:anchor>
        </w:drawing>
      </w:r>
    </w:p>
    <w:p>
      <w:pPr>
        <w:spacing w:after="0" w:line="1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"Conversion Rate in effect on the Conversion Date," as such term is used in the formula set forth above, shall be appropriately adjusted to take into account the occurrence on or before the relevant Trading Day of any event that would require an adjustment to the applicable Conversion Rate pursuant to Sections 10.06 to 10.10 of this Indenture.</w:t>
      </w:r>
    </w:p>
    <w:p>
      <w:pPr>
        <w:spacing w:after="0" w:line="188" w:lineRule="exact"/>
        <w:rPr>
          <w:sz w:val="20"/>
          <w:szCs w:val="20"/>
          <w:color w:val="auto"/>
        </w:rPr>
      </w:pPr>
    </w:p>
    <w:p>
      <w:pPr>
        <w:ind w:right="8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means, with respect to any Person, without duplication, (a) all indebtedness of such Person for borrowed money (other than non-recourse obligations); and (b) all obligations of such Person evidenced by bonds, debentures, notes or other similar instruments.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distribution on Common Stock, the first date on which the shares of Common Stock trade on the applicable exchange or in the applicable market, regular way, without the right to receive such distribution.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Noteholder</w:t>
      </w:r>
      <w:r>
        <w:rPr>
          <w:rFonts w:ascii="Arial" w:cs="Arial" w:eastAsia="Arial" w:hAnsi="Arial"/>
          <w:sz w:val="18"/>
          <w:szCs w:val="18"/>
          <w:color w:val="auto"/>
        </w:rPr>
        <w:t>" means the registered holder of any Note.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1" w:name="page92"/>
    <w:bookmarkEnd w:id="9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 means the Notes, other than any Additional Notes, issued on the date hereof and any Notes issued in replacement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June 1 and December 1 of each year, commencing December 1, 2007.</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 exchange or otherwise) in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June 1,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74"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signed by legal counsel, who may be an employee of or counsel to the Company, satisfactory to the Trustee.</w:t>
      </w:r>
    </w:p>
    <w:p>
      <w:pPr>
        <w:spacing w:after="0" w:line="248"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74" w:lineRule="exact"/>
        <w:rPr>
          <w:sz w:val="20"/>
          <w:szCs w:val="20"/>
          <w:color w:val="auto"/>
        </w:rPr>
      </w:pPr>
    </w:p>
    <w:p>
      <w:pPr>
        <w:jc w:val="both"/>
        <w:ind w:right="28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86" w:lineRule="exact"/>
        <w:rPr>
          <w:sz w:val="20"/>
          <w:szCs w:val="20"/>
          <w:color w:val="auto"/>
        </w:rPr>
      </w:pPr>
    </w:p>
    <w:p>
      <w:pPr>
        <w:ind w:left="360"/>
        <w:spacing w:after="0"/>
        <w:tabs>
          <w:tab w:leader="none" w:pos="4280" w:val="left"/>
          <w:tab w:leader="none" w:pos="452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final prospectus dated May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2007 relating to the offering and sale of the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jc w:val="both"/>
        <w:ind w:right="3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May 15 or November 15 next preceding such Interest Payment Date.</w:t>
      </w:r>
    </w:p>
    <w:p>
      <w:pPr>
        <w:spacing w:after="0" w:line="174" w:lineRule="exact"/>
        <w:rPr>
          <w:sz w:val="20"/>
          <w:szCs w:val="20"/>
          <w:color w:val="auto"/>
        </w:rPr>
      </w:pPr>
    </w:p>
    <w:p>
      <w:pPr>
        <w:jc w:val="both"/>
        <w:ind w:right="32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w:t>
      </w:r>
    </w:p>
    <w:p>
      <w:pPr>
        <w:spacing w:after="0" w:line="225" w:lineRule="exact"/>
        <w:rPr>
          <w:sz w:val="20"/>
          <w:szCs w:val="20"/>
          <w:color w:val="auto"/>
        </w:rPr>
      </w:pPr>
    </w:p>
    <w:p>
      <w:pPr>
        <w:jc w:val="both"/>
        <w:ind w:right="3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86"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Company's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86"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with respect to Common Stock or any other security, a day during which (a) trading in Common Stock or such other security generally occurs, (b) there is no Market Disruption Event and (c) a Closing Price for Common Stock or such other security (other than a Closing Price referred to in the next to last sentence of such definition) is available for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Common Stock or such other security is not admitted for trading or quotation on or by any exchange, bureau or other organization, Trading Day will mean any Business Day.</w:t>
      </w:r>
    </w:p>
    <w:p>
      <w:pPr>
        <w:spacing w:after="0" w:line="15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means, on any date of determination, the average of the secondary market bid quotations obtained by the Trustee for $5.0 million principal amount of the Notes, at approximately 3:30 p.m., New York City time, on such determination date from three independent U.S.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If the Trustee cannot reasonably obtain at least one bid for $5.0 million principal amount of the Notes from a U.S. nationally recognized securities dealer, then the Trading Price per $1,000 principal amount of the Notes will be deemed to be less than 98% of the product of the Closing Price of Common Stock on such date of determination and the then Applicable Conversion Rate for the Notes.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w:t>
      </w:r>
    </w:p>
    <w:p>
      <w:pPr>
        <w:spacing w:after="0" w:line="225" w:lineRule="exact"/>
        <w:rPr>
          <w:sz w:val="20"/>
          <w:szCs w:val="20"/>
          <w:color w:val="auto"/>
        </w:rPr>
      </w:pPr>
    </w:p>
    <w:p>
      <w:pPr>
        <w:ind w:left="360"/>
        <w:spacing w:after="0"/>
        <w:tabs>
          <w:tab w:leader="none" w:pos="6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means Morgan Stanley &amp; Co. Incorporated and [</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dated as of May [ • ], 2007 among the Company and the Underwriters relating to the purchase of the Notes by the Underwriters.</w:t>
      </w:r>
    </w:p>
    <w:p>
      <w:pPr>
        <w:spacing w:after="0" w:line="174"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Volume Weighted Average Price</w:t>
      </w:r>
      <w:r>
        <w:rPr>
          <w:rFonts w:ascii="Arial" w:cs="Arial" w:eastAsia="Arial" w:hAnsi="Arial"/>
          <w:sz w:val="18"/>
          <w:szCs w:val="18"/>
          <w:color w:val="auto"/>
        </w:rPr>
        <w:t>" per share of Common Stock on any Trading Day means such price as displayed on Bloomberg (or any successor service) page MU.N &lt;equity&gt; VAP in respect of the period from 9:30 a.m. to 4:00 p.m., New York City time, on such Trading Day. If such price is not available, the Volume Weighted Average Price means the market value per share of Common Stock on such day as determined by a nationally recognized independent investment banking firm retained for this purpose by the Company.</w:t>
      </w:r>
    </w:p>
    <w:p>
      <w:pPr>
        <w:spacing w:after="0" w:line="190" w:lineRule="exact"/>
        <w:rPr>
          <w:sz w:val="20"/>
          <w:szCs w:val="20"/>
          <w:color w:val="auto"/>
        </w:rPr>
      </w:pPr>
    </w:p>
    <w:p>
      <w:pPr>
        <w:ind w:right="5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3" w:name="page94"/>
    <w:bookmarkEnd w:id="93"/>
    <w:p>
      <w:pPr>
        <w:ind w:left="360"/>
        <w:spacing w:after="0"/>
        <w:tabs>
          <w:tab w:leader="none" w:pos="14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60" w:type="dxa"/>
            <w:vAlign w:val="bottom"/>
          </w:tcPr>
          <w:p>
            <w:pPr>
              <w:spacing w:after="0"/>
              <w:rPr>
                <w:sz w:val="15"/>
                <w:szCs w:val="15"/>
                <w:color w:val="auto"/>
              </w:rPr>
            </w:pPr>
          </w:p>
        </w:tc>
        <w:tc>
          <w:tcPr>
            <w:tcW w:w="15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3"/>
              </w:rPr>
              <w:t>Defined in Section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"act"</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"Act"</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"Bankruptcy Default"</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"beneficial owner"</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3.01(a)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"Company Order"</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"Conversion Agent"</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"Conversion Date"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10.02(a)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"Conversion Obligation"</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10.01(a)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"Conversion Rate"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"Conversion Trigger Price"</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10.01(c)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"Defaulted Interest"</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"Disposition Event"</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"Distributed Assets"</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10.08(a)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"Effective Date"</w:t>
            </w:r>
          </w:p>
        </w:tc>
        <w:tc>
          <w:tcPr>
            <w:tcW w:w="2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10.13(b)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"Expiration Date"</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"Extension Fee"</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"group"</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3.01(a)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"Legal Holiday"</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"Make-Whole Change in Control"</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10.13(a)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"Make-Whole Shares"</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Share Settlement"</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10.02(c)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"Primary Registrar"</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"Purchased Shares"</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"Redemption Price"</w:t>
            </w:r>
          </w:p>
        </w:tc>
        <w:tc>
          <w:tcPr>
            <w:tcW w:w="2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11.01(b)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"Reference Period"</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10.08(a)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"Reference Property"</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"Register"</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"Registrar"</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"Repurchase Date"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"Repurchase Notice"</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3.01(c)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"Repurchase Price"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"Rights"</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Rights Plan"</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"Special Record Date"</w:t>
            </w:r>
          </w:p>
        </w:tc>
        <w:tc>
          <w:tcPr>
            <w:tcW w:w="260" w:type="dxa"/>
            <w:vAlign w:val="bottom"/>
          </w:tcPr>
          <w:p>
            <w:pPr>
              <w:spacing w:after="0"/>
              <w:rPr>
                <w:sz w:val="18"/>
                <w:szCs w:val="18"/>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12.02(a)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"Specified Cash Amount"</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"Spin-Off"</w:t>
            </w:r>
          </w:p>
        </w:tc>
        <w:tc>
          <w:tcPr>
            <w:tcW w:w="2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10.08(b)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"Trading Price Condition"</w:t>
            </w:r>
          </w:p>
        </w:tc>
        <w:tc>
          <w:tcPr>
            <w:tcW w:w="2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10.01(b)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(ii)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"Trigger Event"</w:t>
            </w:r>
          </w:p>
        </w:tc>
        <w:tc>
          <w:tcPr>
            <w:tcW w:w="18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"Underwriters"</w:t>
            </w:r>
          </w:p>
        </w:tc>
        <w:tc>
          <w:tcPr>
            <w:tcW w:w="1820" w:type="dxa"/>
            <w:vAlign w:val="bottom"/>
            <w:gridSpan w:val="3"/>
          </w:tcPr>
          <w:p>
            <w:pPr>
              <w:jc w:val="right"/>
              <w:ind w:right="19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-5984875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-5984875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-5984875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-5984875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Incorporation by Reference of Trust Indenture Act.</w:t>
      </w:r>
      <w:r>
        <w:rPr>
          <w:rFonts w:ascii="Arial" w:cs="Arial" w:eastAsia="Arial" w:hAnsi="Arial"/>
          <w:sz w:val="16"/>
          <w:szCs w:val="16"/>
          <w:color w:val="auto"/>
        </w:rPr>
        <w:t xml:space="preserve"> Whenever this Indenture refers to a provision of the Trust Indenture Act, the provision is incorporated by reference in and made a part of this Indenture. The following Trust Indenture Act terms used in this Indenture have the following meanings: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806" w:right="359" w:bottom="1440" w:gutter="0" w:footer="0" w:header="0"/>
        </w:sectPr>
      </w:pPr>
    </w:p>
    <w:bookmarkStart w:id="94" w:name="page95"/>
    <w:bookmarkEnd w:id="94"/>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Noteholder.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this Indenture securities means the Company.</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All other Trust Indenture Act terms used in this Indenture that are defined by the Trust Indenture Act, defined by Trust Indenture Act reference to another statute or defined by Securities Exchange Commission rule have the meanings assigned to them by such definitions.</w:t>
      </w:r>
    </w:p>
    <w:p>
      <w:pPr>
        <w:spacing w:after="0" w:line="200" w:lineRule="exact"/>
        <w:rPr>
          <w:sz w:val="20"/>
          <w:szCs w:val="20"/>
          <w:color w:val="auto"/>
        </w:rPr>
      </w:pPr>
    </w:p>
    <w:p>
      <w:pPr>
        <w:spacing w:after="0" w:line="202" w:lineRule="exact"/>
        <w:rPr>
          <w:sz w:val="20"/>
          <w:szCs w:val="20"/>
          <w:color w:val="auto"/>
        </w:rPr>
      </w:pPr>
    </w:p>
    <w:p>
      <w:pPr>
        <w:ind w:left="360"/>
        <w:spacing w:after="0"/>
        <w:tabs>
          <w:tab w:leader="none" w:pos="1440" w:val="left"/>
          <w:tab w:leader="none" w:pos="32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8"/>
          <w:szCs w:val="18"/>
          <w:i w:val="1"/>
          <w:iCs w:val="1"/>
          <w:color w:val="auto"/>
        </w:rPr>
        <w:t>Rules of Construction.</w:t>
      </w:r>
      <w:r>
        <w:rPr>
          <w:sz w:val="20"/>
          <w:szCs w:val="20"/>
          <w:color w:val="auto"/>
        </w:rPr>
        <w:tab/>
      </w:r>
      <w:r>
        <w:rPr>
          <w:rFonts w:ascii="Arial" w:cs="Arial" w:eastAsia="Arial" w:hAnsi="Arial"/>
          <w:sz w:val="15"/>
          <w:szCs w:val="15"/>
          <w:color w:val="auto"/>
        </w:rPr>
        <w:t>Unless the context otherwise requires or except as otherwise expressly provided,</w:t>
      </w:r>
    </w:p>
    <w:p>
      <w:pPr>
        <w:spacing w:after="0" w:line="225" w:lineRule="exact"/>
        <w:rPr>
          <w:sz w:val="20"/>
          <w:szCs w:val="20"/>
          <w:color w:val="auto"/>
        </w:rPr>
      </w:pPr>
    </w:p>
    <w:p>
      <w:pPr>
        <w:ind w:left="1220" w:hanging="321"/>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540" w:right="420" w:firstLine="359"/>
        <w:spacing w:after="0" w:line="268" w:lineRule="auto"/>
        <w:tabs>
          <w:tab w:leader="none" w:pos="12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Section, Article or other subdivision;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references to Sections or Articles or Exhibits refer to Sections or Articles or Exhibits of or to this Indenture unless otherwise indicated;</w:t>
      </w:r>
    </w:p>
    <w:p>
      <w:pPr>
        <w:spacing w:after="0" w:line="248" w:lineRule="exact"/>
        <w:rPr>
          <w:rFonts w:ascii="Arial" w:cs="Arial" w:eastAsia="Arial" w:hAnsi="Arial"/>
          <w:sz w:val="16"/>
          <w:szCs w:val="16"/>
          <w:color w:val="auto"/>
        </w:rPr>
      </w:pPr>
    </w:p>
    <w:p>
      <w:pPr>
        <w:ind w:left="540" w:right="360" w:firstLine="359"/>
        <w:spacing w:after="0" w:line="268" w:lineRule="auto"/>
        <w:tabs>
          <w:tab w:leader="none" w:pos="12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85" w:lineRule="exact"/>
        <w:rPr>
          <w:rFonts w:ascii="Arial" w:cs="Arial" w:eastAsia="Arial" w:hAnsi="Arial"/>
          <w:sz w:val="18"/>
          <w:szCs w:val="18"/>
          <w:color w:val="auto"/>
        </w:rPr>
      </w:pPr>
    </w:p>
    <w:p>
      <w:pPr>
        <w:ind w:left="540" w:right="200" w:firstLine="359"/>
        <w:spacing w:after="0" w:line="268" w:lineRule="auto"/>
        <w:tabs>
          <w:tab w:leader="none" w:pos="12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00" w:lineRule="exact"/>
        <w:rPr>
          <w:sz w:val="20"/>
          <w:szCs w:val="20"/>
          <w:color w:val="auto"/>
        </w:rPr>
      </w:pPr>
    </w:p>
    <w:p>
      <w:pPr>
        <w:spacing w:after="0" w:line="24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Acts of Holders.</w:t>
      </w:r>
      <w:r>
        <w:rPr>
          <w:rFonts w:ascii="Arial" w:cs="Arial" w:eastAsia="Arial" w:hAnsi="Arial"/>
          <w:sz w:val="16"/>
          <w:szCs w:val="16"/>
          <w:color w:val="auto"/>
        </w:rPr>
        <w:t xml:space="preserve"> Any request, demand, authorization, direction, notice, consent, waiver or other action provided by this Indenture to be given or taken by Holders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6"/>
          <w:szCs w:val="16"/>
          <w:b w:val="1"/>
          <w:bCs w:val="1"/>
          <w:color w:val="auto"/>
        </w:rPr>
        <w:t>Act</w:t>
      </w:r>
      <w:r>
        <w:rPr>
          <w:rFonts w:ascii="Arial" w:cs="Arial" w:eastAsia="Arial" w:hAnsi="Arial"/>
          <w:sz w:val="16"/>
          <w:szCs w:val="16"/>
          <w:color w:val="auto"/>
        </w:rPr>
        <w: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95" w:name="page96"/>
    <w:bookmarkEnd w:id="95"/>
    <w:p>
      <w:pPr>
        <w:ind w:left="526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Notes</w:t>
      </w:r>
    </w:p>
    <w:p>
      <w:pPr>
        <w:spacing w:after="0" w:line="200" w:lineRule="exact"/>
        <w:rPr>
          <w:sz w:val="20"/>
          <w:szCs w:val="20"/>
          <w:color w:val="auto"/>
        </w:rPr>
      </w:pPr>
    </w:p>
    <w:p>
      <w:pPr>
        <w:spacing w:after="0" w:line="24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Dating and Denominations; Legends.</w:t>
      </w:r>
    </w:p>
    <w:p>
      <w:pPr>
        <w:spacing w:after="0" w:line="225" w:lineRule="exact"/>
        <w:rPr>
          <w:sz w:val="20"/>
          <w:szCs w:val="20"/>
          <w:color w:val="auto"/>
        </w:rPr>
      </w:pPr>
    </w:p>
    <w:p>
      <w:pPr>
        <w:ind w:right="140" w:firstLine="359"/>
        <w:spacing w:after="0" w:line="298" w:lineRule="auto"/>
        <w:tabs>
          <w:tab w:leader="none" w:pos="6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66" w:lineRule="exact"/>
        <w:rPr>
          <w:rFonts w:ascii="Arial" w:cs="Arial" w:eastAsia="Arial" w:hAnsi="Arial"/>
          <w:sz w:val="16"/>
          <w:szCs w:val="16"/>
          <w:color w:val="auto"/>
        </w:rPr>
      </w:pPr>
    </w:p>
    <w:p>
      <w:pPr>
        <w:ind w:firstLine="359"/>
        <w:spacing w:after="0" w:line="254" w:lineRule="auto"/>
        <w:tabs>
          <w:tab w:leader="none" w:pos="688"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Global Notes in General. </w:t>
      </w:r>
      <w:r>
        <w:rPr>
          <w:rFonts w:ascii="Arial" w:cs="Arial" w:eastAsia="Arial" w:hAnsi="Arial"/>
          <w:sz w:val="18"/>
          <w:szCs w:val="18"/>
          <w:color w:val="auto"/>
        </w:rPr>
        <w:t>Each Global Note shall represent such of the outstanding Notes as shall be specified therein and each shall provide that it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98" w:lineRule="exact"/>
        <w:rPr>
          <w:sz w:val="20"/>
          <w:szCs w:val="20"/>
          <w:color w:val="auto"/>
        </w:rPr>
      </w:pPr>
    </w:p>
    <w:p>
      <w:pPr>
        <w:ind w:right="220" w:firstLine="341"/>
        <w:spacing w:after="0" w:line="302" w:lineRule="auto"/>
        <w:rPr>
          <w:sz w:val="20"/>
          <w:szCs w:val="20"/>
          <w:color w:val="auto"/>
        </w:rPr>
      </w:pPr>
      <w:r>
        <w:rPr>
          <w:rFonts w:ascii="Arial" w:cs="Arial" w:eastAsia="Arial" w:hAnsi="Arial"/>
          <w:sz w:val="15"/>
          <w:szCs w:val="15"/>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 (i) prevent the Company, the Trustee or any agent of the Company or the Trustee from giving effect to any written certification, proxy or other authorization furnished by the Depositary or</w:t>
      </w:r>
    </w:p>
    <w:p>
      <w:pPr>
        <w:spacing w:after="0" w:line="3"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impair, as between the Depositary and its Agent Members, the operation of customary practices governing the exercise of the rights of a Holder of any Note.</w:t>
      </w:r>
    </w:p>
    <w:p>
      <w:pPr>
        <w:spacing w:after="0" w:line="241" w:lineRule="exact"/>
        <w:rPr>
          <w:rFonts w:ascii="Arial" w:cs="Arial" w:eastAsia="Arial" w:hAnsi="Arial"/>
          <w:sz w:val="16"/>
          <w:szCs w:val="16"/>
          <w:color w:val="auto"/>
        </w:rPr>
      </w:pPr>
    </w:p>
    <w:p>
      <w:pPr>
        <w:ind w:right="100" w:firstLine="359"/>
        <w:spacing w:after="0" w:line="259" w:lineRule="auto"/>
        <w:tabs>
          <w:tab w:leader="none" w:pos="678"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Book-Entry Provisions. </w:t>
      </w:r>
      <w:r>
        <w:rPr>
          <w:rFonts w:ascii="Arial" w:cs="Arial" w:eastAsia="Arial" w:hAnsi="Arial"/>
          <w:sz w:val="18"/>
          <w:szCs w:val="18"/>
          <w:color w:val="auto"/>
        </w:rPr>
        <w:t>The Company shall execute and the Trustee shall, in accordance with this Section 2.01(c), authenticate and deliver initially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200" w:lineRule="exact"/>
        <w:rPr>
          <w:sz w:val="20"/>
          <w:szCs w:val="20"/>
          <w:color w:val="auto"/>
        </w:rPr>
      </w:pPr>
    </w:p>
    <w:p>
      <w:pPr>
        <w:spacing w:after="0" w:line="21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Execution And Authentication.</w:t>
      </w:r>
      <w:r>
        <w:rPr>
          <w:rFonts w:ascii="Arial" w:cs="Arial" w:eastAsia="Arial" w:hAnsi="Arial"/>
          <w:sz w:val="16"/>
          <w:szCs w:val="16"/>
          <w:color w:val="auto"/>
        </w:rPr>
        <w:t xml:space="preserve"> An Officer shall sign the Notes for the Company by manual or facsimile signature. Typographic errors or defects in any such facsimile signature shall not affect the validity or enforceability of any Note which has been authenticated and delivered by the Trustee.</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If an Officer whose signature is on a Note no longer holds that office at the time the Trustee authenticates the Note, the Note shall be valid nevertheless.</w:t>
      </w:r>
    </w:p>
    <w:p>
      <w:pPr>
        <w:spacing w:after="0" w:line="248"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86"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Trustee shall authenticate and make available for delivery Notes for original issue in the aggregate principal amount of $1,100,000,000 (or up to $1,265,000,000 to the extent the Underwriters exercise their over-allotment option under the Underwriting Agreement in full) upon receipt of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6" w:name="page97"/>
    <w:bookmarkEnd w:id="96"/>
    <w:p>
      <w:pPr>
        <w:ind w:right="140"/>
        <w:spacing w:after="0" w:line="301" w:lineRule="auto"/>
        <w:rPr>
          <w:sz w:val="20"/>
          <w:szCs w:val="20"/>
          <w:color w:val="auto"/>
        </w:rPr>
      </w:pPr>
      <w:r>
        <w:rPr>
          <w:rFonts w:ascii="Arial" w:cs="Arial" w:eastAsia="Arial" w:hAnsi="Arial"/>
          <w:sz w:val="16"/>
          <w:szCs w:val="16"/>
          <w:color w:val="auto"/>
        </w:rPr>
        <w:t>written order or orders of the Company signed by an Officer of the Company (a "</w:t>
      </w:r>
      <w:r>
        <w:rPr>
          <w:rFonts w:ascii="Arial" w:cs="Arial" w:eastAsia="Arial" w:hAnsi="Arial"/>
          <w:sz w:val="16"/>
          <w:szCs w:val="16"/>
          <w:b w:val="1"/>
          <w:bCs w:val="1"/>
          <w:color w:val="auto"/>
        </w:rPr>
        <w:t>Company Order</w:t>
      </w:r>
      <w:r>
        <w:rPr>
          <w:rFonts w:ascii="Arial" w:cs="Arial" w:eastAsia="Arial" w:hAnsi="Arial"/>
          <w:sz w:val="16"/>
          <w:szCs w:val="16"/>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$1,100,000,000 (or $1,265,000,000 to the extent the Underwriters exercise their over-allotment option under the Underwriting Agreement in full) except as provided in Section 2.07.</w:t>
      </w:r>
    </w:p>
    <w:p>
      <w:pPr>
        <w:spacing w:after="0" w:line="163"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principal amount and any integral multiple thereof.</w:t>
      </w:r>
    </w:p>
    <w:p>
      <w:pPr>
        <w:spacing w:after="0" w:line="200" w:lineRule="exact"/>
        <w:rPr>
          <w:sz w:val="20"/>
          <w:szCs w:val="20"/>
          <w:color w:val="auto"/>
        </w:rPr>
      </w:pPr>
    </w:p>
    <w:p>
      <w:pPr>
        <w:spacing w:after="0" w:line="26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Conversion Agent.</w:t>
      </w:r>
      <w:r>
        <w:rPr>
          <w:rFonts w:ascii="Arial" w:cs="Arial" w:eastAsia="Arial" w:hAnsi="Arial"/>
          <w:sz w:val="18"/>
          <w:szCs w:val="18"/>
          <w:color w:val="auto"/>
        </w:rPr>
        <w:t xml:space="preserve"> The Company shall maintain one or more offices or agencies where Notes may be 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20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97" w:lineRule="exact"/>
        <w:rPr>
          <w:sz w:val="20"/>
          <w:szCs w:val="20"/>
          <w:color w:val="auto"/>
        </w:rPr>
      </w:pPr>
    </w:p>
    <w:p>
      <w:pPr>
        <w:jc w:val="both"/>
        <w:ind w:right="500" w:firstLine="348"/>
        <w:spacing w:after="0" w:line="306" w:lineRule="auto"/>
        <w:rPr>
          <w:sz w:val="20"/>
          <w:szCs w:val="20"/>
          <w:color w:val="auto"/>
        </w:rPr>
      </w:pPr>
      <w:r>
        <w:rPr>
          <w:rFonts w:ascii="Arial" w:cs="Arial" w:eastAsia="Arial" w:hAnsi="Arial"/>
          <w:sz w:val="16"/>
          <w:szCs w:val="16"/>
          <w:color w:val="auto"/>
        </w:rPr>
        <w:t>The Company hereby initially designates the Trustee as Paying Agent, Registrar, and Conversion Agent, and each of the Corporate Trust Office of the Trustee and the office or agency of the Trustee in the United States (located at Sixth and Marquette, MAC N9303-120, Minneapolis, Minnesota 55479, Tel. (612) 667-2344, Attention: Corporate Trust Services, one such office or agency of the Company for each of the aforesaid purposes.</w:t>
      </w:r>
    </w:p>
    <w:p>
      <w:pPr>
        <w:spacing w:after="0" w:line="37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xml:space="preserve"> Prior to 12:00 p.m., New York City time, on each date on which the principal amount of or interest, if any, on any Notes is due and payable, the Company shall deposit with a Paying Agent a sum sufficient to pay such principal amount or interest, if any, so becoming due. A Paying Agent shall hold in trust for the benefit of Noteholders or the Trustee all money held by the Paying Agent for the payment of principal amount of or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such Paying Agent. Upon doing so, the Paying Agent (other than the Company) shall have no further liability for the money.</w:t>
      </w:r>
    </w:p>
    <w:p>
      <w:pPr>
        <w:spacing w:after="0" w:line="200" w:lineRule="exact"/>
        <w:rPr>
          <w:sz w:val="20"/>
          <w:szCs w:val="20"/>
          <w:color w:val="auto"/>
        </w:rPr>
      </w:pPr>
    </w:p>
    <w:p>
      <w:pPr>
        <w:spacing w:after="0" w:line="24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Noteholder Lists.</w:t>
      </w:r>
      <w:r>
        <w:rPr>
          <w:rFonts w:ascii="Arial" w:cs="Arial" w:eastAsia="Arial" w:hAnsi="Arial"/>
          <w:sz w:val="18"/>
          <w:szCs w:val="18"/>
          <w:color w:val="auto"/>
        </w:rPr>
        <w:t xml:space="preserve"> The Trustee shall preserve in as current a form as is reasonably practicable the most recent list available to it of the names and addresses of Noteholders. If the Trustee is not the Primary Registrar, the Company shall furnish to the Trustee on or before ten Business Days prior to the interest payment date, and at such other times as the Trustee may request in writing, a list in such form and as of such date as the Trustee may reasonably require of the names and addresses of Noteholders.</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Transfer and Exchange.</w:t>
      </w:r>
      <w:r>
        <w:rPr>
          <w:rFonts w:ascii="Arial" w:cs="Arial" w:eastAsia="Arial" w:hAnsi="Arial"/>
          <w:sz w:val="16"/>
          <w:szCs w:val="16"/>
          <w:color w:val="auto"/>
        </w:rPr>
        <w:t xml:space="preserve"> Subject to compliance with any applicable additional requirements contained in Section 2.13, when a Note is presented to a Registrar with a request to register a transfer thereof or to exchange such Note for an equal principal amount of Notes of other authorized denominations, the Registrar shall register the transfer or make the exchange as requested if its requirements for such transactions are met;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every Note presented or surrendered for registration of transfer or exchange shall be duly endorsed or accompanied by an assignment form in 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sentence shall not apply to any exchange pursuant to Section 2.10, Section 3.04, Section 9.03(b) or Section 10.02(h) not involving any transfer.</w:t>
      </w:r>
    </w:p>
    <w:p>
      <w:pPr>
        <w:spacing w:after="0" w:line="177"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86"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Replacement Notes.</w:t>
      </w:r>
      <w:r>
        <w:rPr>
          <w:rFonts w:ascii="Arial" w:cs="Arial" w:eastAsia="Arial" w:hAnsi="Arial"/>
          <w:sz w:val="16"/>
          <w:szCs w:val="16"/>
          <w:color w:val="auto"/>
        </w:rPr>
        <w:t xml:space="preserve"> If any mutilated Note is surrendered to the Company, a Registrar or the Trustee, or the Company, a Registrar 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ind w:right="260" w:firstLine="351"/>
        <w:spacing w:after="0" w:line="332" w:lineRule="auto"/>
        <w:rPr>
          <w:sz w:val="20"/>
          <w:szCs w:val="20"/>
          <w:color w:val="auto"/>
        </w:rPr>
      </w:pPr>
      <w:r>
        <w:rPr>
          <w:rFonts w:ascii="Arial" w:cs="Arial" w:eastAsia="Arial" w:hAnsi="Arial"/>
          <w:sz w:val="16"/>
          <w:szCs w:val="16"/>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3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200" w:lineRule="exact"/>
        <w:rPr>
          <w:sz w:val="20"/>
          <w:szCs w:val="20"/>
          <w:color w:val="auto"/>
        </w:rPr>
      </w:pPr>
    </w:p>
    <w:p>
      <w:pPr>
        <w:spacing w:after="0" w:line="202"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 xml:space="preserve"> Notes outstanding at any time are all Notes authenticated by the Trustee, except for those canceled by it, those converted pursuant to Article 10, those delivered to it for cancellation or surrendered for transfer or exchange and those described in this Section 2.08 as not outstanding.</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200" w:lineRule="exact"/>
        <w:rPr>
          <w:sz w:val="20"/>
          <w:szCs w:val="20"/>
          <w:color w:val="auto"/>
        </w:rPr>
      </w:pPr>
    </w:p>
    <w:p>
      <w:pPr>
        <w:spacing w:after="0" w:line="20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Treasury Notes.</w:t>
      </w:r>
      <w:r>
        <w:rPr>
          <w:rFonts w:ascii="Arial" w:cs="Arial" w:eastAsia="Arial" w:hAnsi="Arial"/>
          <w:sz w:val="16"/>
          <w:szCs w:val="16"/>
          <w:color w:val="auto"/>
        </w:rPr>
        <w:t xml:space="preserve"> In determining whether the Holders of the required principal amount of Notes have concurred in any notice, 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39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Temporary Notes.</w:t>
      </w:r>
      <w:r>
        <w:rPr>
          <w:rFonts w:ascii="Arial" w:cs="Arial" w:eastAsia="Arial" w:hAnsi="Arial"/>
          <w:sz w:val="16"/>
          <w:szCs w:val="16"/>
          <w:color w:val="auto"/>
        </w:rPr>
        <w:t xml:space="preserve"> Until definitive Notes are ready for delivery, the Company may prepare and execute, and, upon receipt of a 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383"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r>
        <w:rPr>
          <w:rFonts w:ascii="Arial" w:cs="Arial" w:eastAsia="Arial" w:hAnsi="Arial"/>
          <w:sz w:val="18"/>
          <w:szCs w:val="18"/>
          <w:color w:val="auto"/>
        </w:rPr>
        <w:t xml:space="preserve"> The Company at any time may deliver Notes to the Trustee for cancellation. The Registrar, the Paying Agent and the Conversion Agent shall forward to the Trustee or its agent any Notes surrendered to them for transfer, exchange, payment or conversion. The Trustee and no one else shall cancel, in accordance with its standard procedures, all Notes surrendered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transfer, exchange, payment, conversion or cancellation and upon written request of the Company shall deliver evidence of the canceled Notes to the Company.</w:t>
      </w:r>
    </w:p>
    <w:p>
      <w:pPr>
        <w:spacing w:after="0" w:line="200" w:lineRule="exact"/>
        <w:rPr>
          <w:sz w:val="20"/>
          <w:szCs w:val="20"/>
          <w:color w:val="auto"/>
        </w:rPr>
      </w:pPr>
    </w:p>
    <w:p>
      <w:pPr>
        <w:spacing w:after="0" w:line="26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xml:space="preserve"> The Company in issuing the Notes may use one or more "CUSIP" numbers (if then generally in use), and, if so, 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200" w:lineRule="exact"/>
        <w:rPr>
          <w:sz w:val="20"/>
          <w:szCs w:val="20"/>
          <w:color w:val="auto"/>
        </w:rPr>
      </w:pPr>
    </w:p>
    <w:p>
      <w:pPr>
        <w:spacing w:after="0" w:line="21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Book-Entry Provisions for Global Notes.</w:t>
      </w:r>
      <w:r>
        <w:rPr>
          <w:rFonts w:ascii="Arial" w:cs="Arial" w:eastAsia="Arial" w:hAnsi="Arial"/>
          <w:sz w:val="16"/>
          <w:szCs w:val="16"/>
          <w:color w:val="auto"/>
        </w:rPr>
        <w:t xml:space="preserve"> (a) Transfers of Global Notes shall be limited to transfers in whole, but not in part, to the Depositary, its successors or their respective nominees. In addition, Certificated Notes shall be transferred to all beneficial owners, as identified by the Depositary, in exchange for their beneficial interests in Global Notes only if (i) the Depositary notifies the Company that the Depositary is unwilling or unable to continue as depositary for any Global Note (or the Depositary ceases to be a "clearing agency" registered under Section 17A of the Exchange Act) and a successor Depositary is not appointed by the Company within 90 days of such notice or cessation or (ii) an Event of Default has occurred and is continuing and the Registrar has received a written request from the Depositary to issue Certificated Notes.</w:t>
      </w:r>
    </w:p>
    <w:p>
      <w:pPr>
        <w:spacing w:after="0" w:line="174" w:lineRule="exact"/>
        <w:rPr>
          <w:sz w:val="20"/>
          <w:szCs w:val="20"/>
          <w:color w:val="auto"/>
        </w:rPr>
      </w:pPr>
    </w:p>
    <w:p>
      <w:pPr>
        <w:ind w:right="60" w:firstLine="359"/>
        <w:spacing w:after="0" w:line="256" w:lineRule="auto"/>
        <w:tabs>
          <w:tab w:leader="none" w:pos="6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connection with the transfer of a Global Note in its entirety to beneficial owners pursuant to Section 2.13(a), such Global Note shall be deemed to be surrendered to the Trustee for cancellation, and the Company shall execute, and the Trustee shall upon written instructions from the Company authenticate and deliver, to each beneficial owner identified by the Depositary in exchange for its beneficial interest in such Global Note, an equal aggregate principal amount of Certificated Notes of authorized denominations.</w:t>
      </w:r>
    </w:p>
    <w:p>
      <w:pPr>
        <w:spacing w:after="0" w:line="197" w:lineRule="exact"/>
        <w:rPr>
          <w:rFonts w:ascii="Arial" w:cs="Arial" w:eastAsia="Arial" w:hAnsi="Arial"/>
          <w:sz w:val="18"/>
          <w:szCs w:val="18"/>
          <w:color w:val="auto"/>
        </w:rPr>
      </w:pPr>
    </w:p>
    <w:p>
      <w:pPr>
        <w:ind w:right="420" w:firstLine="359"/>
        <w:spacing w:after="0" w:line="268" w:lineRule="auto"/>
        <w:tabs>
          <w:tab w:leader="none" w:pos="6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 of any Global Note may grant proxies and otherwise authorize any Person to take any action that a Holder is entitled to take under this Indenture or the Notes.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Repurchases</w:t>
      </w:r>
    </w:p>
    <w:p>
      <w:pPr>
        <w:spacing w:after="0" w:line="200" w:lineRule="exact"/>
        <w:rPr>
          <w:sz w:val="20"/>
          <w:szCs w:val="20"/>
          <w:color w:val="auto"/>
        </w:rPr>
      </w:pPr>
    </w:p>
    <w:p>
      <w:pPr>
        <w:spacing w:after="0" w:line="247" w:lineRule="exact"/>
        <w:rPr>
          <w:sz w:val="20"/>
          <w:szCs w:val="20"/>
          <w:color w:val="auto"/>
        </w:rPr>
      </w:pPr>
    </w:p>
    <w:p>
      <w:pPr>
        <w:ind w:left="360"/>
        <w:spacing w:after="0"/>
        <w:tabs>
          <w:tab w:leader="none" w:pos="1440" w:val="left"/>
          <w:tab w:leader="none" w:pos="82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8"/>
          <w:szCs w:val="18"/>
          <w:i w:val="1"/>
          <w:iCs w:val="1"/>
          <w:color w:val="auto"/>
        </w:rPr>
        <w:t>Repurchase at the Option of the Holders Upon Change in Control or Termination of Trading.</w:t>
      </w:r>
      <w:r>
        <w:rPr>
          <w:sz w:val="20"/>
          <w:szCs w:val="20"/>
          <w:color w:val="auto"/>
        </w:rPr>
        <w:tab/>
      </w:r>
      <w:r>
        <w:rPr>
          <w:rFonts w:ascii="Arial" w:cs="Arial" w:eastAsia="Arial" w:hAnsi="Arial"/>
          <w:sz w:val="15"/>
          <w:szCs w:val="15"/>
          <w:color w:val="auto"/>
        </w:rPr>
        <w:t>(a) Upon the occurrence of a Change 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Control or a Termination of Trading, each Holder shall have the right, at such Holder's option, subject to the terms and conditions of Article 3 of this Indenture,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 the Company to repurchase for Cash all or any portion of such Holder's Notes in integral multiples of $1,000 principal amount at a price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Repurchase Price</w:t>
      </w:r>
      <w:r>
        <w:rPr>
          <w:rFonts w:ascii="Arial" w:cs="Arial" w:eastAsia="Arial" w:hAnsi="Arial"/>
          <w:sz w:val="16"/>
          <w:szCs w:val="16"/>
          <w:color w:val="auto"/>
        </w:rPr>
        <w:t>") equal to 100% of the principal amount of the Notes to be repurchased, plus accrued and unpaid interest to, but excluding, the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Repurchase Date is after a Regular Record Date and on or prior to the Interest Payment Date to which it relates, the interest accrued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Interest Payment Date will be paid to Holders of the Notes as of the preceding Regular Record Date, and the Repurchase Price shall be equal to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Notes subject to repurchase. Upon a valid exercise of such an option, the Company will be required to repurchase the Notes on a date selected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(the "</w:t>
      </w:r>
      <w:r>
        <w:rPr>
          <w:rFonts w:ascii="Arial" w:cs="Arial" w:eastAsia="Arial" w:hAnsi="Arial"/>
          <w:sz w:val="16"/>
          <w:szCs w:val="16"/>
          <w:b w:val="1"/>
          <w:bCs w:val="1"/>
          <w:color w:val="auto"/>
        </w:rPr>
        <w:t>Repurchase Date</w:t>
      </w:r>
      <w:r>
        <w:rPr>
          <w:rFonts w:ascii="Arial" w:cs="Arial" w:eastAsia="Arial" w:hAnsi="Arial"/>
          <w:sz w:val="16"/>
          <w:szCs w:val="16"/>
          <w:color w:val="auto"/>
        </w:rPr>
        <w:t>"), which shall be no earlier than 20 days or later than 35 days after the date on which the Company mails the notice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contemplated by Section 3.01(b)(i), subject to satisfaction by or on behalf of the Holder of the requirements set forth in Section 3.01(c).</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ind w:left="3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31" w:lineRule="exact"/>
        <w:rPr>
          <w:sz w:val="20"/>
          <w:szCs w:val="20"/>
          <w:color w:val="auto"/>
        </w:rPr>
      </w:pPr>
    </w:p>
    <w:p>
      <w:pPr>
        <w:ind w:left="540" w:right="120" w:firstLine="447"/>
        <w:spacing w:after="0" w:line="318" w:lineRule="auto"/>
        <w:tabs>
          <w:tab w:leader="none" w:pos="1232"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53" w:lineRule="exact"/>
        <w:rPr>
          <w:rFonts w:ascii="Arial" w:cs="Arial" w:eastAsia="Arial" w:hAnsi="Arial"/>
          <w:sz w:val="15"/>
          <w:szCs w:val="15"/>
          <w:color w:val="auto"/>
        </w:rPr>
      </w:pPr>
    </w:p>
    <w:p>
      <w:pPr>
        <w:ind w:left="540" w:right="40" w:firstLine="403"/>
        <w:spacing w:after="0" w:line="294" w:lineRule="auto"/>
        <w:tabs>
          <w:tab w:leader="none" w:pos="12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provided that none of these circumstances will be a Change in Control if persons that beneficially own the Voting Securities of the Company immediately prior to the transaction own, directly or indirectly, a majority of the Voting Securities of the surviving or transferee person immediately after the transaction; or</w:t>
      </w:r>
    </w:p>
    <w:p>
      <w:pPr>
        <w:spacing w:after="0" w:line="169" w:lineRule="exact"/>
        <w:rPr>
          <w:rFonts w:ascii="Arial" w:cs="Arial" w:eastAsia="Arial" w:hAnsi="Arial"/>
          <w:sz w:val="16"/>
          <w:szCs w:val="16"/>
          <w:color w:val="auto"/>
        </w:rPr>
      </w:pPr>
    </w:p>
    <w:p>
      <w:pPr>
        <w:ind w:left="1260" w:hanging="361"/>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defining a Change in Control:</w:t>
      </w:r>
    </w:p>
    <w:p>
      <w:pPr>
        <w:spacing w:after="0" w:line="219" w:lineRule="exact"/>
        <w:rPr>
          <w:sz w:val="20"/>
          <w:szCs w:val="20"/>
          <w:color w:val="auto"/>
        </w:rPr>
      </w:pPr>
    </w:p>
    <w:p>
      <w:pPr>
        <w:ind w:left="1240" w:hanging="341"/>
        <w:spacing w:after="0"/>
        <w:tabs>
          <w:tab w:leader="none" w:pos="1240" w:val="left"/>
        </w:tabs>
        <w:numPr>
          <w:ilvl w:val="1"/>
          <w:numId w:val="74"/>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person</w:t>
      </w:r>
      <w:r>
        <w:rPr>
          <w:rFonts w:ascii="Arial" w:cs="Arial" w:eastAsia="Arial" w:hAnsi="Arial"/>
          <w:sz w:val="15"/>
          <w:szCs w:val="15"/>
          <w:color w:val="auto"/>
        </w:rPr>
        <w:t>" and the term "</w:t>
      </w:r>
      <w:r>
        <w:rPr>
          <w:rFonts w:ascii="Arial" w:cs="Arial" w:eastAsia="Arial" w:hAnsi="Arial"/>
          <w:sz w:val="15"/>
          <w:szCs w:val="15"/>
          <w:b w:val="1"/>
          <w:bCs w:val="1"/>
          <w:color w:val="auto"/>
        </w:rPr>
        <w:t>group</w:t>
      </w:r>
      <w:r>
        <w:rPr>
          <w:rFonts w:ascii="Arial" w:cs="Arial" w:eastAsia="Arial" w:hAnsi="Arial"/>
          <w:sz w:val="15"/>
          <w:szCs w:val="15"/>
          <w:color w:val="auto"/>
        </w:rPr>
        <w:t>" have the meanings given by Section 13(d) and 14(d) of the Exchange Act or any successor provisions;</w:t>
      </w:r>
    </w:p>
    <w:p>
      <w:pPr>
        <w:spacing w:after="0" w:line="259" w:lineRule="exact"/>
        <w:rPr>
          <w:rFonts w:ascii="Arial" w:cs="Arial" w:eastAsia="Arial" w:hAnsi="Arial"/>
          <w:sz w:val="15"/>
          <w:szCs w:val="15"/>
          <w:color w:val="auto"/>
        </w:rPr>
      </w:pPr>
    </w:p>
    <w:p>
      <w:pPr>
        <w:ind w:left="1220" w:hanging="321"/>
        <w:spacing w:after="0"/>
        <w:tabs>
          <w:tab w:leader="none" w:pos="12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group</w:t>
      </w:r>
      <w:r>
        <w:rPr>
          <w:rFonts w:ascii="Arial" w:cs="Arial" w:eastAsia="Arial" w:hAnsi="Arial"/>
          <w:sz w:val="16"/>
          <w:szCs w:val="16"/>
          <w:color w:val="auto"/>
        </w:rPr>
        <w:t>" includes any group acting for the purpose of acquiring, holding or disposing of securities within the meaning of Rule 13d-5(b)</w:t>
      </w:r>
    </w:p>
    <w:p>
      <w:pPr>
        <w:spacing w:after="0" w:line="44" w:lineRule="exact"/>
        <w:rPr>
          <w:rFonts w:ascii="Arial" w:cs="Arial" w:eastAsia="Arial" w:hAnsi="Arial"/>
          <w:sz w:val="16"/>
          <w:szCs w:val="16"/>
          <w:color w:val="auto"/>
        </w:rPr>
      </w:pPr>
    </w:p>
    <w:p>
      <w:pPr>
        <w:ind w:left="800" w:hanging="25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the Exchange Act or any successor provision; and</w:t>
      </w:r>
    </w:p>
    <w:p>
      <w:pPr>
        <w:spacing w:after="0" w:line="212" w:lineRule="exact"/>
        <w:rPr>
          <w:rFonts w:ascii="Arial" w:cs="Arial" w:eastAsia="Arial" w:hAnsi="Arial"/>
          <w:sz w:val="18"/>
          <w:szCs w:val="18"/>
          <w:color w:val="auto"/>
        </w:rPr>
      </w:pPr>
    </w:p>
    <w:p>
      <w:pPr>
        <w:jc w:val="both"/>
        <w:ind w:left="540" w:right="340" w:firstLine="359"/>
        <w:spacing w:after="0" w:line="262" w:lineRule="auto"/>
        <w:tabs>
          <w:tab w:leader="none" w:pos="121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9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 subject to the provisions set forth in Section 10.02.</w:t>
      </w:r>
    </w:p>
    <w:p>
      <w:pPr>
        <w:spacing w:after="0" w:line="170" w:lineRule="exact"/>
        <w:rPr>
          <w:sz w:val="20"/>
          <w:szCs w:val="20"/>
          <w:color w:val="auto"/>
        </w:rPr>
      </w:pPr>
    </w:p>
    <w:p>
      <w:pPr>
        <w:jc w:val="both"/>
        <w:ind w:right="80" w:firstLine="359"/>
        <w:spacing w:after="0" w:line="306" w:lineRule="auto"/>
        <w:tabs>
          <w:tab w:leader="none" w:pos="6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 or before the 15th day after the occurrence of a Change in Control or Termination of Trading, the Company will mail a written notice of Change in Control or Termination of Trading by first-class mail to the Trustee and to each Holder at their addresses shown in the register of the Registrar (and to beneficial owners as required by applicable law). The notice shall include a form of Repurchase Notice to be completed by the Noteholder and shall state:</w:t>
      </w:r>
    </w:p>
    <w:p>
      <w:pPr>
        <w:spacing w:after="0" w:line="160" w:lineRule="exact"/>
        <w:rPr>
          <w:rFonts w:ascii="Arial" w:cs="Arial" w:eastAsia="Arial" w:hAnsi="Arial"/>
          <w:sz w:val="16"/>
          <w:szCs w:val="16"/>
          <w:color w:val="auto"/>
        </w:rPr>
      </w:pPr>
    </w:p>
    <w:p>
      <w:pPr>
        <w:ind w:left="1240" w:hanging="253"/>
        <w:spacing w:after="0"/>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1" w:name="page102"/>
    <w:bookmarkEnd w:id="101"/>
    <w:p>
      <w:pPr>
        <w:ind w:left="1260" w:hanging="361"/>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25" w:lineRule="exact"/>
        <w:rPr>
          <w:sz w:val="20"/>
          <w:szCs w:val="20"/>
          <w:color w:val="auto"/>
        </w:rPr>
      </w:pPr>
    </w:p>
    <w:p>
      <w:pPr>
        <w:ind w:left="1240" w:hanging="297"/>
        <w:spacing w:after="0"/>
        <w:tabs>
          <w:tab w:leader="none" w:pos="1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1240" w:hanging="385"/>
        <w:spacing w:after="0"/>
        <w:tabs>
          <w:tab w:leader="none" w:pos="1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left="540" w:right="660" w:firstLine="272"/>
        <w:spacing w:after="0" w:line="268" w:lineRule="auto"/>
        <w:tabs>
          <w:tab w:leader="none" w:pos="1242"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pursuant to Article 10 hereof only if the Repurchase Notice has been withdrawn in accordance with the terms of this Indenture;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19" w:lineRule="exact"/>
        <w:rPr>
          <w:rFonts w:ascii="Arial" w:cs="Arial" w:eastAsia="Arial" w:hAnsi="Arial"/>
          <w:sz w:val="18"/>
          <w:szCs w:val="18"/>
          <w:color w:val="auto"/>
        </w:rPr>
      </w:pPr>
    </w:p>
    <w:p>
      <w:pPr>
        <w:ind w:right="20" w:firstLine="359"/>
        <w:spacing w:after="0" w:line="339" w:lineRule="auto"/>
        <w:tabs>
          <w:tab w:leader="none" w:pos="66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Holder may exercise its rights specified in Section 3.01 by delivery of a written notice (a "</w:t>
      </w:r>
      <w:r>
        <w:rPr>
          <w:rFonts w:ascii="Arial" w:cs="Arial" w:eastAsia="Arial" w:hAnsi="Arial"/>
          <w:sz w:val="16"/>
          <w:szCs w:val="16"/>
          <w:b w:val="1"/>
          <w:bCs w:val="1"/>
          <w:color w:val="auto"/>
        </w:rPr>
        <w:t>Repurchase Notice</w:t>
      </w:r>
      <w:r>
        <w:rPr>
          <w:rFonts w:ascii="Arial" w:cs="Arial" w:eastAsia="Arial" w:hAnsi="Arial"/>
          <w:sz w:val="16"/>
          <w:szCs w:val="16"/>
          <w:color w:val="auto"/>
        </w:rPr>
        <w:t>") to the Paying Agent at any time prior to the Close of Business on the Business Day immediately preceding the Repurchase Date. The Repurchase Notice shall state:</w:t>
      </w:r>
    </w:p>
    <w:p>
      <w:pPr>
        <w:spacing w:after="0" w:line="134" w:lineRule="exact"/>
        <w:rPr>
          <w:rFonts w:ascii="Arial" w:cs="Arial" w:eastAsia="Arial" w:hAnsi="Arial"/>
          <w:sz w:val="16"/>
          <w:szCs w:val="16"/>
          <w:color w:val="auto"/>
        </w:rPr>
      </w:pPr>
    </w:p>
    <w:p>
      <w:pPr>
        <w:ind w:left="540" w:right="80" w:firstLine="447"/>
        <w:spacing w:after="0" w:line="268" w:lineRule="auto"/>
        <w:tabs>
          <w:tab w:leader="none" w:pos="1232"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 $1,000; and</w:t>
      </w:r>
    </w:p>
    <w:p>
      <w:pPr>
        <w:spacing w:after="0" w:line="248" w:lineRule="exact"/>
        <w:rPr>
          <w:rFonts w:ascii="Arial" w:cs="Arial" w:eastAsia="Arial" w:hAnsi="Arial"/>
          <w:sz w:val="16"/>
          <w:szCs w:val="16"/>
          <w:color w:val="auto"/>
        </w:rPr>
      </w:pPr>
    </w:p>
    <w:p>
      <w:pPr>
        <w:ind w:left="1260" w:hanging="361"/>
        <w:spacing w:after="0"/>
        <w:tabs>
          <w:tab w:leader="none" w:pos="12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that such Notes shall be repurchased by the Company pursuant to the terms and conditions specified in this Article 3.</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The delivery of such Note to the Paying Agent prior to, on or after the Repurchase Date (together with all necessary endorsements and compliance by the Holder with the Applicable Procedures) at the offices of the Paying Agent shall be a condition to the receipt by the Holder of the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Repurchase Price shall be so paid pursuant to this Section 3.01 only if the Note so delivered to the Paying Agent shall conform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to the description thereof set forth in the related Repurchase Notice.</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39"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repurchase by the Company contemplated pursuant to the provisions of this Section 3.01 shall be consummated by the delivery of the consideration to be received by the Holder (together with accrued and unpaid interest to but not including the Repurchase Date) on or prior to the later of the Repurchase Date and the time of delivery of the Note to the Paying Agent in accordance with this Section 3.01.</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Notwithstanding anything herein to the contrary, any Holder delivering to the Paying Agent the Repurchase Notice contemplated by this Section 3.01(c) shall have the right to withdraw such Repurchase Notice at any time prior to the Close of Business on the Business Day immediately preceding the Repurchase Date by delivery of a written notice of withdrawal to the Paying Agent in accordance with Section 3.02.</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Paying Agent shall promptly notify the Company of the receipt by it of any Repurchase Notice or written withdrawal thereof.</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 Notes may be repurchased by the Company at the option of Holders upon a Change in Control or a Termination of Trading if the principal amount of the Notes has been accelerated (other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2" w:name="page103"/>
    <w:bookmarkEnd w:id="102"/>
    <w:p>
      <w:pPr>
        <w:ind w:right="20"/>
        <w:spacing w:after="0" w:line="298" w:lineRule="auto"/>
        <w:rPr>
          <w:sz w:val="20"/>
          <w:szCs w:val="20"/>
          <w:color w:val="auto"/>
        </w:rPr>
      </w:pPr>
      <w:r>
        <w:rPr>
          <w:rFonts w:ascii="Arial" w:cs="Arial" w:eastAsia="Arial" w:hAnsi="Arial"/>
          <w:sz w:val="16"/>
          <w:szCs w:val="16"/>
          <w:color w:val="auto"/>
        </w:rPr>
        <w:t>than as a result of a default in the payment of the Repurchase Price with respect to the Notes), and such acceleration has not been rescinded, on or prior to the date on which such repurchase is to be consummated. The Paying Agent will promptly return to the respective Holders thereof any Notes (x) with respect to which a Repurchase Notice has been withdrawn in compliance with this Indenture, or (y) held by it during the continuance of acceleration described in the immediately preceding sentence in which case, upon such return, the Repurchase Notice with respect thereto shall be deemed to have been withdrawn.</w:t>
      </w:r>
    </w:p>
    <w:p>
      <w:pPr>
        <w:spacing w:after="0" w:line="383"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Effect of Repurchase Notice.</w:t>
      </w:r>
      <w:r>
        <w:rPr>
          <w:rFonts w:ascii="Arial" w:cs="Arial" w:eastAsia="Arial" w:hAnsi="Arial"/>
          <w:sz w:val="16"/>
          <w:szCs w:val="16"/>
          <w:color w:val="auto"/>
        </w:rPr>
        <w:t xml:space="preserve"> (a) Upon receipt by the Paying Agent of the Repurchase Notice specified in Section 3.01(c), the Holder of the Note in respect of which such Repurchase Notice was given shall (unless such Repurchase Notice is withdrawn as specified in this Section 3.02) thereafter be entitled to receive solely the Repurchase Price and any accrued and unpaid interest to but not including the Repurchase Date, with respect to such Note. Such Repurchase Price shall be paid to such Holder, subject to receipt of funds by the Paying Agent, on or prior to the later of (x) the Repurchase Date, with respect to such Note (provided the conditions in Section 3.01(c) have been satisfied) and (y) the time of delivery of such Note to the Paying Agent by the Holder thereof in the manner required by Section 3.01(c).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3.02.</w:t>
      </w:r>
    </w:p>
    <w:p>
      <w:pPr>
        <w:spacing w:after="0" w:line="172" w:lineRule="exact"/>
        <w:rPr>
          <w:sz w:val="20"/>
          <w:szCs w:val="20"/>
          <w:color w:val="auto"/>
        </w:rPr>
      </w:pPr>
    </w:p>
    <w:p>
      <w:pPr>
        <w:ind w:right="140" w:firstLine="359"/>
        <w:spacing w:after="0" w:line="268" w:lineRule="auto"/>
        <w:tabs>
          <w:tab w:leader="none" w:pos="6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Repurchase Notice may be withdrawn by means of a written notice of withdrawal delivered to the office of the Paying Agent at any time prior to the Close of Business on the Business Day immediately preceding the Repurchase Date. Such notice of withdrawal shall state:</w:t>
      </w:r>
    </w:p>
    <w:p>
      <w:pPr>
        <w:spacing w:after="0" w:line="185" w:lineRule="exact"/>
        <w:rPr>
          <w:rFonts w:ascii="Arial" w:cs="Arial" w:eastAsia="Arial" w:hAnsi="Arial"/>
          <w:sz w:val="18"/>
          <w:szCs w:val="18"/>
          <w:color w:val="auto"/>
        </w:rPr>
      </w:pPr>
    </w:p>
    <w:p>
      <w:pPr>
        <w:ind w:left="1240" w:hanging="253"/>
        <w:spacing w:after="0"/>
        <w:tabs>
          <w:tab w:leader="none" w:pos="12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left="540" w:firstLine="403"/>
        <w:spacing w:after="0" w:line="268" w:lineRule="auto"/>
        <w:tabs>
          <w:tab w:leader="none" w:pos="1237"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00" w:lineRule="exact"/>
        <w:rPr>
          <w:sz w:val="20"/>
          <w:szCs w:val="20"/>
          <w:color w:val="auto"/>
        </w:rPr>
      </w:pPr>
    </w:p>
    <w:p>
      <w:pPr>
        <w:spacing w:after="0" w:line="24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Deposit of Repurchase Price.</w:t>
      </w:r>
      <w:r>
        <w:rPr>
          <w:rFonts w:ascii="Arial" w:cs="Arial" w:eastAsia="Arial" w:hAnsi="Arial"/>
          <w:sz w:val="16"/>
          <w:szCs w:val="16"/>
          <w:color w:val="auto"/>
        </w:rPr>
        <w:t xml:space="preserve"> Prior to 12:00 p.m. (New York City time) on or prior to the Repurchase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the Paying Agent holds money sufficient to pay the Repurchase Price with respect to the Notes to be repurchased on the Repurchase Date in accordance with the terms of this Indenture, then, immediately on and after the Repurchase Date,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Notes Repurchased in Part.</w:t>
      </w:r>
      <w:r>
        <w:rPr>
          <w:rFonts w:ascii="Arial" w:cs="Arial" w:eastAsia="Arial" w:hAnsi="Arial"/>
          <w:sz w:val="16"/>
          <w:szCs w:val="16"/>
          <w:color w:val="auto"/>
        </w:rPr>
        <w:t xml:space="preserve"> Any Note which is to be repurchased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repurchased.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3" w:name="page104"/>
    <w:bookmarkEnd w:id="103"/>
    <w:p>
      <w:pPr>
        <w:ind w:right="60" w:firstLine="351"/>
        <w:spacing w:after="0" w:line="268"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Covenant to Comply with Securities Laws upon Repurchase of Notes.</w:t>
      </w:r>
      <w:r>
        <w:rPr>
          <w:rFonts w:ascii="Arial" w:cs="Arial" w:eastAsia="Arial" w:hAnsi="Arial"/>
          <w:sz w:val="18"/>
          <w:szCs w:val="18"/>
          <w:color w:val="auto"/>
        </w:rPr>
        <w:t xml:space="preserve"> In connection with any repurchase upon the occurrence of a Change in Control, to the extent required by applicable law, the Company shall:</w:t>
      </w:r>
    </w:p>
    <w:p>
      <w:pPr>
        <w:spacing w:after="0" w:line="186" w:lineRule="exact"/>
        <w:rPr>
          <w:sz w:val="20"/>
          <w:szCs w:val="20"/>
          <w:color w:val="auto"/>
        </w:rPr>
      </w:pPr>
    </w:p>
    <w:p>
      <w:pPr>
        <w:ind w:left="1220" w:hanging="321"/>
        <w:spacing w:after="0"/>
        <w:tabs>
          <w:tab w:leader="none" w:pos="1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 applicable;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otherwise comply with all federal and state securities laws as necessary to effect a repurchase of Notes by the Company at the option of Holder.</w:t>
      </w:r>
    </w:p>
    <w:p>
      <w:pPr>
        <w:spacing w:after="0" w:line="200" w:lineRule="exact"/>
        <w:rPr>
          <w:sz w:val="20"/>
          <w:szCs w:val="20"/>
          <w:color w:val="auto"/>
        </w:rPr>
      </w:pPr>
    </w:p>
    <w:p>
      <w:pPr>
        <w:spacing w:after="0" w:line="27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Notes.</w:t>
      </w:r>
      <w:r>
        <w:rPr>
          <w:rFonts w:ascii="Arial" w:cs="Arial" w:eastAsia="Arial" w:hAnsi="Arial"/>
          <w:sz w:val="16"/>
          <w:szCs w:val="16"/>
          <w:color w:val="auto"/>
        </w:rPr>
        <w:t xml:space="preserve"> (a) The Company agrees to pay the principal of and interest on the Notes on the dates and in the manner provided in the Notes and this Indenture. Not later than 12:00 p.m. New York City time, on the due date of any principal of or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or any Affiliate of the 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74" w:lineRule="exact"/>
        <w:rPr>
          <w:sz w:val="20"/>
          <w:szCs w:val="20"/>
          <w:color w:val="auto"/>
        </w:rPr>
      </w:pPr>
    </w:p>
    <w:p>
      <w:pPr>
        <w:ind w:right="120" w:firstLine="359"/>
        <w:spacing w:after="0" w:line="306" w:lineRule="auto"/>
        <w:tabs>
          <w:tab w:leader="none" w:pos="6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installment of principal or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will be considered paid on the due date only if paid to the Holders.</w:t>
      </w:r>
    </w:p>
    <w:p>
      <w:pPr>
        <w:spacing w:after="0" w:line="160" w:lineRule="exact"/>
        <w:rPr>
          <w:rFonts w:ascii="Arial" w:cs="Arial" w:eastAsia="Arial" w:hAnsi="Arial"/>
          <w:sz w:val="16"/>
          <w:szCs w:val="16"/>
          <w:color w:val="auto"/>
        </w:rPr>
      </w:pPr>
    </w:p>
    <w:p>
      <w:pPr>
        <w:ind w:right="200" w:firstLine="359"/>
        <w:spacing w:after="0" w:line="268" w:lineRule="auto"/>
        <w:tabs>
          <w:tab w:leader="none" w:pos="6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85" w:lineRule="exact"/>
        <w:rPr>
          <w:rFonts w:ascii="Arial" w:cs="Arial" w:eastAsia="Arial" w:hAnsi="Arial"/>
          <w:sz w:val="18"/>
          <w:szCs w:val="18"/>
          <w:color w:val="auto"/>
        </w:rPr>
      </w:pPr>
    </w:p>
    <w:p>
      <w:pPr>
        <w:ind w:right="60" w:firstLine="359"/>
        <w:spacing w:after="0" w:line="294" w:lineRule="auto"/>
        <w:tabs>
          <w:tab w:leader="none" w:pos="6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pacing w:after="0" w:line="3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r>
        <w:rPr>
          <w:rFonts w:ascii="Arial" w:cs="Arial" w:eastAsia="Arial" w:hAnsi="Arial"/>
          <w:sz w:val="18"/>
          <w:szCs w:val="18"/>
          <w:color w:val="auto"/>
        </w:rPr>
        <w:t xml:space="preserve"> The Company will maintain in the United States, an office or agency where Notes may be 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9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04" w:name="page105"/>
    <w:bookmarkEnd w:id="104"/>
    <w:p>
      <w:pPr>
        <w:ind w:right="100"/>
        <w:spacing w:after="0" w:line="268" w:lineRule="auto"/>
        <w:rPr>
          <w:sz w:val="20"/>
          <w:szCs w:val="20"/>
          <w:color w:val="auto"/>
        </w:rPr>
      </w:pPr>
      <w:r>
        <w:rPr>
          <w:rFonts w:ascii="Arial" w:cs="Arial" w:eastAsia="Arial" w:hAnsi="Arial"/>
          <w:sz w:val="18"/>
          <w:szCs w:val="18"/>
          <w:color w:val="auto"/>
        </w:rPr>
        <w:t>rescind such designations. The Company will give prompt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0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The Company will do or cause to be done all things necessary to preserve and keep in full force and effect its existence 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Section does not prohibit any transaction otherwise permitted by Section 5.01.</w:t>
      </w:r>
    </w:p>
    <w:p>
      <w:pPr>
        <w:spacing w:after="0" w:line="200" w:lineRule="exact"/>
        <w:rPr>
          <w:sz w:val="20"/>
          <w:szCs w:val="20"/>
          <w:color w:val="auto"/>
        </w:rPr>
      </w:pPr>
    </w:p>
    <w:p>
      <w:pPr>
        <w:spacing w:after="0" w:line="213"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Annual Reports.</w:t>
      </w:r>
      <w:r>
        <w:rPr>
          <w:rFonts w:ascii="Arial" w:cs="Arial" w:eastAsia="Arial" w:hAnsi="Arial"/>
          <w:sz w:val="16"/>
          <w:szCs w:val="16"/>
          <w:color w:val="auto"/>
        </w:rPr>
        <w:t xml:space="preserve"> The Company shall deliver to the Trustee, within fifteen days after the Company is required to file the 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provided that any such information, documents or reports filed with the Commission pursuant to its Electronic Data Gathering, Analysis and Retrieval (or EDGAR) system shall be deemed to be filed with the Trustee.</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 w:leader="none" w:pos="29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8"/>
          <w:szCs w:val="18"/>
          <w:i w:val="1"/>
          <w:iCs w:val="1"/>
          <w:color w:val="auto"/>
        </w:rPr>
        <w:t>Reports to Trustee.</w:t>
      </w:r>
      <w:r>
        <w:rPr>
          <w:sz w:val="20"/>
          <w:szCs w:val="20"/>
          <w:color w:val="auto"/>
        </w:rPr>
        <w:tab/>
      </w:r>
      <w:r>
        <w:rPr>
          <w:rFonts w:ascii="Arial" w:cs="Arial" w:eastAsia="Arial" w:hAnsi="Arial"/>
          <w:sz w:val="16"/>
          <w:szCs w:val="16"/>
          <w:color w:val="auto"/>
        </w:rPr>
        <w:t>The Company will deliver to the Trustee:</w:t>
      </w:r>
    </w:p>
    <w:p>
      <w:pPr>
        <w:spacing w:after="0" w:line="225" w:lineRule="exact"/>
        <w:rPr>
          <w:sz w:val="20"/>
          <w:szCs w:val="20"/>
          <w:color w:val="auto"/>
        </w:rPr>
      </w:pPr>
    </w:p>
    <w:p>
      <w:pPr>
        <w:ind w:left="540" w:right="20" w:firstLine="359"/>
        <w:spacing w:after="0" w:line="306" w:lineRule="auto"/>
        <w:tabs>
          <w:tab w:leader="none" w:pos="1218"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within 120 days after the end of each fiscal year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60" w:lineRule="exact"/>
        <w:rPr>
          <w:rFonts w:ascii="Arial" w:cs="Arial" w:eastAsia="Arial" w:hAnsi="Arial"/>
          <w:sz w:val="16"/>
          <w:szCs w:val="16"/>
          <w:color w:val="auto"/>
        </w:rPr>
      </w:pPr>
    </w:p>
    <w:p>
      <w:pPr>
        <w:ind w:left="540" w:right="40" w:firstLine="359"/>
        <w:spacing w:after="0" w:line="332" w:lineRule="auto"/>
        <w:tabs>
          <w:tab w:leader="none" w:pos="1228"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35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xml:space="preserve">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3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Consolidation, Merger, Sale or Lease of Assets by the Company.</w:t>
      </w:r>
      <w:r>
        <w:rPr>
          <w:rFonts w:ascii="Arial" w:cs="Arial" w:eastAsia="Arial" w:hAnsi="Arial"/>
          <w:sz w:val="16"/>
          <w:szCs w:val="16"/>
          <w:color w:val="auto"/>
        </w:rPr>
        <w:t xml:space="preserve"> (a) The Company may consolidate with or merge into any Person or convey, transfer or lease its properties and assets substantially as an entirety to another Person (other than a Subsidiary of the Company) only if:</w:t>
      </w:r>
    </w:p>
    <w:p>
      <w:pPr>
        <w:spacing w:after="0" w:line="139" w:lineRule="exact"/>
        <w:rPr>
          <w:sz w:val="20"/>
          <w:szCs w:val="20"/>
          <w:color w:val="auto"/>
        </w:rPr>
      </w:pPr>
    </w:p>
    <w:p>
      <w:pPr>
        <w:ind w:left="540" w:right="300" w:firstLine="447"/>
        <w:spacing w:after="0" w:line="268" w:lineRule="auto"/>
        <w:tabs>
          <w:tab w:leader="none" w:pos="12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5" w:name="page106"/>
    <w:bookmarkEnd w:id="105"/>
    <w:p>
      <w:pPr>
        <w:ind w:left="1240" w:hanging="297"/>
        <w:spacing w:after="0"/>
        <w:tabs>
          <w:tab w:leader="none" w:pos="12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corporation (if other than the Company) assumes all of the obligations of the Company under the Notes and this Indenture;</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Default has occurred and is continuing; and</w:t>
      </w:r>
    </w:p>
    <w:p>
      <w:pPr>
        <w:spacing w:after="0" w:line="225" w:lineRule="exact"/>
        <w:rPr>
          <w:rFonts w:ascii="Arial" w:cs="Arial" w:eastAsia="Arial" w:hAnsi="Arial"/>
          <w:sz w:val="18"/>
          <w:szCs w:val="18"/>
          <w:color w:val="auto"/>
        </w:rPr>
      </w:pPr>
    </w:p>
    <w:p>
      <w:pPr>
        <w:ind w:left="540" w:right="860" w:firstLine="359"/>
        <w:spacing w:after="0" w:line="268" w:lineRule="auto"/>
        <w:tabs>
          <w:tab w:leader="none" w:pos="12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85" w:lineRule="exact"/>
        <w:rPr>
          <w:rFonts w:ascii="Arial" w:cs="Arial" w:eastAsia="Arial" w:hAnsi="Arial"/>
          <w:sz w:val="18"/>
          <w:szCs w:val="18"/>
          <w:color w:val="auto"/>
        </w:rPr>
      </w:pPr>
    </w:p>
    <w:p>
      <w:pPr>
        <w:ind w:right="80" w:firstLine="359"/>
        <w:spacing w:after="0" w:line="255" w:lineRule="auto"/>
        <w:tabs>
          <w:tab w:leader="none" w:pos="6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360"/>
        <w:spacing w:after="0"/>
        <w:tabs>
          <w:tab w:leader="none" w:pos="1440" w:val="left"/>
          <w:tab w:leader="none" w:pos="29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8"/>
          <w:szCs w:val="18"/>
          <w:i w:val="1"/>
          <w:iCs w:val="1"/>
          <w:color w:val="auto"/>
        </w:rPr>
        <w:t>Events of Default.</w:t>
      </w:r>
      <w:r>
        <w:rPr>
          <w:sz w:val="20"/>
          <w:szCs w:val="20"/>
          <w:color w:val="auto"/>
        </w:rPr>
        <w:tab/>
      </w:r>
      <w:r>
        <w:rPr>
          <w:rFonts w:ascii="Arial" w:cs="Arial" w:eastAsia="Arial" w:hAnsi="Arial"/>
          <w:sz w:val="16"/>
          <w:szCs w:val="16"/>
          <w:color w:val="auto"/>
        </w:rPr>
        <w:t>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31" w:lineRule="exact"/>
        <w:rPr>
          <w:sz w:val="20"/>
          <w:szCs w:val="20"/>
          <w:color w:val="auto"/>
        </w:rPr>
      </w:pPr>
    </w:p>
    <w:p>
      <w:pPr>
        <w:ind w:left="540" w:right="200" w:firstLine="359"/>
        <w:spacing w:after="0" w:line="268" w:lineRule="auto"/>
        <w:tabs>
          <w:tab w:leader="none" w:pos="12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defaults in payment of any interest due on any Note when the same becomes due and payable, and such default continues for a period of 30 days;</w:t>
      </w:r>
    </w:p>
    <w:p>
      <w:pPr>
        <w:spacing w:after="0" w:line="185" w:lineRule="exact"/>
        <w:rPr>
          <w:rFonts w:ascii="Arial" w:cs="Arial" w:eastAsia="Arial" w:hAnsi="Arial"/>
          <w:sz w:val="18"/>
          <w:szCs w:val="18"/>
          <w:color w:val="auto"/>
        </w:rPr>
      </w:pPr>
    </w:p>
    <w:p>
      <w:pPr>
        <w:ind w:left="540" w:right="160" w:firstLine="359"/>
        <w:spacing w:after="0" w:line="259" w:lineRule="auto"/>
        <w:tabs>
          <w:tab w:leader="none" w:pos="12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a Change in Control as required under Section 3.01(b) of this Indenture or a Make-Whole Change in Control that does not constitute a Change in Control as required under Section 10.13(a) of this Indenture, and such default continues for a period of three Business Days;</w:t>
      </w:r>
    </w:p>
    <w:p>
      <w:pPr>
        <w:spacing w:after="0" w:line="194" w:lineRule="exact"/>
        <w:rPr>
          <w:rFonts w:ascii="Arial" w:cs="Arial" w:eastAsia="Arial" w:hAnsi="Arial"/>
          <w:sz w:val="18"/>
          <w:szCs w:val="18"/>
          <w:color w:val="auto"/>
        </w:rPr>
      </w:pPr>
    </w:p>
    <w:p>
      <w:pPr>
        <w:ind w:left="540" w:right="380" w:firstLine="359"/>
        <w:spacing w:after="0" w:line="268" w:lineRule="auto"/>
        <w:tabs>
          <w:tab w:leader="none" w:pos="12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fails to issue any notice of a distribution as required under Section 10.01(e) of this Indenture, and such default continues for a period of three Business Days;</w:t>
      </w:r>
    </w:p>
    <w:p>
      <w:pPr>
        <w:spacing w:after="0" w:line="185" w:lineRule="exact"/>
        <w:rPr>
          <w:rFonts w:ascii="Arial" w:cs="Arial" w:eastAsia="Arial" w:hAnsi="Arial"/>
          <w:sz w:val="18"/>
          <w:szCs w:val="18"/>
          <w:color w:val="auto"/>
        </w:rPr>
      </w:pPr>
    </w:p>
    <w:p>
      <w:pPr>
        <w:ind w:left="540" w:right="180" w:firstLine="359"/>
        <w:spacing w:after="0" w:line="268" w:lineRule="auto"/>
        <w:tabs>
          <w:tab w:leader="none" w:pos="12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Common Stock, Cash or a combination of Cash and Common Stock, as applicable, upon exercise of a Holder's right to convert its Notes pursuant to Article 10;</w:t>
      </w:r>
    </w:p>
    <w:p>
      <w:pPr>
        <w:spacing w:after="0" w:line="185" w:lineRule="exact"/>
        <w:rPr>
          <w:rFonts w:ascii="Arial" w:cs="Arial" w:eastAsia="Arial" w:hAnsi="Arial"/>
          <w:sz w:val="18"/>
          <w:szCs w:val="18"/>
          <w:color w:val="auto"/>
        </w:rPr>
      </w:pPr>
    </w:p>
    <w:p>
      <w:pPr>
        <w:ind w:left="540" w:firstLine="359"/>
        <w:spacing w:after="0" w:line="259" w:lineRule="auto"/>
        <w:tabs>
          <w:tab w:leader="none" w:pos="124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94" w:lineRule="exact"/>
        <w:rPr>
          <w:rFonts w:ascii="Arial" w:cs="Arial" w:eastAsia="Arial" w:hAnsi="Arial"/>
          <w:sz w:val="18"/>
          <w:szCs w:val="18"/>
          <w:color w:val="auto"/>
        </w:rPr>
      </w:pPr>
    </w:p>
    <w:p>
      <w:pPr>
        <w:ind w:left="540" w:right="120" w:firstLine="359"/>
        <w:spacing w:after="0" w:line="291" w:lineRule="auto"/>
        <w:tabs>
          <w:tab w:leader="none" w:pos="1228"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 (2) above shall cease or be cured, waived, rescinded or annulled, then the resulting Event of Default shall be deemed not to have occurred;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ind w:left="540" w:firstLine="359"/>
        <w:spacing w:after="0" w:line="294" w:lineRule="auto"/>
        <w:tabs>
          <w:tab w:leader="none" w:pos="12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pursuant to or under or within the meaning of any Bankruptcy Law, (i) commences a voluntary case or proceeding; (ii) 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69" w:lineRule="exact"/>
        <w:rPr>
          <w:rFonts w:ascii="Arial" w:cs="Arial" w:eastAsia="Arial" w:hAnsi="Arial"/>
          <w:sz w:val="16"/>
          <w:szCs w:val="16"/>
          <w:color w:val="auto"/>
        </w:rPr>
      </w:pPr>
    </w:p>
    <w:p>
      <w:pPr>
        <w:jc w:val="both"/>
        <w:ind w:left="540" w:right="40" w:firstLine="359"/>
        <w:spacing w:after="0" w:line="298" w:lineRule="auto"/>
        <w:tabs>
          <w:tab w:leader="none" w:pos="12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(h) or (i) a "</w:t>
      </w:r>
      <w:r>
        <w:rPr>
          <w:rFonts w:ascii="Arial" w:cs="Arial" w:eastAsia="Arial" w:hAnsi="Arial"/>
          <w:sz w:val="16"/>
          <w:szCs w:val="16"/>
          <w:b w:val="1"/>
          <w:bCs w:val="1"/>
          <w:color w:val="auto"/>
        </w:rPr>
        <w:t>Bankruptcy Default</w:t>
      </w:r>
      <w:r>
        <w:rPr>
          <w:rFonts w:ascii="Arial" w:cs="Arial" w:eastAsia="Arial" w:hAnsi="Arial"/>
          <w:sz w:val="16"/>
          <w:szCs w:val="16"/>
          <w:color w:val="auto"/>
        </w:rPr>
        <w:t>").</w:t>
      </w:r>
    </w:p>
    <w:p>
      <w:pPr>
        <w:spacing w:after="0" w:line="383"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r>
        <w:rPr>
          <w:rFonts w:ascii="Arial" w:cs="Arial" w:eastAsia="Arial" w:hAnsi="Arial"/>
          <w:sz w:val="18"/>
          <w:szCs w:val="18"/>
          <w:color w:val="auto"/>
        </w:rPr>
        <w:t xml:space="preserve"> If an Event of Default, other than a Bankruptcy Default, occurs and is continuing under this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and unpaid interest on the Notes to be immediately due and payable. Upon a declaration of acceleration, such principal and interest will become immediately due and payable. If a Bankruptcy Default occurs, the principal of and accrued interest on the Notes then outstanding will become immediately due and payable automatically without any declaration or other act on the part of the Trustee or any Holder.</w:t>
      </w:r>
    </w:p>
    <w:p>
      <w:pPr>
        <w:spacing w:after="0" w:line="200" w:lineRule="exact"/>
        <w:rPr>
          <w:sz w:val="20"/>
          <w:szCs w:val="20"/>
          <w:color w:val="auto"/>
        </w:rPr>
      </w:pPr>
    </w:p>
    <w:p>
      <w:pPr>
        <w:spacing w:after="0" w:line="21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 xml:space="preserve">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any of the Notes or does not produce any of them in the proceeding.</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Waiver of Past Defaults.</w:t>
      </w:r>
      <w:r>
        <w:rPr>
          <w:rFonts w:ascii="Arial" w:cs="Arial" w:eastAsia="Arial" w:hAnsi="Arial"/>
          <w:sz w:val="16"/>
          <w:szCs w:val="16"/>
          <w:color w:val="auto"/>
        </w:rPr>
        <w:t xml:space="preserve"> Except as otherwise provided in Section 6.07 and Section 9.02(b), Holders of a majority in principal amount of the outstanding Notes by written notice to the Company and to the Trustee may waive any existing or future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with respect to any Note or the Repurchase Price or Redemption Price with respect to any Note, (b) in the payment or delivery of the consideration due upon conversion of the Notes or (c) in respect of any provision that under this Indenture cannot be modified or amended without the consent of the Holder of each outstanding Note affected) if:</w:t>
      </w:r>
    </w:p>
    <w:p>
      <w:pPr>
        <w:spacing w:after="0" w:line="174" w:lineRule="exact"/>
        <w:rPr>
          <w:sz w:val="20"/>
          <w:szCs w:val="20"/>
          <w:color w:val="auto"/>
        </w:rPr>
      </w:pPr>
    </w:p>
    <w:p>
      <w:pPr>
        <w:ind w:left="540" w:right="540" w:firstLine="447"/>
        <w:spacing w:after="0" w:line="268" w:lineRule="auto"/>
        <w:tabs>
          <w:tab w:leader="none" w:pos="12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on the Notes that have become due solely by the declaration of acceleration, have been cured or waived, and</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7" w:name="page108"/>
    <w:bookmarkEnd w:id="107"/>
    <w:p>
      <w:pPr>
        <w:ind w:right="100" w:firstLine="351"/>
        <w:spacing w:after="0" w:line="294"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Control by Majority.</w:t>
      </w:r>
      <w:r>
        <w:rPr>
          <w:rFonts w:ascii="Arial" w:cs="Arial" w:eastAsia="Arial" w:hAnsi="Arial"/>
          <w:sz w:val="16"/>
          <w:szCs w:val="16"/>
          <w:color w:val="auto"/>
        </w:rPr>
        <w:t xml:space="preserve"> The Holders of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w:t>
      </w:r>
    </w:p>
    <w:p>
      <w:pPr>
        <w:spacing w:after="0" w:line="3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r>
        <w:rPr>
          <w:rFonts w:ascii="Arial" w:cs="Arial" w:eastAsia="Arial" w:hAnsi="Arial"/>
          <w:sz w:val="18"/>
          <w:szCs w:val="18"/>
          <w:color w:val="auto"/>
        </w:rPr>
        <w:t xml:space="preserve"> A Holder may not institute any proceeding, judicial or otherwise, with respect to this Indenture or the Notes, or for the appointment of a receiver or trustee, or for any other remedy under this Indenture or the Notes, unless:</w:t>
      </w:r>
    </w:p>
    <w:p>
      <w:pPr>
        <w:spacing w:after="0" w:line="186" w:lineRule="exact"/>
        <w:rPr>
          <w:sz w:val="20"/>
          <w:szCs w:val="20"/>
          <w:color w:val="auto"/>
        </w:rPr>
      </w:pPr>
    </w:p>
    <w:p>
      <w:pPr>
        <w:ind w:left="1240" w:hanging="25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left="540" w:right="100" w:firstLine="403"/>
        <w:spacing w:after="0" w:line="268" w:lineRule="auto"/>
        <w:tabs>
          <w:tab w:leader="none" w:pos="12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85" w:lineRule="exact"/>
        <w:rPr>
          <w:rFonts w:ascii="Arial" w:cs="Arial" w:eastAsia="Arial" w:hAnsi="Arial"/>
          <w:sz w:val="18"/>
          <w:szCs w:val="18"/>
          <w:color w:val="auto"/>
        </w:rPr>
      </w:pPr>
    </w:p>
    <w:p>
      <w:pPr>
        <w:ind w:left="540" w:right="160" w:firstLine="359"/>
        <w:spacing w:after="0" w:line="268" w:lineRule="auto"/>
        <w:tabs>
          <w:tab w:leader="none" w:pos="12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540" w:right="540" w:firstLine="403"/>
        <w:spacing w:after="0" w:line="268" w:lineRule="auto"/>
        <w:tabs>
          <w:tab w:leader="none" w:pos="12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200" w:lineRule="exact"/>
        <w:rPr>
          <w:sz w:val="20"/>
          <w:szCs w:val="20"/>
          <w:color w:val="auto"/>
        </w:rPr>
      </w:pPr>
    </w:p>
    <w:p>
      <w:pPr>
        <w:spacing w:after="0" w:line="20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xml:space="preserve"> Notwithstanding anything to the contrary, the right of a Holder of a Note to receive (w) payment of principal of or interest on its Note on the Maturity Date or the relevant Interest Payment Date, as the case may be, (x) payment of the Repurchase Price on the Repurchase Date, (y) payment of the Redemption Price on the Redemption Date and (z) payment or delivery, as the case may be, of Cash, Common Stock or a combination thereof upon conversion of such Note on the date specified in the third paragraph of Section 10.02(a), or to bring suit for the enforcement of any such payment or delivery, as the case may be, on or after such respective dates, may not be impaired or affected without the consent of that Holder.</w:t>
      </w:r>
    </w:p>
    <w:p>
      <w:pPr>
        <w:spacing w:after="0" w:line="3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Collection Suit by Trustee.</w:t>
      </w:r>
      <w:r>
        <w:rPr>
          <w:rFonts w:ascii="Arial" w:cs="Arial" w:eastAsia="Arial" w:hAnsi="Arial"/>
          <w:sz w:val="16"/>
          <w:szCs w:val="16"/>
          <w:color w:val="auto"/>
        </w:rPr>
        <w:t xml:space="preserve"> If an Event of Default in payment of principal or interest specified in clause (a) or (b) of Section 6.01 occurs and is continuing, the Trustee may recover judgment in its own name and as trustee of an express trust for the whole amount of principal and accrued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3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r>
        <w:rPr>
          <w:rFonts w:ascii="Arial" w:cs="Arial" w:eastAsia="Arial" w:hAnsi="Arial"/>
          <w:sz w:val="18"/>
          <w:szCs w:val="18"/>
          <w:color w:val="auto"/>
        </w:rPr>
        <w:t xml:space="preserve"> The Trustee may file proofs of claim and other papers or documents as may be necessary or 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08" w:name="page109"/>
    <w:bookmarkEnd w:id="108"/>
    <w:p>
      <w:pPr>
        <w:ind w:right="80"/>
        <w:spacing w:after="0" w:line="254" w:lineRule="auto"/>
        <w:rPr>
          <w:sz w:val="20"/>
          <w:szCs w:val="20"/>
          <w:color w:val="auto"/>
        </w:rPr>
      </w:pPr>
      <w:r>
        <w:rPr>
          <w:rFonts w:ascii="Arial" w:cs="Arial" w:eastAsia="Arial" w:hAnsi="Arial"/>
          <w:sz w:val="18"/>
          <w:szCs w:val="18"/>
          <w:color w:val="auto"/>
        </w:rPr>
        <w:t>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200" w:lineRule="exact"/>
        <w:rPr>
          <w:sz w:val="20"/>
          <w:szCs w:val="20"/>
          <w:color w:val="auto"/>
        </w:rPr>
      </w:pPr>
    </w:p>
    <w:p>
      <w:pPr>
        <w:spacing w:after="0" w:line="21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r>
        <w:rPr>
          <w:rFonts w:ascii="Arial" w:cs="Arial" w:eastAsia="Arial" w:hAnsi="Arial"/>
          <w:sz w:val="18"/>
          <w:szCs w:val="18"/>
          <w:color w:val="auto"/>
        </w:rPr>
        <w:t xml:space="preserve"> If the Trustee collects any money or property pursuant to this Article, it shall pay out the money or property in the following order: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Second: to Holders for amounts then due and unpaid for principal of and interest on the Notes, ratably, without preference or priority of any kind, according to the amounts due and payable on the Notes for principal and interest;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Trustee, upon written notice to the Company, may fix a record date and payment date for any payment to Holders pursuant to this Section. At least</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15 days before such record date, the Trustee shall mail to each Noteholder and the Company a notice that states the record date, the payment date and the amount to be paid.</w:t>
      </w:r>
    </w:p>
    <w:p>
      <w:pPr>
        <w:spacing w:after="0" w:line="200" w:lineRule="exact"/>
        <w:rPr>
          <w:sz w:val="20"/>
          <w:szCs w:val="20"/>
          <w:color w:val="auto"/>
        </w:rPr>
      </w:pPr>
    </w:p>
    <w:p>
      <w:pPr>
        <w:spacing w:after="0" w:line="20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Restoration of Rights and Remedies.</w:t>
      </w:r>
      <w:r>
        <w:rPr>
          <w:rFonts w:ascii="Arial" w:cs="Arial" w:eastAsia="Arial" w:hAnsi="Arial"/>
          <w:sz w:val="16"/>
          <w:szCs w:val="16"/>
          <w:color w:val="auto"/>
        </w:rPr>
        <w:t xml:space="preserve"> If the Trustee or any Holder has instituted a proceeding to enforce any right or remedy under 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383"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Undertaking for Costs.</w:t>
      </w:r>
      <w:r>
        <w:rPr>
          <w:rFonts w:ascii="Arial" w:cs="Arial" w:eastAsia="Arial" w:hAnsi="Arial"/>
          <w:sz w:val="16"/>
          <w:szCs w:val="16"/>
          <w:color w:val="auto"/>
        </w:rPr>
        <w:t xml:space="preserve"> In any suit for the enforcement of any right or remedy under this Indenture or in any suit against the 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w:t>
      </w:r>
    </w:p>
    <w:p>
      <w:pPr>
        <w:spacing w:after="0" w:line="3" w:lineRule="exact"/>
        <w:rPr>
          <w:sz w:val="20"/>
          <w:szCs w:val="20"/>
          <w:color w:val="auto"/>
        </w:rPr>
      </w:pPr>
    </w:p>
    <w:p>
      <w:pPr>
        <w:ind w:right="180" w:firstLine="8"/>
        <w:spacing w:after="0" w:line="255" w:lineRule="auto"/>
        <w:tabs>
          <w:tab w:leader="none" w:pos="2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principal of or interest on any Note on the respective due dates, (b) the Change of Control Purchase Price on the Change of Control Repurchase Date, (c) the Redemption Price on the Redemption Date, (d) the Cash, Common Stock, or a combination thereof due upon conversion of a Note or (e) a suit by Holders of more than 10% in principal amount of the outstanding Notes.</w:t>
      </w:r>
    </w:p>
    <w:p>
      <w:pPr>
        <w:spacing w:after="0" w:line="200" w:lineRule="exact"/>
        <w:rPr>
          <w:sz w:val="20"/>
          <w:szCs w:val="20"/>
          <w:color w:val="auto"/>
        </w:rPr>
      </w:pPr>
    </w:p>
    <w:p>
      <w:pPr>
        <w:spacing w:after="0" w:line="21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Rights and Remedies Cumulative.</w:t>
      </w:r>
      <w:r>
        <w:rPr>
          <w:rFonts w:ascii="Arial" w:cs="Arial" w:eastAsia="Arial" w:hAnsi="Arial"/>
          <w:sz w:val="18"/>
          <w:szCs w:val="18"/>
          <w:color w:val="auto"/>
        </w:rPr>
        <w:t xml:space="preserve"> No right or remedy conferred or reserved to the Trustee or to the Holders under this Indenture is intended to be exclusive of any other right or remedy, and all such rights and remedies are, to the extent permitted by law, cumulative and in addition to every other right and remedy hereunder or now or hereafter existing at law or in equity or otherwise.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The assertion or exercise of any right or remedy hereunder, or otherwise, will not prevent the concurrent assertion or exercise of any other right or remedy.</w:t>
      </w:r>
    </w:p>
    <w:p>
      <w:pPr>
        <w:spacing w:after="0" w:line="200" w:lineRule="exact"/>
        <w:rPr>
          <w:sz w:val="20"/>
          <w:szCs w:val="20"/>
          <w:color w:val="auto"/>
        </w:rPr>
      </w:pPr>
    </w:p>
    <w:p>
      <w:pPr>
        <w:spacing w:after="0" w:line="26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xml:space="preserve"> No delay or omission of the Trustee or of any Holder to exercise any right or remedy accruing 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00" w:lineRule="exact"/>
        <w:rPr>
          <w:sz w:val="20"/>
          <w:szCs w:val="20"/>
          <w:color w:val="auto"/>
        </w:rPr>
      </w:pPr>
    </w:p>
    <w:p>
      <w:pPr>
        <w:spacing w:after="0" w:line="213"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Failure to File.</w:t>
      </w:r>
      <w:r>
        <w:rPr>
          <w:rFonts w:ascii="Arial" w:cs="Arial" w:eastAsia="Arial" w:hAnsi="Arial"/>
          <w:sz w:val="16"/>
          <w:szCs w:val="16"/>
          <w:color w:val="auto"/>
        </w:rPr>
        <w:t xml:space="preserve"> The Company may, at its option, elect that the sole remedy for an Event of Default relating to its failure to comply with its obligations described under Section 4.04 or its failure to comply with the requirements of Section 314(a)(1) of the Trust Indenture Act will for the first 180 days after the occurrence of such an Event of Default consist exclusively of the right to receive an extension fee on the notes in an amount equal to 0.5% of the principal amount of the Notes (the "</w:t>
      </w:r>
      <w:r>
        <w:rPr>
          <w:rFonts w:ascii="Arial" w:cs="Arial" w:eastAsia="Arial" w:hAnsi="Arial"/>
          <w:sz w:val="16"/>
          <w:szCs w:val="16"/>
          <w:b w:val="1"/>
          <w:bCs w:val="1"/>
          <w:color w:val="auto"/>
        </w:rPr>
        <w:t>Extension Fee</w:t>
      </w:r>
      <w:r>
        <w:rPr>
          <w:rFonts w:ascii="Arial" w:cs="Arial" w:eastAsia="Arial" w:hAnsi="Arial"/>
          <w:sz w:val="16"/>
          <w:szCs w:val="16"/>
          <w:color w:val="auto"/>
        </w:rPr>
        <w:t>"). The Company shall pay the Extension Fee on all outstanding Notes on the date on which such Event of Default first occurs. On the 181st day after such Event of Default (if the Event of Default relating to the reporting obligations is not cured or waived prior to such 181st day), the Notes shall be subject to acceleration as provided in Section 6.02. This Section 6.15 shall not affect the rights of Holders of Notes if any other Event of Default occurs under the Indenture. If the Company does not pay the Extension Fee on a timely basis in accordance with this Section 6.15, the Notes shall be subject to acceleration as provided in Section 6.02.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 The duties and responsibilities of the Trustee are as provided by the Trust Indenture Act and as set forth herein. Whether or not expressly so provided, every provision of this Indenture relating to the conduct or affecting the liability of or affording protection to the Trustee is subject to this Article.</w:t>
      </w:r>
    </w:p>
    <w:p>
      <w:pPr>
        <w:spacing w:after="0" w:line="194" w:lineRule="exact"/>
        <w:rPr>
          <w:sz w:val="20"/>
          <w:szCs w:val="20"/>
          <w:color w:val="auto"/>
        </w:rPr>
      </w:pPr>
    </w:p>
    <w:p>
      <w:pPr>
        <w:ind w:right="20" w:firstLine="359"/>
        <w:spacing w:after="0" w:line="256" w:lineRule="auto"/>
        <w:tabs>
          <w:tab w:leader="none" w:pos="6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97" w:lineRule="exact"/>
        <w:rPr>
          <w:rFonts w:ascii="Arial" w:cs="Arial" w:eastAsia="Arial" w:hAnsi="Arial"/>
          <w:sz w:val="18"/>
          <w:szCs w:val="18"/>
          <w:color w:val="auto"/>
        </w:rPr>
      </w:pPr>
    </w:p>
    <w:p>
      <w:pPr>
        <w:ind w:right="200" w:firstLine="359"/>
        <w:spacing w:after="0" w:line="268" w:lineRule="auto"/>
        <w:tabs>
          <w:tab w:leader="none" w:pos="6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200" w:lineRule="exact"/>
        <w:rPr>
          <w:sz w:val="20"/>
          <w:szCs w:val="20"/>
          <w:color w:val="auto"/>
        </w:rPr>
      </w:pPr>
    </w:p>
    <w:p>
      <w:pPr>
        <w:spacing w:after="0" w:line="202" w:lineRule="exact"/>
        <w:rPr>
          <w:sz w:val="20"/>
          <w:szCs w:val="20"/>
          <w:color w:val="auto"/>
        </w:rPr>
      </w:pPr>
    </w:p>
    <w:p>
      <w:pPr>
        <w:ind w:left="360"/>
        <w:spacing w:after="0"/>
        <w:tabs>
          <w:tab w:leader="none" w:pos="1440" w:val="left"/>
          <w:tab w:leader="none" w:pos="34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8"/>
          <w:szCs w:val="18"/>
          <w:i w:val="1"/>
          <w:iCs w:val="1"/>
          <w:color w:val="auto"/>
        </w:rPr>
        <w:t>Certain Rights of Trustee.</w:t>
      </w:r>
      <w:r>
        <w:rPr>
          <w:sz w:val="20"/>
          <w:szCs w:val="20"/>
          <w:color w:val="auto"/>
        </w:rPr>
        <w:tab/>
      </w:r>
      <w:r>
        <w:rPr>
          <w:rFonts w:ascii="Arial" w:cs="Arial" w:eastAsia="Arial" w:hAnsi="Arial"/>
          <w:sz w:val="16"/>
          <w:szCs w:val="16"/>
          <w:color w:val="auto"/>
        </w:rPr>
        <w:t>Subject to Trust Indenture Act Sections 315(a) through (d):</w:t>
      </w:r>
    </w:p>
    <w:p>
      <w:pPr>
        <w:spacing w:after="0" w:line="225" w:lineRule="exact"/>
        <w:rPr>
          <w:sz w:val="20"/>
          <w:szCs w:val="20"/>
          <w:color w:val="auto"/>
        </w:rPr>
      </w:pPr>
    </w:p>
    <w:p>
      <w:pPr>
        <w:ind w:left="540" w:right="80" w:firstLine="359"/>
        <w:spacing w:after="0" w:line="290" w:lineRule="auto"/>
        <w:tabs>
          <w:tab w:leader="none" w:pos="121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ind w:left="540" w:firstLine="359"/>
        <w:spacing w:after="0" w:line="332" w:lineRule="auto"/>
        <w:tabs>
          <w:tab w:leader="none" w:pos="1228"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conforming to Section 13.06 and the Trustee will not be liable for any action it takes or omits to take in good faith in reliance on the certificate or opinion.</w:t>
      </w:r>
    </w:p>
    <w:p>
      <w:pPr>
        <w:spacing w:after="0" w:line="139" w:lineRule="exact"/>
        <w:rPr>
          <w:rFonts w:ascii="Arial" w:cs="Arial" w:eastAsia="Arial" w:hAnsi="Arial"/>
          <w:sz w:val="16"/>
          <w:szCs w:val="16"/>
          <w:color w:val="auto"/>
        </w:rPr>
      </w:pPr>
    </w:p>
    <w:p>
      <w:pPr>
        <w:ind w:left="1220" w:hanging="321"/>
        <w:spacing w:after="0"/>
        <w:tabs>
          <w:tab w:leader="none" w:pos="1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 appointed with</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due care.</w:t>
      </w:r>
    </w:p>
    <w:p>
      <w:pPr>
        <w:spacing w:after="0" w:line="218" w:lineRule="exact"/>
        <w:rPr>
          <w:rFonts w:ascii="Arial" w:cs="Arial" w:eastAsia="Arial" w:hAnsi="Arial"/>
          <w:sz w:val="16"/>
          <w:szCs w:val="16"/>
          <w:color w:val="auto"/>
        </w:rPr>
      </w:pPr>
    </w:p>
    <w:p>
      <w:pPr>
        <w:ind w:left="540" w:right="80" w:firstLine="359"/>
        <w:spacing w:after="0" w:line="259" w:lineRule="auto"/>
        <w:tabs>
          <w:tab w:leader="none" w:pos="12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94" w:lineRule="exact"/>
        <w:rPr>
          <w:rFonts w:ascii="Arial" w:cs="Arial" w:eastAsia="Arial" w:hAnsi="Arial"/>
          <w:sz w:val="18"/>
          <w:szCs w:val="18"/>
          <w:color w:val="auto"/>
        </w:rPr>
      </w:pPr>
    </w:p>
    <w:p>
      <w:pPr>
        <w:ind w:left="540" w:right="60" w:firstLine="359"/>
        <w:spacing w:after="0" w:line="256" w:lineRule="auto"/>
        <w:tabs>
          <w:tab w:leader="none" w:pos="12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97" w:lineRule="exact"/>
        <w:rPr>
          <w:rFonts w:ascii="Arial" w:cs="Arial" w:eastAsia="Arial" w:hAnsi="Arial"/>
          <w:sz w:val="18"/>
          <w:szCs w:val="18"/>
          <w:color w:val="auto"/>
        </w:rPr>
      </w:pPr>
    </w:p>
    <w:p>
      <w:pPr>
        <w:ind w:left="540" w:firstLine="359"/>
        <w:spacing w:after="0" w:line="332" w:lineRule="auto"/>
        <w:tabs>
          <w:tab w:leader="none" w:pos="1239"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39" w:lineRule="exact"/>
        <w:rPr>
          <w:rFonts w:ascii="Arial" w:cs="Arial" w:eastAsia="Arial" w:hAnsi="Arial"/>
          <w:sz w:val="16"/>
          <w:szCs w:val="16"/>
          <w:color w:val="auto"/>
        </w:rPr>
      </w:pPr>
    </w:p>
    <w:p>
      <w:pPr>
        <w:ind w:left="540" w:right="260" w:firstLine="359"/>
        <w:spacing w:after="0" w:line="259" w:lineRule="auto"/>
        <w:tabs>
          <w:tab w:leader="none" w:pos="12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94" w:lineRule="exact"/>
        <w:rPr>
          <w:rFonts w:ascii="Arial" w:cs="Arial" w:eastAsia="Arial" w:hAnsi="Arial"/>
          <w:sz w:val="18"/>
          <w:szCs w:val="18"/>
          <w:color w:val="auto"/>
        </w:rPr>
      </w:pPr>
    </w:p>
    <w:p>
      <w:pPr>
        <w:jc w:val="both"/>
        <w:ind w:left="540" w:right="160" w:firstLine="359"/>
        <w:spacing w:after="0" w:line="298" w:lineRule="auto"/>
        <w:tabs>
          <w:tab w:leader="none" w:pos="1228"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with respect to Section 4.01, the Trustee shall have no duty to inquire as to performance of the Company with respect to the covenants contained in Article 4. In addition, the Trustee shall not be deemed to have knowledge of an Default or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66" w:lineRule="exact"/>
        <w:rPr>
          <w:rFonts w:ascii="Arial" w:cs="Arial" w:eastAsia="Arial" w:hAnsi="Arial"/>
          <w:sz w:val="16"/>
          <w:szCs w:val="16"/>
          <w:color w:val="auto"/>
        </w:rPr>
      </w:pPr>
    </w:p>
    <w:p>
      <w:pPr>
        <w:ind w:left="540" w:right="320" w:firstLine="359"/>
        <w:spacing w:after="0" w:line="370" w:lineRule="auto"/>
        <w:tabs>
          <w:tab w:leader="none" w:pos="1229"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 herein.</w:t>
      </w:r>
    </w:p>
    <w:p>
      <w:pPr>
        <w:spacing w:after="0" w:line="200" w:lineRule="exact"/>
        <w:rPr>
          <w:sz w:val="20"/>
          <w:szCs w:val="20"/>
          <w:color w:val="auto"/>
        </w:rPr>
      </w:pPr>
    </w:p>
    <w:p>
      <w:pPr>
        <w:spacing w:after="0" w:line="26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xml:space="preserve"> The Trustee, in its individual or any other capacity, may become the owner or pledgee of Notes and may otherwise deal with the Company or its Affiliates with the same rights it would have if it were not the Trustee. Any Agent may do the same with like rights. However, the Trustee is subject to Trust Indenture Act Sections 310(b) and 311.</w:t>
      </w:r>
    </w:p>
    <w:p>
      <w:pPr>
        <w:spacing w:after="0" w:line="200" w:lineRule="exact"/>
        <w:rPr>
          <w:sz w:val="20"/>
          <w:szCs w:val="20"/>
          <w:color w:val="auto"/>
        </w:rPr>
      </w:pPr>
    </w:p>
    <w:p>
      <w:pPr>
        <w:spacing w:after="0" w:line="21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xml:space="preserve"> The Trustee (a) makes no representation as to the validity or adequacy of this Indenture or the Notes, (b) is not accountable for the Company's use or application of the proceeds from the Notes and (c) is not responsible for any statement in the Notes other than its certificate of authentication.</w:t>
      </w:r>
    </w:p>
    <w:p>
      <w:pPr>
        <w:spacing w:after="0" w:line="200" w:lineRule="exact"/>
        <w:rPr>
          <w:sz w:val="20"/>
          <w:szCs w:val="20"/>
          <w:color w:val="auto"/>
        </w:rPr>
      </w:pPr>
    </w:p>
    <w:p>
      <w:pPr>
        <w:spacing w:after="0" w:line="21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Notice of Default.</w:t>
      </w:r>
      <w:r>
        <w:rPr>
          <w:rFonts w:ascii="Arial" w:cs="Arial" w:eastAsia="Arial" w:hAnsi="Arial"/>
          <w:sz w:val="16"/>
          <w:szCs w:val="16"/>
          <w:color w:val="auto"/>
        </w:rPr>
        <w:t xml:space="preserve"> If any Default or Event of Default occurs and is continuing and is known to the Trustee, the Trustee will send notice of the Default or Event of Default to each Holder within 90 days after it occurs, unless the Default or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except in the case of a default (w) in the payment of the principal of or interest on any Note (x) in the payment of the Repurchase Price on the Repurchase Date,</w:t>
      </w:r>
    </w:p>
    <w:p>
      <w:pPr>
        <w:spacing w:after="0" w:line="38" w:lineRule="exact"/>
        <w:rPr>
          <w:sz w:val="20"/>
          <w:szCs w:val="20"/>
          <w:color w:val="auto"/>
        </w:rPr>
      </w:pPr>
    </w:p>
    <w:p>
      <w:pPr>
        <w:ind w:right="40" w:firstLine="8"/>
        <w:spacing w:after="0" w:line="295" w:lineRule="auto"/>
        <w:tabs>
          <w:tab w:leader="none" w:pos="2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payment of the Redemption Price on the Redemption Date or (z) in the payment or delivery, as the case may be, of Cash, Common Stock or a combination thereof upon conversion of such Note on the date specified in the third paragraph of Section 10.02(b), the Trustee may withhold the notice if and so long as the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3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Reports by Trustee to Holders.</w:t>
      </w:r>
      <w:r>
        <w:rPr>
          <w:rFonts w:ascii="Arial" w:cs="Arial" w:eastAsia="Arial" w:hAnsi="Arial"/>
          <w:sz w:val="16"/>
          <w:szCs w:val="16"/>
          <w:color w:val="auto"/>
        </w:rPr>
        <w:t xml:space="preserve"> Within 60 days after each June 1, beginning with December 1, 2007, the Trustee will mail to each Holder, as provided in Trust Indenture Act Section 313(c), a brief report dated as of such December 1, if required by Trust Indenture Act Section 313(a), and file such reports with each stock exchange upon which its Notes are listed and with the Commission as required by Trust Indenture Act Section 313(d).</w:t>
      </w:r>
    </w:p>
    <w:p>
      <w:pPr>
        <w:spacing w:after="0" w:line="3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xml:space="preserve"> (a) The Company will pay the Trustee compensation as agreed upon in writing for its services. The 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97" w:lineRule="exact"/>
        <w:rPr>
          <w:sz w:val="20"/>
          <w:szCs w:val="20"/>
          <w:color w:val="auto"/>
        </w:rPr>
      </w:pPr>
    </w:p>
    <w:p>
      <w:pPr>
        <w:ind w:right="20" w:firstLine="359"/>
        <w:spacing w:after="0" w:line="298" w:lineRule="auto"/>
        <w:tabs>
          <w:tab w:leader="none" w:pos="6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66" w:lineRule="exact"/>
        <w:rPr>
          <w:rFonts w:ascii="Arial" w:cs="Arial" w:eastAsia="Arial" w:hAnsi="Arial"/>
          <w:sz w:val="16"/>
          <w:szCs w:val="16"/>
          <w:color w:val="auto"/>
        </w:rPr>
      </w:pPr>
    </w:p>
    <w:p>
      <w:pPr>
        <w:ind w:right="140" w:firstLine="359"/>
        <w:spacing w:after="0" w:line="332" w:lineRule="auto"/>
        <w:tabs>
          <w:tab w:leader="none" w:pos="67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on particular Notes.</w:t>
      </w:r>
    </w:p>
    <w:p>
      <w:pPr>
        <w:spacing w:after="0" w:line="355" w:lineRule="exact"/>
        <w:rPr>
          <w:sz w:val="20"/>
          <w:szCs w:val="20"/>
          <w:color w:val="auto"/>
        </w:rPr>
      </w:pPr>
    </w:p>
    <w:p>
      <w:pPr>
        <w:ind w:left="360"/>
        <w:spacing w:after="0"/>
        <w:tabs>
          <w:tab w:leader="none" w:pos="1440" w:val="left"/>
          <w:tab w:leader="none" w:pos="334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8"/>
          <w:szCs w:val="18"/>
          <w:i w:val="1"/>
          <w:iCs w:val="1"/>
          <w:color w:val="auto"/>
        </w:rPr>
        <w:t>Replacement of Trustee.</w:t>
      </w:r>
      <w:r>
        <w:rPr>
          <w:sz w:val="20"/>
          <w:szCs w:val="20"/>
          <w:color w:val="auto"/>
        </w:rPr>
        <w:tab/>
      </w:r>
      <w:r>
        <w:rPr>
          <w:rFonts w:ascii="Arial" w:cs="Arial" w:eastAsia="Arial" w:hAnsi="Arial"/>
          <w:sz w:val="15"/>
          <w:szCs w:val="15"/>
          <w:color w:val="auto"/>
        </w:rPr>
        <w:t>(a) (i) The Trustee may resign at any time by written notice to the Company.</w:t>
      </w:r>
    </w:p>
    <w:p>
      <w:pPr>
        <w:spacing w:after="0" w:line="225" w:lineRule="exact"/>
        <w:rPr>
          <w:sz w:val="20"/>
          <w:szCs w:val="20"/>
          <w:color w:val="auto"/>
        </w:rPr>
      </w:pPr>
    </w:p>
    <w:p>
      <w:pPr>
        <w:ind w:left="1240" w:hanging="297"/>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Notes may remove the Trustee by written notice to the Trustee.</w:t>
      </w:r>
    </w:p>
    <w:p>
      <w:pPr>
        <w:spacing w:after="0" w:line="225" w:lineRule="exact"/>
        <w:rPr>
          <w:rFonts w:ascii="Arial" w:cs="Arial" w:eastAsia="Arial" w:hAnsi="Arial"/>
          <w:sz w:val="18"/>
          <w:szCs w:val="18"/>
          <w:color w:val="auto"/>
        </w:rPr>
      </w:pPr>
    </w:p>
    <w:p>
      <w:pPr>
        <w:ind w:left="540" w:right="140" w:firstLine="359"/>
        <w:spacing w:after="0" w:line="259" w:lineRule="auto"/>
        <w:tabs>
          <w:tab w:leader="none" w:pos="12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2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ind w:right="540" w:firstLine="341"/>
        <w:spacing w:after="0" w:line="268"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86" w:lineRule="exact"/>
        <w:rPr>
          <w:sz w:val="20"/>
          <w:szCs w:val="20"/>
          <w:color w:val="auto"/>
        </w:rPr>
      </w:pPr>
    </w:p>
    <w:p>
      <w:pPr>
        <w:ind w:right="40" w:firstLine="359"/>
        <w:spacing w:after="0" w:line="255" w:lineRule="auto"/>
        <w:tabs>
          <w:tab w:leader="none" w:pos="6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96" w:lineRule="exact"/>
        <w:rPr>
          <w:rFonts w:ascii="Arial" w:cs="Arial" w:eastAsia="Arial" w:hAnsi="Arial"/>
          <w:sz w:val="18"/>
          <w:szCs w:val="18"/>
          <w:color w:val="auto"/>
        </w:rPr>
      </w:pPr>
    </w:p>
    <w:p>
      <w:pPr>
        <w:ind w:firstLine="359"/>
        <w:spacing w:after="0" w:line="291" w:lineRule="auto"/>
        <w:tabs>
          <w:tab w:leader="none" w:pos="6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 (i) 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74" w:lineRule="exact"/>
        <w:rPr>
          <w:rFonts w:ascii="Arial" w:cs="Arial" w:eastAsia="Arial" w:hAnsi="Arial"/>
          <w:sz w:val="16"/>
          <w:szCs w:val="16"/>
          <w:color w:val="auto"/>
        </w:rPr>
      </w:pPr>
    </w:p>
    <w:p>
      <w:pPr>
        <w:ind w:right="180" w:firstLine="359"/>
        <w:spacing w:after="0" w:line="268" w:lineRule="auto"/>
        <w:tabs>
          <w:tab w:leader="none" w:pos="6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00" w:lineRule="exact"/>
        <w:rPr>
          <w:sz w:val="20"/>
          <w:szCs w:val="20"/>
          <w:color w:val="auto"/>
        </w:rPr>
      </w:pPr>
    </w:p>
    <w:p>
      <w:pPr>
        <w:spacing w:after="0" w:line="241"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Successor Trustee by Merger.</w:t>
      </w:r>
      <w:r>
        <w:rPr>
          <w:rFonts w:ascii="Arial" w:cs="Arial" w:eastAsia="Arial" w:hAnsi="Arial"/>
          <w:sz w:val="16"/>
          <w:szCs w:val="16"/>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37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w:t>
      </w:r>
      <w:r>
        <w:rPr>
          <w:rFonts w:ascii="Arial" w:cs="Arial" w:eastAsia="Arial" w:hAnsi="Arial"/>
          <w:sz w:val="18"/>
          <w:szCs w:val="18"/>
          <w:color w:val="auto"/>
        </w:rPr>
        <w:t xml:space="preserve"> This Indenture must always have a Trustee that satisfies the requirements of Trust Indenture Act Section 310(a) and has a combined capital and surplus of at least $25,000,000 as set forth in its most recent published annual report of condition.</w:t>
      </w:r>
    </w:p>
    <w:p>
      <w:pPr>
        <w:spacing w:after="0" w:line="200" w:lineRule="exact"/>
        <w:rPr>
          <w:sz w:val="20"/>
          <w:szCs w:val="20"/>
          <w:color w:val="auto"/>
        </w:rPr>
      </w:pPr>
    </w:p>
    <w:p>
      <w:pPr>
        <w:spacing w:after="0" w:line="202"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Money Held in Trust.</w:t>
      </w:r>
      <w:r>
        <w:rPr>
          <w:rFonts w:ascii="Arial" w:cs="Arial" w:eastAsia="Arial" w:hAnsi="Arial"/>
          <w:sz w:val="18"/>
          <w:szCs w:val="18"/>
          <w:color w:val="auto"/>
        </w:rPr>
        <w:t xml:space="preserve"> The Trustee will not be liable for interest on any money received by it except as it may agree in writing with the Company. Money held in trust by the Trustee need not be segregated from other funds except to the extent required by law and except for money held in trust under Article 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Discharge</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this Indenture.</w:t>
      </w:r>
      <w:r>
        <w:rPr>
          <w:rFonts w:ascii="Arial" w:cs="Arial" w:eastAsia="Arial" w:hAnsi="Arial"/>
          <w:sz w:val="18"/>
          <w:szCs w:val="18"/>
          <w:color w:val="auto"/>
        </w:rPr>
        <w:t xml:space="preserve"> (a) This Indenture shall cease to be of further effect if either: (i) all outstanding Notes (other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line="306" w:lineRule="auto"/>
        <w:rPr>
          <w:sz w:val="20"/>
          <w:szCs w:val="20"/>
          <w:color w:val="auto"/>
        </w:rPr>
      </w:pPr>
      <w:r>
        <w:rPr>
          <w:rFonts w:ascii="Arial" w:cs="Arial" w:eastAsia="Arial" w:hAnsi="Arial"/>
          <w:sz w:val="16"/>
          <w:szCs w:val="16"/>
          <w:color w:val="auto"/>
        </w:rPr>
        <w:t xml:space="preserve">Trustee, the Paying Agent (if the Paying Agent is not the Company or any of its Affiliates) or the Conversion Agent Cash in respect of such payment or Cash and Common Stock, if any, in respect of any such conversion on the Maturity Date, the Repurchase Date, the Redemption Date or the date such conversion is to be settled,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that, in all cases, the Company shall pay to the Trustee all other sums payable hereunder by the Company.</w:t>
      </w:r>
    </w:p>
    <w:p>
      <w:pPr>
        <w:spacing w:after="0" w:line="161" w:lineRule="exact"/>
        <w:rPr>
          <w:sz w:val="20"/>
          <w:szCs w:val="20"/>
          <w:color w:val="auto"/>
        </w:rPr>
      </w:pPr>
    </w:p>
    <w:p>
      <w:pPr>
        <w:ind w:left="700" w:hanging="341"/>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left="540" w:right="240" w:firstLine="403"/>
        <w:spacing w:after="0" w:line="268" w:lineRule="auto"/>
        <w:tabs>
          <w:tab w:leader="none" w:pos="12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4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94"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Notwithstanding the satisfaction and discharge of this Indenture, the obligations of the Company to the Trustee under Section 7.07 shall survive and, if money shall have been deposited with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36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 xml:space="preserve"> Subject to the provisions of Section 8.03, the Trustee or a Paying Agent shall hold in trust, for the 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on the Notes or delivery of the Cash and Common Stock, if applicable, payable or issuable, as the case may be, upon conversion of the Notes.</w:t>
      </w:r>
    </w:p>
    <w:p>
      <w:pPr>
        <w:spacing w:after="0" w:line="200" w:lineRule="exact"/>
        <w:rPr>
          <w:sz w:val="20"/>
          <w:szCs w:val="20"/>
          <w:color w:val="auto"/>
        </w:rPr>
      </w:pPr>
    </w:p>
    <w:p>
      <w:pPr>
        <w:spacing w:after="0" w:line="213"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Repayment to Company.</w:t>
      </w:r>
      <w:r>
        <w:rPr>
          <w:rFonts w:ascii="Arial" w:cs="Arial" w:eastAsia="Arial" w:hAnsi="Arial"/>
          <w:sz w:val="16"/>
          <w:szCs w:val="16"/>
          <w:color w:val="auto"/>
        </w:rPr>
        <w:t xml:space="preserve"> The Trustee and each Paying Agent shall promptly pay or deliver, as the case may be, to the Company upon request any excess money, Common Stock or other consideration (x) paid or delivered to them pursuant to Section 8.01 and (y) held by them at any time.</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the third paragraph of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4" w:name="page115"/>
    <w:bookmarkEnd w:id="114"/>
    <w:p>
      <w:pPr>
        <w:ind w:right="40"/>
        <w:spacing w:after="0" w:line="268" w:lineRule="auto"/>
        <w:rPr>
          <w:sz w:val="20"/>
          <w:szCs w:val="20"/>
          <w:color w:val="auto"/>
        </w:rPr>
      </w:pPr>
      <w:r>
        <w:rPr>
          <w:rFonts w:ascii="Arial" w:cs="Arial" w:eastAsia="Arial" w:hAnsi="Arial"/>
          <w:sz w:val="18"/>
          <w:szCs w:val="18"/>
          <w:color w:val="auto"/>
        </w:rPr>
        <w:t>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200" w:lineRule="exact"/>
        <w:rPr>
          <w:sz w:val="20"/>
          <w:szCs w:val="20"/>
          <w:color w:val="auto"/>
        </w:rPr>
      </w:pPr>
    </w:p>
    <w:p>
      <w:pPr>
        <w:spacing w:after="0" w:line="20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If the Trustee or any Paying Agent is unable to apply any money, Common Stock or other consideration in 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the principal amount of (including the relevant Repurchase Price or Redemption Price) or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Amendments, Supplements and Waivers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Amendments Without Consent of Holders.</w:t>
      </w:r>
      <w:r>
        <w:rPr>
          <w:rFonts w:ascii="Arial" w:cs="Arial" w:eastAsia="Arial" w:hAnsi="Arial"/>
          <w:sz w:val="18"/>
          <w:szCs w:val="18"/>
          <w:color w:val="auto"/>
        </w:rPr>
        <w:t xml:space="preserve"> The Company and the Trustee may amend or supplement this Indenture or the Notes without notice to or the consent of any Noteholder:</w:t>
      </w:r>
    </w:p>
    <w:p>
      <w:pPr>
        <w:spacing w:after="0" w:line="186" w:lineRule="exact"/>
        <w:rPr>
          <w:sz w:val="20"/>
          <w:szCs w:val="20"/>
          <w:color w:val="auto"/>
        </w:rPr>
      </w:pPr>
    </w:p>
    <w:p>
      <w:pPr>
        <w:ind w:left="540" w:right="760" w:firstLine="359"/>
        <w:spacing w:after="0" w:line="268" w:lineRule="auto"/>
        <w:tabs>
          <w:tab w:leader="none" w:pos="12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"Description of Notes" contained in the Prospectus;</w:t>
      </w:r>
    </w:p>
    <w:p>
      <w:pPr>
        <w:spacing w:after="0" w:line="185" w:lineRule="exact"/>
        <w:rPr>
          <w:rFonts w:ascii="Arial" w:cs="Arial" w:eastAsia="Arial" w:hAnsi="Arial"/>
          <w:sz w:val="18"/>
          <w:szCs w:val="18"/>
          <w:color w:val="auto"/>
        </w:rPr>
      </w:pPr>
    </w:p>
    <w:p>
      <w:pPr>
        <w:ind w:left="540" w:right="620" w:firstLine="359"/>
        <w:spacing w:after="0" w:line="268" w:lineRule="auto"/>
        <w:tabs>
          <w:tab w:leader="none" w:pos="12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evidence a successor to the Company and the assumption by that successor of the obligations of the Company under this Indenture in accordance with Article 5 or Section 10.12 of this Indenture;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540" w:right="580" w:firstLine="359"/>
        <w:spacing w:after="0" w:line="268" w:lineRule="auto"/>
        <w:tabs>
          <w:tab w:leader="none" w:pos="12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the Notes or to surrender any right or power conferred upon the Company;</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00" w:lineRule="exact"/>
        <w:rPr>
          <w:sz w:val="20"/>
          <w:szCs w:val="20"/>
          <w:color w:val="auto"/>
        </w:rPr>
      </w:pPr>
    </w:p>
    <w:p>
      <w:pPr>
        <w:spacing w:after="0" w:line="24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Amendments With Consent of Holders.</w:t>
      </w:r>
      <w:r>
        <w:rPr>
          <w:rFonts w:ascii="Arial" w:cs="Arial" w:eastAsia="Arial" w:hAnsi="Arial"/>
          <w:sz w:val="16"/>
          <w:szCs w:val="16"/>
          <w:color w:val="auto"/>
        </w:rPr>
        <w:t xml:space="preserve"> (a) Except as otherwise provided in Section 6.07 or paragraph (b), the Company and the 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with respect to any Note, (ii) the Repurchase Price with respect to any Note (iii) the Redemption Price with respect to any Note, (iv) in the payment or delivery of the consideration due upon conversion of the Notes or (v) in respect of any provision that under this Indenture cannot be modified or amended without the consent of the Holder of each outstanding Note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5" w:name="page116"/>
    <w:bookmarkEnd w:id="115"/>
    <w:p>
      <w:pPr>
        <w:ind w:left="700" w:hanging="341"/>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Notwithstanding the provisions of paragraph (a), without the consent of each Holder affected, an amendment or waiver may not: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reduce the principal amount of, or interest payment on any Note, or reduce the Repurchase Price or Redemption Price on any Note;</w:t>
      </w:r>
    </w:p>
    <w:p>
      <w:pPr>
        <w:spacing w:after="0" w:line="248" w:lineRule="exact"/>
        <w:rPr>
          <w:rFonts w:ascii="Arial" w:cs="Arial" w:eastAsia="Arial" w:hAnsi="Arial"/>
          <w:sz w:val="16"/>
          <w:szCs w:val="16"/>
          <w:color w:val="auto"/>
        </w:rPr>
      </w:pPr>
    </w:p>
    <w:p>
      <w:pPr>
        <w:ind w:left="1240" w:hanging="297"/>
        <w:spacing w:after="0"/>
        <w:tabs>
          <w:tab w:leader="none" w:pos="12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make any change that adversely affects the right of a Holder to require the Company to repurchase a Note upon the occurrence of a Change in</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18" w:lineRule="exact"/>
        <w:rPr>
          <w:rFonts w:ascii="Arial" w:cs="Arial" w:eastAsia="Arial" w:hAnsi="Arial"/>
          <w:sz w:val="16"/>
          <w:szCs w:val="16"/>
          <w:color w:val="auto"/>
        </w:rPr>
      </w:pPr>
    </w:p>
    <w:p>
      <w:pPr>
        <w:ind w:left="540" w:right="300" w:firstLine="315"/>
        <w:spacing w:after="0" w:line="268" w:lineRule="auto"/>
        <w:tabs>
          <w:tab w:leader="none" w:pos="12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85" w:lineRule="exact"/>
        <w:rPr>
          <w:rFonts w:ascii="Arial" w:cs="Arial" w:eastAsia="Arial" w:hAnsi="Arial"/>
          <w:sz w:val="18"/>
          <w:szCs w:val="18"/>
          <w:color w:val="auto"/>
        </w:rPr>
      </w:pPr>
    </w:p>
    <w:p>
      <w:pPr>
        <w:ind w:left="1260" w:hanging="448"/>
        <w:spacing w:after="0"/>
        <w:tabs>
          <w:tab w:leader="none" w:pos="12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pacing w:after="0" w:line="225" w:lineRule="exact"/>
        <w:rPr>
          <w:rFonts w:ascii="Arial" w:cs="Arial" w:eastAsia="Arial" w:hAnsi="Arial"/>
          <w:sz w:val="18"/>
          <w:szCs w:val="18"/>
          <w:color w:val="auto"/>
        </w:rPr>
      </w:pPr>
    </w:p>
    <w:p>
      <w:pPr>
        <w:ind w:right="240" w:firstLine="359"/>
        <w:spacing w:after="0" w:line="268" w:lineRule="auto"/>
        <w:tabs>
          <w:tab w:leader="none" w:pos="6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is not necessary for Noteholders to approve the particular form of any proposed amendment, supplement or waiver, but is sufficient if their consent approves the substance thereof.</w:t>
      </w:r>
    </w:p>
    <w:p>
      <w:pPr>
        <w:spacing w:after="0" w:line="185" w:lineRule="exact"/>
        <w:rPr>
          <w:rFonts w:ascii="Arial" w:cs="Arial" w:eastAsia="Arial" w:hAnsi="Arial"/>
          <w:sz w:val="18"/>
          <w:szCs w:val="18"/>
          <w:color w:val="auto"/>
        </w:rPr>
      </w:pPr>
    </w:p>
    <w:p>
      <w:pPr>
        <w:ind w:firstLine="359"/>
        <w:spacing w:after="0" w:line="255" w:lineRule="auto"/>
        <w:tabs>
          <w:tab w:leader="none" w:pos="6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amendment, supplement or waiver under this Section will become effective on receipt by the Trustee of written consents from the Holders of the requisite percentage in principal amount of the outstanding Notes.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Effect of Consent.</w:t>
      </w:r>
      <w:r>
        <w:rPr>
          <w:rFonts w:ascii="Arial" w:cs="Arial" w:eastAsia="Arial" w:hAnsi="Arial"/>
          <w:sz w:val="18"/>
          <w:szCs w:val="18"/>
          <w:color w:val="auto"/>
        </w:rPr>
        <w:t xml:space="preserve"> (a) After an amendment, supplement or waiver becomes effective, it will bind every Holder unless it is of the 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97" w:lineRule="exact"/>
        <w:rPr>
          <w:sz w:val="20"/>
          <w:szCs w:val="20"/>
          <w:color w:val="auto"/>
        </w:rPr>
      </w:pPr>
    </w:p>
    <w:p>
      <w:pPr>
        <w:ind w:right="40" w:firstLine="359"/>
        <w:spacing w:after="0" w:line="256" w:lineRule="auto"/>
        <w:tabs>
          <w:tab w:leader="none" w:pos="6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200" w:lineRule="exact"/>
        <w:rPr>
          <w:sz w:val="20"/>
          <w:szCs w:val="20"/>
          <w:color w:val="auto"/>
        </w:rPr>
      </w:pPr>
    </w:p>
    <w:p>
      <w:pPr>
        <w:spacing w:after="0" w:line="213"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Trustee's Rights and Obligations.</w:t>
      </w:r>
      <w:r>
        <w:rPr>
          <w:rFonts w:ascii="Arial" w:cs="Arial" w:eastAsia="Arial" w:hAnsi="Arial"/>
          <w:sz w:val="18"/>
          <w:szCs w:val="18"/>
          <w:color w:val="auto"/>
        </w:rPr>
        <w:t xml:space="preserve"> The Trustee is entitled to receive, and will be fully protected in relying upon, an Opinion of Counsel stating that the execution of any amendment, supplement or waiver authorized pursuant to this Article is authorized or permitted by this Indenture. If the Trustee has received such an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200" w:lineRule="exact"/>
        <w:rPr>
          <w:sz w:val="20"/>
          <w:szCs w:val="20"/>
          <w:color w:val="auto"/>
        </w:rPr>
      </w:pPr>
    </w:p>
    <w:p>
      <w:pPr>
        <w:spacing w:after="0" w:line="213"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xml:space="preserve"> Every supplemental indenture executed pursuant to this Article shall conform to the requirements of the Trust Indenture Act.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ind w:right="40" w:firstLine="351"/>
        <w:spacing w:after="0" w:line="255"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Payments for Consents.</w:t>
      </w:r>
      <w:r>
        <w:rPr>
          <w:rFonts w:ascii="Arial" w:cs="Arial" w:eastAsia="Arial" w:hAnsi="Arial"/>
          <w:sz w:val="18"/>
          <w:szCs w:val="18"/>
          <w:color w:val="auto"/>
        </w:rPr>
        <w:t xml:space="preserve"> The Company shall not, and shall not permit or suffer any of its Subsidiaries or Affiliates to,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Conversion Privilege.</w:t>
      </w:r>
      <w:r>
        <w:rPr>
          <w:rFonts w:ascii="Arial" w:cs="Arial" w:eastAsia="Arial" w:hAnsi="Arial"/>
          <w:sz w:val="16"/>
          <w:szCs w:val="16"/>
          <w:color w:val="auto"/>
        </w:rPr>
        <w:t xml:space="preserve"> (a) Subject to and upon compliance with the provisions of this Article 10, a Noteholder shall have the right, at such Noteholder's option, to convert all or any portion (if the portion to be converted is $1,000 principal amount or an integral multiple thereof) of such Noteholder's Notes (1) at any time prior to the Close of Business on March 1, 2014, upon the occurrence of any of the events set forth in clauses (i) through (vi) of</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10.01(b) and (2) at any time on or after March 1, 2014, until the Close of Business on the Business Day immediately preceding the Maturity Date without regard to the occurrence of any of the events set forth in clauses (i) through (vi) of Section 10.01(b), in each case, at a conversion rate (the "</w:t>
      </w:r>
      <w:r>
        <w:rPr>
          <w:rFonts w:ascii="Arial" w:cs="Arial" w:eastAsia="Arial" w:hAnsi="Arial"/>
          <w:sz w:val="16"/>
          <w:szCs w:val="16"/>
          <w:b w:val="1"/>
          <w:bCs w:val="1"/>
          <w:color w:val="auto"/>
        </w:rPr>
        <w:t>Conversion Rate</w:t>
      </w:r>
      <w:r>
        <w:rPr>
          <w:rFonts w:ascii="Arial" w:cs="Arial" w:eastAsia="Arial" w:hAnsi="Arial"/>
          <w:sz w:val="16"/>
          <w:szCs w:val="16"/>
          <w:color w:val="auto"/>
        </w:rPr>
        <w:t>") equivalent to [ • ] shares of Common Stock per $1,000 principal amount of Notes, subject to adjustment as set forth in this Article 10. Upon conversion of any Notes, the Company shall pay or deliver to the converting Noteholder Cash, shares of Common Stock, or a combination thereof, as described in Section 10.02 (the Company's obligation to pay or deliver such consideration being herein called the "</w:t>
      </w:r>
      <w:r>
        <w:rPr>
          <w:rFonts w:ascii="Arial" w:cs="Arial" w:eastAsia="Arial" w:hAnsi="Arial"/>
          <w:sz w:val="16"/>
          <w:szCs w:val="16"/>
          <w:b w:val="1"/>
          <w:bCs w:val="1"/>
          <w:color w:val="auto"/>
        </w:rPr>
        <w:t>Conversion Obligation</w:t>
      </w:r>
      <w:r>
        <w:rPr>
          <w:rFonts w:ascii="Arial" w:cs="Arial" w:eastAsia="Arial" w:hAnsi="Arial"/>
          <w:sz w:val="16"/>
          <w:szCs w:val="16"/>
          <w:color w:val="auto"/>
        </w:rPr>
        <w:t>").</w:t>
      </w:r>
    </w:p>
    <w:p>
      <w:pPr>
        <w:spacing w:after="0" w:line="171" w:lineRule="exact"/>
        <w:rPr>
          <w:sz w:val="20"/>
          <w:szCs w:val="20"/>
          <w:color w:val="auto"/>
        </w:rPr>
      </w:pPr>
    </w:p>
    <w:p>
      <w:pPr>
        <w:ind w:right="200" w:firstLine="359"/>
        <w:spacing w:after="0" w:line="268" w:lineRule="auto"/>
        <w:tabs>
          <w:tab w:leader="none" w:pos="6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Noteholder may convert its Note into Cash, shares of Common Stock, or a combination thereof, as described in Section 10.02, prior to the Close of Business on March 1, 2014, upon the occurrence of any of the events set forth below:</w:t>
      </w:r>
    </w:p>
    <w:p>
      <w:pPr>
        <w:spacing w:after="0" w:line="185" w:lineRule="exact"/>
        <w:rPr>
          <w:rFonts w:ascii="Arial" w:cs="Arial" w:eastAsia="Arial" w:hAnsi="Arial"/>
          <w:sz w:val="18"/>
          <w:szCs w:val="18"/>
          <w:color w:val="auto"/>
        </w:rPr>
      </w:pPr>
    </w:p>
    <w:p>
      <w:pPr>
        <w:jc w:val="both"/>
        <w:ind w:left="540" w:right="480" w:firstLine="447"/>
        <w:spacing w:after="0" w:line="259" w:lineRule="auto"/>
        <w:tabs>
          <w:tab w:leader="none" w:pos="1232" w:val="left"/>
        </w:tabs>
        <w:numPr>
          <w:ilvl w:val="2"/>
          <w:numId w:val="103"/>
        </w:numPr>
        <w:rPr>
          <w:rFonts w:ascii="Arial" w:cs="Arial" w:eastAsia="Arial" w:hAnsi="Arial"/>
          <w:sz w:val="18"/>
          <w:szCs w:val="18"/>
          <w:color w:val="auto"/>
        </w:rPr>
      </w:pPr>
      <w:r>
        <w:rPr>
          <w:rFonts w:ascii="Arial" w:cs="Arial" w:eastAsia="Arial" w:hAnsi="Arial"/>
          <w:sz w:val="18"/>
          <w:szCs w:val="18"/>
          <w:color w:val="auto"/>
        </w:rPr>
        <w:t>during any calendar quarter commencing at any time after August 30, 2007, and only during such calendar quarter, if the Closing Price of Common Stock for at least 20 Trading Days in the period of 30 consecutive Trading Days ending on the last Trading Day of the preceding calendar quarter exceeds the Conversion Trigger Price as defined in Section 10.01(c);</w:t>
      </w:r>
    </w:p>
    <w:p>
      <w:pPr>
        <w:spacing w:after="0" w:line="194" w:lineRule="exact"/>
        <w:rPr>
          <w:rFonts w:ascii="Arial" w:cs="Arial" w:eastAsia="Arial" w:hAnsi="Arial"/>
          <w:sz w:val="18"/>
          <w:szCs w:val="18"/>
          <w:color w:val="auto"/>
        </w:rPr>
      </w:pPr>
    </w:p>
    <w:p>
      <w:pPr>
        <w:ind w:left="540" w:right="100" w:firstLine="403"/>
        <w:spacing w:after="0" w:line="256" w:lineRule="auto"/>
        <w:tabs>
          <w:tab w:leader="none" w:pos="123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the Trading Price per $1,000 principal amount of Notes for each Trading Day during that five-day period was less than 98% of the product of the Closing Price of Common Stock and the then Applicable Conversion Rate, subject to compliance with the procedures and conditions described in Section 10.01(d) concerning the Trustee's obligation to make a Trading Price determination (the "</w:t>
      </w:r>
      <w:r>
        <w:rPr>
          <w:rFonts w:ascii="Arial" w:cs="Arial" w:eastAsia="Arial" w:hAnsi="Arial"/>
          <w:sz w:val="18"/>
          <w:szCs w:val="18"/>
          <w:b w:val="1"/>
          <w:bCs w:val="1"/>
          <w:color w:val="auto"/>
        </w:rPr>
        <w:t>Trading Price Condition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80" w:firstLine="359"/>
        <w:spacing w:after="0" w:line="283" w:lineRule="auto"/>
        <w:tabs>
          <w:tab w:leader="none" w:pos="1242" w:val="left"/>
        </w:tabs>
        <w:numPr>
          <w:ilvl w:val="2"/>
          <w:numId w:val="103"/>
        </w:numPr>
        <w:rPr>
          <w:rFonts w:ascii="Arial" w:cs="Arial" w:eastAsia="Arial" w:hAnsi="Arial"/>
          <w:sz w:val="16"/>
          <w:szCs w:val="16"/>
          <w:color w:val="auto"/>
        </w:rPr>
      </w:pPr>
      <w:r>
        <w:rPr>
          <w:rFonts w:ascii="Arial" w:cs="Arial" w:eastAsia="Arial" w:hAnsi="Arial"/>
          <w:sz w:val="16"/>
          <w:szCs w:val="16"/>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Noteholders of such distribution as set forth in Section 10.01(e) and ending on, and including, the earlier of (x) the Close of Business on the Business Day prior to the Ex-Date for such distribution and</w:t>
      </w:r>
    </w:p>
    <w:p>
      <w:pPr>
        <w:spacing w:after="0" w:line="2" w:lineRule="exact"/>
        <w:rPr>
          <w:rFonts w:ascii="Arial" w:cs="Arial" w:eastAsia="Arial" w:hAnsi="Arial"/>
          <w:sz w:val="16"/>
          <w:szCs w:val="16"/>
          <w:color w:val="auto"/>
        </w:rPr>
      </w:pPr>
    </w:p>
    <w:p>
      <w:pPr>
        <w:ind w:left="800" w:hanging="252"/>
        <w:spacing w:after="0"/>
        <w:tabs>
          <w:tab w:leader="none" w:pos="8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Company's announcement that such distribution will not take place;</w:t>
      </w:r>
    </w:p>
    <w:p>
      <w:pPr>
        <w:spacing w:after="0" w:line="218" w:lineRule="exact"/>
        <w:rPr>
          <w:rFonts w:ascii="Arial" w:cs="Arial" w:eastAsia="Arial" w:hAnsi="Arial"/>
          <w:sz w:val="18"/>
          <w:szCs w:val="18"/>
          <w:color w:val="auto"/>
        </w:rPr>
      </w:pPr>
    </w:p>
    <w:p>
      <w:pPr>
        <w:ind w:left="540" w:right="140" w:firstLine="359"/>
        <w:spacing w:after="0" w:line="268" w:lineRule="auto"/>
        <w:tabs>
          <w:tab w:leader="none" w:pos="123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if the Company elects to distribute to all holders of Common Stock Cash, debt securities (or other evidence of Debt) or other assets (excluding dividends or distributions described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17" w:name="page118"/>
    <w:bookmarkEnd w:id="117"/>
    <w:p>
      <w:pPr>
        <w:ind w:left="540" w:right="40"/>
        <w:spacing w:after="0" w:line="294" w:lineRule="auto"/>
        <w:rPr>
          <w:sz w:val="20"/>
          <w:szCs w:val="20"/>
          <w:color w:val="auto"/>
        </w:rPr>
      </w:pPr>
      <w:r>
        <w:rPr>
          <w:rFonts w:ascii="Arial" w:cs="Arial" w:eastAsia="Arial" w:hAnsi="Arial"/>
          <w:sz w:val="16"/>
          <w:szCs w:val="16"/>
          <w:color w:val="auto"/>
        </w:rPr>
        <w:t>Section 10.06), which distribution, together with all other such distributions within the preceding twelve months, has a per share value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Noteholders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70" w:lineRule="exact"/>
        <w:rPr>
          <w:sz w:val="20"/>
          <w:szCs w:val="20"/>
          <w:color w:val="auto"/>
        </w:rPr>
      </w:pPr>
    </w:p>
    <w:p>
      <w:pPr>
        <w:ind w:left="540" w:right="40" w:firstLine="403"/>
        <w:spacing w:after="0" w:line="294" w:lineRule="auto"/>
        <w:tabs>
          <w:tab w:leader="none" w:pos="122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 Termination of Trading, a Change in Control or a Make-Whole Change in Control that does not constitute a Change in Control occurs, during the period from, and including, the date that is 35 Business Days prior to the anticipated effective date of the transaction, or, in the case of a Termination of Trading, the earlier of the date the applicable securities exchange announces that a termination of trading will occur or the effective date of the Termination of Trading, to, and including, the date that is 35 Trading Days after the actual effective date of such transaction (or, in the case of a Change in Control or a Termination of Trading, until the related Repurchase Date);</w:t>
      </w:r>
    </w:p>
    <w:p>
      <w:pPr>
        <w:spacing w:after="0" w:line="169" w:lineRule="exact"/>
        <w:rPr>
          <w:rFonts w:ascii="Arial" w:cs="Arial" w:eastAsia="Arial" w:hAnsi="Arial"/>
          <w:sz w:val="16"/>
          <w:szCs w:val="16"/>
          <w:color w:val="auto"/>
        </w:rPr>
      </w:pPr>
    </w:p>
    <w:p>
      <w:pPr>
        <w:ind w:left="540" w:right="200" w:firstLine="359"/>
        <w:spacing w:after="0" w:line="305" w:lineRule="auto"/>
        <w:tabs>
          <w:tab w:leader="none" w:pos="123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if the Company is party to a consolidation, merger, binding share exchange, or transfer or lease of all or substantially all of the Company's assets, pursuant to which Common Stock would be converted into Cash, securities or other assets, during the period from, and including, the date that is</w:t>
      </w:r>
    </w:p>
    <w:p>
      <w:pPr>
        <w:ind w:left="540"/>
        <w:spacing w:after="0" w:line="254" w:lineRule="auto"/>
        <w:rPr>
          <w:rFonts w:ascii="Arial" w:cs="Arial" w:eastAsia="Arial" w:hAnsi="Arial"/>
          <w:sz w:val="15"/>
          <w:szCs w:val="15"/>
          <w:color w:val="auto"/>
        </w:rPr>
      </w:pPr>
      <w:r>
        <w:rPr>
          <w:rFonts w:ascii="Arial" w:cs="Arial" w:eastAsia="Arial" w:hAnsi="Arial"/>
          <w:sz w:val="18"/>
          <w:szCs w:val="18"/>
          <w:color w:val="auto"/>
        </w:rPr>
        <w:t>35 Business Days prior to the anticipated effective date of the transaction, or, in the case of a Termination of Trading, the earlier of the date the applicable securities exchange announces that a termination of trading will occur or the effective date of the Termination of Trading, to, and including, the date that is 35 Trading Days after the actual effective date of such transaction (or, if such transaction also constitutes a Change in Control or in the case of a Termination of Trading, until the related Repurchase Date); or</w:t>
      </w:r>
    </w:p>
    <w:p>
      <w:pPr>
        <w:spacing w:after="0" w:line="197" w:lineRule="exact"/>
        <w:rPr>
          <w:rFonts w:ascii="Arial" w:cs="Arial" w:eastAsia="Arial" w:hAnsi="Arial"/>
          <w:sz w:val="15"/>
          <w:szCs w:val="15"/>
          <w:color w:val="auto"/>
        </w:rPr>
      </w:pPr>
    </w:p>
    <w:p>
      <w:pPr>
        <w:ind w:left="540" w:right="580" w:firstLine="315"/>
        <w:spacing w:after="0" w:line="268" w:lineRule="auto"/>
        <w:tabs>
          <w:tab w:leader="none" w:pos="123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Notes that have been called for redemption, at any time prior to the close of business on the Business Day immediately preceding the Redemption Date, even if the Notes are not otherwise convertible at such time.</w:t>
      </w:r>
    </w:p>
    <w:p>
      <w:pPr>
        <w:spacing w:after="0" w:line="18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 The "</w:t>
      </w:r>
      <w:r>
        <w:rPr>
          <w:rFonts w:ascii="Arial" w:cs="Arial" w:eastAsia="Arial" w:hAnsi="Arial"/>
          <w:sz w:val="18"/>
          <w:szCs w:val="18"/>
          <w:b w:val="1"/>
          <w:bCs w:val="1"/>
          <w:color w:val="auto"/>
        </w:rPr>
        <w:t>Conversion Trigger Price</w:t>
      </w:r>
      <w:r>
        <w:rPr>
          <w:rFonts w:ascii="Arial" w:cs="Arial" w:eastAsia="Arial" w:hAnsi="Arial"/>
          <w:sz w:val="18"/>
          <w:szCs w:val="18"/>
          <w:color w:val="auto"/>
        </w:rPr>
        <w:t>" shall equal 130% of the Conversion Price. The Conversion Trigger Price will initially equal $[ • ] and shall be automatically adjusted whenever the Conversion Price is adjusted as a result of an adjustment in the Conversion Rate pursuant to this Article 10. The Company will determine at the beginning of each calendar quarter commencing at any time after August 30, 2007 (through the calendar quarter ending February 28, 2014), whether the Notes are convertible as a result of the price of Common Stock exceeding the Conversion Trigger Price in accordance with Section 10.01(b)(i) and will notify the Company, the Conversion Agent and the Trustee.</w:t>
      </w:r>
    </w:p>
    <w:p>
      <w:pPr>
        <w:spacing w:after="0" w:line="199" w:lineRule="exact"/>
        <w:rPr>
          <w:sz w:val="20"/>
          <w:szCs w:val="20"/>
          <w:color w:val="auto"/>
        </w:rPr>
      </w:pPr>
    </w:p>
    <w:p>
      <w:pPr>
        <w:ind w:right="40" w:firstLine="359"/>
        <w:spacing w:after="0" w:line="289" w:lineRule="auto"/>
        <w:tabs>
          <w:tab w:leader="none" w:pos="68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Noteholder provides the Company with reasonable evidence that the Trading Price per $1,000 principal amount of the Notes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 the Trading Price per $1,000 principal amount of Notes, or if the Company makes such request to the Trustee, but the Trustee does not make such determination, then the Trading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8" w:name="page119"/>
    <w:bookmarkEnd w:id="118"/>
    <w:p>
      <w:pPr>
        <w:ind w:right="80"/>
        <w:spacing w:after="0" w:line="256" w:lineRule="auto"/>
        <w:rPr>
          <w:sz w:val="20"/>
          <w:szCs w:val="20"/>
          <w:color w:val="auto"/>
        </w:rPr>
      </w:pPr>
      <w:r>
        <w:rPr>
          <w:rFonts w:ascii="Arial" w:cs="Arial" w:eastAsia="Arial" w:hAnsi="Arial"/>
          <w:sz w:val="18"/>
          <w:szCs w:val="18"/>
          <w:color w:val="auto"/>
        </w:rPr>
        <w:t>Price per $1,000 principal amount of Notes will be deemed to be less than 98% of the product of the Closing Price of Common Stock and the then applicable Conversion Rate. If the Trading Price Condition has been met, the Company shall so notify the Noteholders. If, at any point after the Trading Price Condition has been met, the Trading Price per $1,000 principal amount of Notes is greater than 98% of the product of the Closing Price of Common Stock and the then Applicable Conversion Rate, the Company shall so notify Noteholders.</w:t>
      </w:r>
    </w:p>
    <w:p>
      <w:pPr>
        <w:spacing w:after="0" w:line="197" w:lineRule="exact"/>
        <w:rPr>
          <w:sz w:val="20"/>
          <w:szCs w:val="20"/>
          <w:color w:val="auto"/>
        </w:rPr>
      </w:pPr>
    </w:p>
    <w:p>
      <w:pPr>
        <w:jc w:val="both"/>
        <w:ind w:right="100" w:firstLine="359"/>
        <w:spacing w:after="0" w:line="298" w:lineRule="auto"/>
        <w:tabs>
          <w:tab w:leader="none" w:pos="67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Noteholders at least 35 Business Days prior to the Ex-Date for such distribution by (i) issuing a press release and using its reasonable efforts to post such information on its website or otherwise publicly disclose this information or (ii) providing written notice to Noteholders by mailing such notice to Noteholders at their address in the Register (in the case of a Certificated Note), or through the facilities of the Depositary (in the case of a Global Note).</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the announcement of any public announcement of a transaction described in Section 10.01(b)(v) or Section 10.01(b)(vi), the Company shall notify the Noteholders and the Trustee as promptly as practicable, but at least 35 Business Days prior to the anticipated effective date of such transaction in the case of a Change in Control or a Make-Whole Change in Control, and the earlier of the day immediately following the date the applicable securities exchange announces that a termination of trading will occur or on the effective date of a Termination of Trading in the case of a Termination of Trading by (i) issuing a press release and using its reasonable efforts to post such information on its website or otherwise publicly disclose this information or (ii) providing written notice to Noteholders by mailing such notice to Noteholders at their address in the Register (in the case of a Certificated Note), or through the facilities of the Depositary (in the case of a Global Note).</w:t>
      </w:r>
    </w:p>
    <w:p>
      <w:pPr>
        <w:spacing w:after="0" w:line="172" w:lineRule="exact"/>
        <w:rPr>
          <w:sz w:val="20"/>
          <w:szCs w:val="20"/>
          <w:color w:val="auto"/>
        </w:rPr>
      </w:pPr>
    </w:p>
    <w:p>
      <w:pPr>
        <w:ind w:right="240" w:firstLine="359"/>
        <w:spacing w:after="0" w:line="305" w:lineRule="auto"/>
        <w:tabs>
          <w:tab w:leader="none" w:pos="702" w:val="left"/>
        </w:tabs>
        <w:numPr>
          <w:ilvl w:val="1"/>
          <w:numId w:val="108"/>
        </w:numPr>
        <w:rPr>
          <w:rFonts w:ascii="Arial" w:cs="Arial" w:eastAsia="Arial" w:hAnsi="Arial"/>
          <w:sz w:val="15"/>
          <w:szCs w:val="15"/>
          <w:color w:val="auto"/>
        </w:rPr>
      </w:pPr>
      <w:r>
        <w:rPr>
          <w:rFonts w:ascii="Arial" w:cs="Arial" w:eastAsia="Arial" w:hAnsi="Arial"/>
          <w:sz w:val="15"/>
          <w:szCs w:val="15"/>
          <w:color w:val="auto"/>
        </w:rPr>
        <w:t>Upon determining that Noteholders are entitled to convert their Notes in accordance with the provisions set forth in Section 10.01(b), the Company shall promptly (i) issuing a press release and use its reasonable efforts to post such information on its website or otherwise publicly disclose this information or</w:t>
      </w:r>
    </w:p>
    <w:p>
      <w:pPr>
        <w:ind w:right="60" w:firstLine="8"/>
        <w:spacing w:after="0" w:line="261" w:lineRule="auto"/>
        <w:tabs>
          <w:tab w:leader="none" w:pos="2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provide written notice to Noteholders by mailing such notice to Noteholders at their address in the Register (in the case of a Certificated Note), or through the facilities of the Depositary (in the case of a Global Note).</w:t>
      </w:r>
    </w:p>
    <w:p>
      <w:pPr>
        <w:spacing w:after="0" w:line="191" w:lineRule="exact"/>
        <w:rPr>
          <w:rFonts w:ascii="Arial" w:cs="Arial" w:eastAsia="Arial" w:hAnsi="Arial"/>
          <w:sz w:val="18"/>
          <w:szCs w:val="18"/>
          <w:color w:val="auto"/>
        </w:rPr>
      </w:pPr>
    </w:p>
    <w:p>
      <w:pPr>
        <w:ind w:right="60" w:firstLine="359"/>
        <w:spacing w:after="0" w:line="294" w:lineRule="auto"/>
        <w:tabs>
          <w:tab w:leader="none" w:pos="68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Noteholders shall not have the right to convert their Notes pursuant to Section 10.01(b)(iii) or Section 10.01(b)(iv) if in connection with the distribution described in Section 10.01(b)(iii) or Section 10.01(b)(iv) that gives rise to a right to convert their Notes, such Noteholders are entitled to participate (as a result of holding their Notes, and at the same time as holders of Common Stock participate) in the distribution described in such Section as if such Noteholders held a number of shares of Common Stock equal to the applicable Conversion Rate on the Ex-Date for such distribution,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(expressed in thousands) of Notes held by such Noteholder, without having to convert their Notes.</w:t>
      </w:r>
    </w:p>
    <w:p>
      <w:pPr>
        <w:spacing w:after="0" w:line="386" w:lineRule="exact"/>
        <w:rPr>
          <w:sz w:val="20"/>
          <w:szCs w:val="20"/>
          <w:color w:val="auto"/>
        </w:rPr>
      </w:pPr>
    </w:p>
    <w:p>
      <w:pPr>
        <w:ind w:left="360"/>
        <w:spacing w:after="0"/>
        <w:tabs>
          <w:tab w:leader="none" w:pos="1520" w:val="left"/>
          <w:tab w:leader="none" w:pos="512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8"/>
          <w:szCs w:val="18"/>
          <w:i w:val="1"/>
          <w:iCs w:val="1"/>
          <w:color w:val="auto"/>
        </w:rPr>
        <w:t>Conversion Procedures; Conversion Settlement.</w:t>
      </w:r>
      <w:r>
        <w:rPr>
          <w:sz w:val="20"/>
          <w:szCs w:val="20"/>
          <w:color w:val="auto"/>
        </w:rPr>
        <w:tab/>
      </w:r>
      <w:r>
        <w:rPr>
          <w:rFonts w:ascii="Arial" w:cs="Arial" w:eastAsia="Arial" w:hAnsi="Arial"/>
          <w:sz w:val="15"/>
          <w:szCs w:val="15"/>
          <w:color w:val="auto"/>
        </w:rPr>
        <w:t>(a) To convert a Note that is represented by a Certificated Note, a Noteholder must</w:t>
      </w:r>
    </w:p>
    <w:p>
      <w:pPr>
        <w:spacing w:after="0" w:line="15" w:lineRule="exact"/>
        <w:rPr>
          <w:sz w:val="20"/>
          <w:szCs w:val="20"/>
          <w:color w:val="auto"/>
        </w:rPr>
      </w:pPr>
    </w:p>
    <w:p>
      <w:pPr>
        <w:ind w:left="260" w:hanging="252"/>
        <w:spacing w:after="0"/>
        <w:tabs>
          <w:tab w:leader="none" w:pos="2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complete and manually sign a Conversion Notice, a form of which is on the back of the Note, and deliver such Conversion Notice to the Conversion Agent,</w:t>
      </w:r>
    </w:p>
    <w:p>
      <w:pPr>
        <w:spacing w:after="0" w:line="32" w:lineRule="exact"/>
        <w:rPr>
          <w:rFonts w:ascii="Arial" w:cs="Arial" w:eastAsia="Arial" w:hAnsi="Arial"/>
          <w:sz w:val="16"/>
          <w:szCs w:val="16"/>
          <w:color w:val="auto"/>
        </w:rPr>
      </w:pPr>
    </w:p>
    <w:p>
      <w:pPr>
        <w:ind w:right="40" w:firstLine="8"/>
        <w:spacing w:after="0" w:line="290" w:lineRule="auto"/>
        <w:tabs>
          <w:tab w:leader="none" w:pos="2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surrender the Note to the Conversion Agent, (3) if required, furnish appropriate endorsement and transfer documents, (4) if required, pay all transfer or similar taxes and (5) if required, pay Cash equal to amount of interest due on the next Interest Payment Date for such Note. If a Noteholder holds a beneficial interest in a Global Note, to convert such beneficial interest, such Noteholder must comply with the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10.02(a) (in the case of a Certificated Note) or the second sentence of this Section 10.02(a) (in the case of a Global Note or a beneficial interest therein) have been satisfied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9" w:name="page120"/>
    <w:bookmarkEnd w:id="119"/>
    <w:p>
      <w:pPr>
        <w:ind w:right="160"/>
        <w:spacing w:after="0" w:line="275" w:lineRule="auto"/>
        <w:rPr>
          <w:sz w:val="20"/>
          <w:szCs w:val="20"/>
          <w:color w:val="auto"/>
        </w:rPr>
      </w:pPr>
      <w:r>
        <w:rPr>
          <w:rFonts w:ascii="Arial" w:cs="Arial" w:eastAsia="Arial" w:hAnsi="Arial"/>
          <w:sz w:val="18"/>
          <w:szCs w:val="18"/>
          <w:color w:val="auto"/>
        </w:rPr>
        <w:t>referred to in this Indenture as the "</w:t>
      </w:r>
      <w:r>
        <w:rPr>
          <w:rFonts w:ascii="Arial" w:cs="Arial" w:eastAsia="Arial" w:hAnsi="Arial"/>
          <w:sz w:val="18"/>
          <w:szCs w:val="18"/>
          <w:b w:val="1"/>
          <w:bCs w:val="1"/>
          <w:color w:val="auto"/>
        </w:rPr>
        <w:t>Conversion Date</w:t>
      </w:r>
      <w:r>
        <w:rPr>
          <w:rFonts w:ascii="Arial" w:cs="Arial" w:eastAsia="Arial" w:hAnsi="Arial"/>
          <w:sz w:val="18"/>
          <w:szCs w:val="18"/>
          <w:color w:val="auto"/>
        </w:rPr>
        <w:t>." The Conversion Agent shall, within one (1) Business Day of any Conversion Date, provide notice to the Company, as set forth in Section 12.03, of the occurrence of such Conversion Date.</w:t>
      </w:r>
    </w:p>
    <w:p>
      <w:pPr>
        <w:spacing w:after="0" w:line="180" w:lineRule="exact"/>
        <w:rPr>
          <w:sz w:val="20"/>
          <w:szCs w:val="20"/>
          <w:color w:val="auto"/>
        </w:rPr>
      </w:pPr>
    </w:p>
    <w:p>
      <w:pPr>
        <w:ind w:firstLine="359"/>
        <w:spacing w:after="0" w:line="289" w:lineRule="auto"/>
        <w:tabs>
          <w:tab w:leader="none" w:pos="68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may satisfy the Conversion Obligation by delivering shares of Common Stock, Cash, or a combination thereof as set forth in this Section 10.02(b). The Company shall inform Noteholders through the Trustee of the method the Company chooses to satisfy the Conversion Obligation (and the Specified Cash Amount, if applicable, as described in the immediately succeeding paragraph) no later than the 25th Scheduled Trading Day prior to the Maturity Date (in respect of Notes converted during the period on or after the 24th Scheduled Trading Day immediately preceding the Maturity Date) and no later than two Trading Days following the applicable Conversion Date (in all other cases), as the case may be. Except to the extent the Company has irrevocably elected Net Share Settlement as described in Section 10.02(c), if the Company does not give notice within the time periods described in the immediately preceding sentence as to how it intends to settle any Conversion Obligation, the Company shall satisfy the Conversion Obligation by delivering solely shares of Common Stock (except for any Cash in lieu of fractional shares).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Company chooses to satisfy any portion of the Conversion Obligation in Cash (except for any Cash in lieu of fractional shares), or if the Company has irrevocably elected Net Share Settlement as described in Section 10.02(c), the Company shall notify holders during the periods set forth in the immediately preceding paragraph of the amount to be satisfied in Cash as a fixed dollar amount per $1,000 principal amount of Notes (the "</w:t>
      </w:r>
      <w:r>
        <w:rPr>
          <w:rFonts w:ascii="Arial" w:cs="Arial" w:eastAsia="Arial" w:hAnsi="Arial"/>
          <w:sz w:val="16"/>
          <w:szCs w:val="16"/>
          <w:b w:val="1"/>
          <w:bCs w:val="1"/>
          <w:color w:val="auto"/>
        </w:rPr>
        <w:t>Specified Cash Amount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Company has previously irrevocably elected Net Share Settlement as described in Section 10.02(c), the Specified Cash Amount must be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equal to $1,000. If, subsequent to the Company electing Net Share Settlement, the Company fails to timely notify converting Noteholders of the Specified Cash Amount, the Specified Cash Amount shall be deemed to be $1,000.</w:t>
      </w:r>
    </w:p>
    <w:p>
      <w:pPr>
        <w:spacing w:after="0" w:line="174"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Company shall treat all Holders with the same Cash Settlement Averaging Period in the same manner. The Company shall not, however, have any obligation to settle any Conversion Obligations arising with respect to different Cash Settlement Averaging Periods in the same manner.</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the Company elects to settle any conversion of Notes by delivering solely shares of Common Stock, such settlement shall occur as soon as practicable after the Company notifies Holders that is has chosen such method of settlement, but in any event within three Business Days of the relevant Conversion Date. Any settlement of a Conversion Obligation made entirely or partially in Cash (other than Cash in lieu of fractional shares) shall occur on the third Business Day immediately following the final Trading Day of the Cash Settlement Averaging Period.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of Cash and/or number of shares of Common Stock, as the case may be, due upon conversion of Notes shall be determined as follows:</w:t>
      </w:r>
    </w:p>
    <w:p>
      <w:pPr>
        <w:spacing w:after="0" w:line="248" w:lineRule="exact"/>
        <w:rPr>
          <w:sz w:val="20"/>
          <w:szCs w:val="20"/>
          <w:color w:val="auto"/>
        </w:rPr>
      </w:pPr>
    </w:p>
    <w:p>
      <w:pPr>
        <w:ind w:left="540" w:right="100" w:firstLine="359"/>
        <w:spacing w:after="0" w:line="286" w:lineRule="auto"/>
        <w:tabs>
          <w:tab w:leader="none" w:pos="122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If the Company elects to satisfy the entire Conversion Obligation by delivering Common Stock, the Company shall deliver to the converting Holder a number of shares of Common Stock equal to (i) (A) the aggregate principal amount of Notes to be converted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1,000 </w:t>
      </w:r>
      <w:r>
        <w:rPr>
          <w:rFonts w:ascii="Arial" w:cs="Arial" w:eastAsia="Arial" w:hAnsi="Arial"/>
          <w:sz w:val="16"/>
          <w:szCs w:val="16"/>
          <w:i w:val="1"/>
          <w:iCs w:val="1"/>
          <w:color w:val="auto"/>
        </w:rPr>
        <w:t>multiplied by</w:t>
      </w:r>
    </w:p>
    <w:p>
      <w:pPr>
        <w:ind w:left="540" w:firstLine="8"/>
        <w:spacing w:after="0" w:line="261" w:lineRule="auto"/>
        <w:tabs>
          <w:tab w:leader="none" w:pos="7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Applicable Conversion Rate in effect on the relevant Conversion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Cash in lieu of fractional shares as described in Section 10.03).</w:t>
      </w:r>
    </w:p>
    <w:p>
      <w:pPr>
        <w:spacing w:after="0" w:line="191" w:lineRule="exact"/>
        <w:rPr>
          <w:rFonts w:ascii="Arial" w:cs="Arial" w:eastAsia="Arial" w:hAnsi="Arial"/>
          <w:sz w:val="18"/>
          <w:szCs w:val="18"/>
          <w:color w:val="auto"/>
        </w:rPr>
      </w:pPr>
    </w:p>
    <w:p>
      <w:pPr>
        <w:ind w:left="1240" w:hanging="341"/>
        <w:spacing w:after="0"/>
        <w:tabs>
          <w:tab w:leader="none" w:pos="12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the Company elects to satisfy the entire Conversion Obligation by paying Cash, the Company shall pay to the converting Holder, for each</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$1,000 principal amount of Notes so converted, Cash in an amount equal to the Conversion Value.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0" w:name="page121"/>
    <w:bookmarkEnd w:id="120"/>
    <w:p>
      <w:pPr>
        <w:ind w:left="540" w:right="180" w:firstLine="359"/>
        <w:spacing w:after="0" w:line="253" w:lineRule="auto"/>
        <w:tabs>
          <w:tab w:leader="none" w:pos="122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the Company elects to satisfy the Conversion Obligation by delivering or paying, as the case may be, a combination of Cash and Common Stock, or if the Company has irrevocably elected Net Share Settlement pursuant to Section 10.02(c), the Company shall deliver to the converting holder, for each $1,000 principal amount of Notes so converted (x) Cash in an amount equal to the lesser of (A) the Specified Cash Amount (which shall be at least $1,000 if the Company has made an irrevocable Net Share Settlement Election) and (B) the Conversion Value; and (y) if the Conversion Value is greater than the Specified Cash Amount, a number of shares of Common Stock equal to the sum of the Daily Share Amounts for each of the twenty Trading Days in the Cash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Cash in lieu of fractional shares as described in Section 10.03).</w:t>
      </w:r>
    </w:p>
    <w:p>
      <w:pPr>
        <w:spacing w:after="0" w:line="201" w:lineRule="exact"/>
        <w:rPr>
          <w:rFonts w:ascii="Arial" w:cs="Arial" w:eastAsia="Arial" w:hAnsi="Arial"/>
          <w:sz w:val="18"/>
          <w:szCs w:val="18"/>
          <w:color w:val="auto"/>
        </w:rPr>
      </w:pPr>
    </w:p>
    <w:p>
      <w:pPr>
        <w:ind w:right="40" w:firstLine="359"/>
        <w:spacing w:after="0" w:line="290" w:lineRule="auto"/>
        <w:tabs>
          <w:tab w:leader="none" w:pos="66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any time on or prior to the 30th Scheduled Trading Day prior to the Maturity Date, the Company may irrevocably elect to satisfy the Conversion Obligation with respect to any Notes converted after the date of such election by delivering Cash up to the aggregate principal amount of Notes to be converted, and shares of Common Stock, Cash or a combination thereof in respect of the remainder, if any, of the Conversion Obligation. Such election (a "</w:t>
      </w:r>
      <w:r>
        <w:rPr>
          <w:rFonts w:ascii="Arial" w:cs="Arial" w:eastAsia="Arial" w:hAnsi="Arial"/>
          <w:sz w:val="16"/>
          <w:szCs w:val="16"/>
          <w:b w:val="1"/>
          <w:bCs w:val="1"/>
          <w:color w:val="auto"/>
        </w:rPr>
        <w:t>Net Share</w:t>
      </w:r>
      <w:r>
        <w:rPr>
          <w:rFonts w:ascii="Arial" w:cs="Arial" w:eastAsia="Arial" w:hAnsi="Arial"/>
          <w:sz w:val="16"/>
          <w:szCs w:val="16"/>
          <w:color w:val="auto"/>
        </w:rPr>
        <w:t xml:space="preserve"> </w:t>
      </w:r>
      <w:r>
        <w:rPr>
          <w:rFonts w:ascii="Arial" w:cs="Arial" w:eastAsia="Arial" w:hAnsi="Arial"/>
          <w:sz w:val="16"/>
          <w:szCs w:val="16"/>
          <w:b w:val="1"/>
          <w:bCs w:val="1"/>
          <w:color w:val="auto"/>
        </w:rPr>
        <w:t>Settlement</w:t>
      </w:r>
      <w:r>
        <w:rPr>
          <w:rFonts w:ascii="Arial" w:cs="Arial" w:eastAsia="Arial" w:hAnsi="Arial"/>
          <w:sz w:val="16"/>
          <w:szCs w:val="16"/>
          <w:color w:val="auto"/>
        </w:rPr>
        <w:t>" election) shall be in the Company's sole discretion and shall not require the consent of Noteholders. Upon making a Net Share Settlement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promptly (i) issue a press release and use its reasonable efforts to post such information on its website or otherwise publicly disclose this information or (ii) provide written notice to Noteholders by mailing such notice to Noteholders at their address in the Register (in the case of a Certificated Note), or through the facilities of the Depositary (in the case of a Global Note).</w:t>
      </w:r>
    </w:p>
    <w:p>
      <w:pPr>
        <w:spacing w:after="0" w:line="172" w:lineRule="exact"/>
        <w:rPr>
          <w:rFonts w:ascii="Arial" w:cs="Arial" w:eastAsia="Arial" w:hAnsi="Arial"/>
          <w:sz w:val="16"/>
          <w:szCs w:val="16"/>
          <w:color w:val="auto"/>
        </w:rPr>
      </w:pPr>
    </w:p>
    <w:p>
      <w:pPr>
        <w:ind w:right="40" w:firstLine="359"/>
        <w:spacing w:after="0" w:line="291" w:lineRule="auto"/>
        <w:tabs>
          <w:tab w:leader="none" w:pos="6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Holder receiving Common Stock upon conversion shall not be entitled to any rights as a holder of Common Stock, including, among other things, the right to vote and receive dividends and notices of stockholder meetings, until the Close of Business on the Conversion Date (if the Company delivers solely Common Stock in respect of the Conversion Obligation pursuant to clause (1) of Section 10.02(b), other than Cash in lieu of fractional shares delivered pursuant to Section 10.03) or the Close of Business on the last Trading Day of the Cash Settlement Averaging Period (if the Company delivers cash in respect of any portion of the Conversion Obligation pursuant to clause (2) or clause (3) of Section 10.02(b), other than Cash in lieu of any fractional shares delivered pursuant to Section 10.03, or if the Company has irrevocably elected Net Share Settlement).</w:t>
      </w:r>
    </w:p>
    <w:p>
      <w:pPr>
        <w:spacing w:after="0" w:line="174" w:lineRule="exact"/>
        <w:rPr>
          <w:rFonts w:ascii="Arial" w:cs="Arial" w:eastAsia="Arial" w:hAnsi="Arial"/>
          <w:sz w:val="16"/>
          <w:szCs w:val="16"/>
          <w:color w:val="auto"/>
        </w:rPr>
      </w:pPr>
    </w:p>
    <w:p>
      <w:pPr>
        <w:ind w:left="680" w:hanging="321"/>
        <w:spacing w:after="0"/>
        <w:tabs>
          <w:tab w:leader="none" w:pos="6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payment or adjustment will be made for dividends on, or other distributions with respect to, any Common Stock except as provided in this</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Article 10. Upon conversion of a Note, a Noteholder will not receive, except as described below, any Cash payment representing accrued interest. Instead, accrued interest will be deemed paid by the Cash and/or shares of Common Stock, if any, received by the Noteholder upon conversion. Delivery to the Noteholder of such Cash and/or shares of Common Stock shall thus be deemed to satisfy (1) the Company's obligation to pay the principal amount of a Note, and (2) the Company's obligation to pay any accrued and unpaid interest on the Note. As a result, upon conversion of a Note, accrued and unpaid interest on such Note is deemed paid in full rather than cancelled, extinguished or forfeited.</w:t>
      </w:r>
    </w:p>
    <w:p>
      <w:pPr>
        <w:spacing w:after="0" w:line="171" w:lineRule="exact"/>
        <w:rPr>
          <w:sz w:val="20"/>
          <w:szCs w:val="20"/>
          <w:color w:val="auto"/>
        </w:rPr>
      </w:pPr>
    </w:p>
    <w:p>
      <w:pPr>
        <w:ind w:right="20" w:firstLine="359"/>
        <w:spacing w:after="0" w:line="291" w:lineRule="auto"/>
        <w:tabs>
          <w:tab w:leader="none" w:pos="7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Notwithstanding Section 10.02(e), if Notes are converted after a Record Date but prior to the next succeeding Interest Payment Date, Holders of such notes at the Close of Business on such Record Date will receive the interest payable on such Notes on the corresponding Interest Payment Date notwithstanding the conversion. Such Notes, upon surrender for conversion, must be accompanied by Cash equal to the amount of interest payable on such Interest Payment Date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 (1) if the Company has specified a Redemption Date that is after a Record Date but on or prior to the next succeeding Interest Payment Date, (2) if the Company has specified a Repurchase Date that is after a Record Date but on or prior to the next succeeding Interest Payment Date, (3) with respect to any notes converted after the Record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Date immediately preceding the Maturity Date or (4) to the extent of any Defaulted Interest that exists at the time of conversion with respect to such Note.</w:t>
      </w:r>
    </w:p>
    <w:p>
      <w:pPr>
        <w:spacing w:after="0" w:line="248" w:lineRule="exact"/>
        <w:rPr>
          <w:sz w:val="20"/>
          <w:szCs w:val="20"/>
          <w:color w:val="auto"/>
        </w:rPr>
      </w:pPr>
    </w:p>
    <w:p>
      <w:pPr>
        <w:ind w:right="140" w:firstLine="359"/>
        <w:spacing w:after="0" w:line="332" w:lineRule="auto"/>
        <w:tabs>
          <w:tab w:leader="none" w:pos="68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a Noteholder converts more than one Note at the same time, the number of shares of Common Stock and the amount of Cash, if any, including Cash in lieu of fractional shares, due upon conversion shall be determined based on the total principal amount of the Notes converted.</w:t>
      </w:r>
    </w:p>
    <w:p>
      <w:pPr>
        <w:spacing w:after="0" w:line="139" w:lineRule="exact"/>
        <w:rPr>
          <w:rFonts w:ascii="Arial" w:cs="Arial" w:eastAsia="Arial" w:hAnsi="Arial"/>
          <w:sz w:val="16"/>
          <w:szCs w:val="16"/>
          <w:color w:val="auto"/>
        </w:rPr>
      </w:pPr>
    </w:p>
    <w:p>
      <w:pPr>
        <w:ind w:right="120" w:firstLine="359"/>
        <w:spacing w:after="0" w:line="268" w:lineRule="auto"/>
        <w:tabs>
          <w:tab w:leader="none" w:pos="6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200" w:lineRule="exact"/>
        <w:rPr>
          <w:sz w:val="20"/>
          <w:szCs w:val="20"/>
          <w:color w:val="auto"/>
        </w:rPr>
      </w:pPr>
    </w:p>
    <w:p>
      <w:pPr>
        <w:spacing w:after="0" w:line="20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The Company will not issue a fractional share of Common Stock upon conversion of a Note. Instead, the Company shall pay Cash in lieu of fractional shares based on the Closing Price of Common Stock on the Trading Day prior to the applicable Conversion Date (if the Company delivers solely shares of Common Stock to satisfy the Conversion Obligation, other than such Cash in lieu of fractional shares) or the Closing Price of Common Stock on the last Trading Day of the relevant Cash Settlement Averaging Period (if the Company delivers Cash to satisfy a portion, but less than all, of the Conversion Obligation, other than solely such Cash in lieu of any fractional shares, or if the Company has irrevocably elected Net Share Settlement upon conversion).</w:t>
      </w:r>
    </w:p>
    <w:p>
      <w:pPr>
        <w:spacing w:after="0" w:line="200" w:lineRule="exact"/>
        <w:rPr>
          <w:sz w:val="20"/>
          <w:szCs w:val="20"/>
          <w:color w:val="auto"/>
        </w:rPr>
      </w:pPr>
    </w:p>
    <w:p>
      <w:pPr>
        <w:spacing w:after="0" w:line="21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Taxes on Conversion.</w:t>
      </w:r>
      <w:r>
        <w:rPr>
          <w:rFonts w:ascii="Arial" w:cs="Arial" w:eastAsia="Arial" w:hAnsi="Arial"/>
          <w:sz w:val="18"/>
          <w:szCs w:val="18"/>
          <w:color w:val="auto"/>
        </w:rPr>
        <w:t xml:space="preserve"> If a Holder converts a Note, the Company shall pay any documentary, stamp or similar issue or transfer tax 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200" w:lineRule="exact"/>
        <w:rPr>
          <w:sz w:val="20"/>
          <w:szCs w:val="20"/>
          <w:color w:val="auto"/>
        </w:rPr>
      </w:pPr>
    </w:p>
    <w:p>
      <w:pPr>
        <w:spacing w:after="0" w:line="213"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Company to Provide Common Stock.</w:t>
      </w:r>
      <w:r>
        <w:rPr>
          <w:rFonts w:ascii="Arial" w:cs="Arial" w:eastAsia="Arial" w:hAnsi="Arial"/>
          <w:sz w:val="18"/>
          <w:szCs w:val="18"/>
          <w:color w:val="auto"/>
        </w:rPr>
        <w:t xml:space="preserve"> The Company shall, from time to time as may be necessary, reserve out of its authorized but unissued shares of Common Stock a sufficient number of shares of Common Stock to permit the delivery in respect of all outstanding Notes of the number of shares of Common Stock due upon conversion (assuming, for purposes of this sentence, that the Company elects to deliver solely shares of Common Stock in respect of the Conversion Obligation).</w:t>
      </w:r>
    </w:p>
    <w:p>
      <w:pPr>
        <w:spacing w:after="0" w:line="19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Any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200" w:lineRule="exact"/>
        <w:rPr>
          <w:sz w:val="20"/>
          <w:szCs w:val="20"/>
          <w:color w:val="auto"/>
        </w:rPr>
      </w:pPr>
    </w:p>
    <w:p>
      <w:pPr>
        <w:spacing w:after="0" w:line="21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Adjustment for Change in Capital Stock.</w:t>
      </w:r>
      <w:r>
        <w:rPr>
          <w:rFonts w:ascii="Arial" w:cs="Arial" w:eastAsia="Arial" w:hAnsi="Arial"/>
          <w:sz w:val="18"/>
          <w:szCs w:val="18"/>
          <w:color w:val="auto"/>
        </w:rPr>
        <w:t xml:space="preserve"> (a) If the Company shall, at any time and from time to time while any of the Notes are outstanding, issue dividends or make distributions on Common Stock payable in shares of Common Stock, then the Conversion Rate shall be increased so that the same shall equal the rate determined by multiplying the Conversion Rate in effect at the opening of business on the Ex-Date for such dividend or distribution by a fraction:</w:t>
      </w:r>
    </w:p>
    <w:p>
      <w:pPr>
        <w:spacing w:after="0" w:line="197" w:lineRule="exact"/>
        <w:rPr>
          <w:sz w:val="20"/>
          <w:szCs w:val="20"/>
          <w:color w:val="auto"/>
        </w:rPr>
      </w:pPr>
    </w:p>
    <w:p>
      <w:pPr>
        <w:ind w:left="540" w:right="220" w:firstLine="447"/>
        <w:spacing w:after="0" w:line="268" w:lineRule="auto"/>
        <w:tabs>
          <w:tab w:leader="none" w:pos="12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numerator of which shall be the sum of the number of shares of Common Stock outstanding at the Close of Business on the Business Day immediately preceding the Ex-Date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2" w:name="page123"/>
    <w:bookmarkEnd w:id="122"/>
    <w:p>
      <w:pPr>
        <w:ind w:left="540"/>
        <w:spacing w:after="0"/>
        <w:rPr>
          <w:sz w:val="20"/>
          <w:szCs w:val="20"/>
          <w:color w:val="auto"/>
        </w:rPr>
      </w:pPr>
      <w:r>
        <w:rPr>
          <w:rFonts w:ascii="Arial" w:cs="Arial" w:eastAsia="Arial" w:hAnsi="Arial"/>
          <w:sz w:val="18"/>
          <w:szCs w:val="18"/>
          <w:color w:val="auto"/>
        </w:rPr>
        <w:t xml:space="preserve">such dividend or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total number of shares of Common Stock constituting such dividend or distribution; and</w:t>
      </w:r>
    </w:p>
    <w:p>
      <w:pPr>
        <w:spacing w:after="0" w:line="225" w:lineRule="exact"/>
        <w:rPr>
          <w:sz w:val="20"/>
          <w:szCs w:val="20"/>
          <w:color w:val="auto"/>
        </w:rPr>
      </w:pPr>
    </w:p>
    <w:p>
      <w:pPr>
        <w:ind w:left="540" w:right="860" w:firstLine="403"/>
        <w:spacing w:after="0" w:line="268" w:lineRule="auto"/>
        <w:tabs>
          <w:tab w:leader="none" w:pos="12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denominator of which shall be the number of shares of Common Stock outstanding at the Close of Business on the Business Day immediately preceding such Ex-Date.</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any dividend or distribution of the type described in this Section 10.06 is declared but not so paid or made, the Conversion Rate shall again be adjusted to the Conversion Rate which would then be in effect if such dividend or distribution had not been declared. In no event shall the Conversion Rate be decreased pursuant to this Section 10.06.</w:t>
      </w:r>
    </w:p>
    <w:p>
      <w:pPr>
        <w:spacing w:after="0" w:line="194" w:lineRule="exact"/>
        <w:rPr>
          <w:sz w:val="20"/>
          <w:szCs w:val="20"/>
          <w:color w:val="auto"/>
        </w:rPr>
      </w:pPr>
    </w:p>
    <w:p>
      <w:pPr>
        <w:ind w:right="20" w:firstLine="359"/>
        <w:spacing w:after="0" w:line="287" w:lineRule="auto"/>
        <w:tabs>
          <w:tab w:leader="none" w:pos="68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the Company shall, at any time or from time to time while any of the Notes are outstanding, subdivide or reclassify outstanding shares of Common Stock into a greater number of shares of Common Stock, then the Conversion Rate in effect at the opening of business on the day upon which such subdivision or reclassification becomes effective shall be proportionately increased, and conversely, if the Company shall, at any time or from time to time while any of the Notes are outstanding, combine or reclassify outstanding shares of Common Stock into a smaller number of shares of Common Stock, then the Conversion Rate in effect at the opening of business on the day upon which such combination or reclassification becomes effective shall be proportionately decreased. In each such case, the Conversion Rate shall be adjusted by multiplying such Conversion Rate by a fraction, the numerator of which shall be the number of shares of Common Stock outstanding immediately after giving effect to such subdivision, combination or reclassification and the denominator of which shall be the number of shares of Common Stock outstanding immediately prior to such subdivision, combination or reclassification. Such increase or reduction (solely in the case of any combination or reclassification of outstanding shares of Common Stock into a smaller number of shares of Common Stock), as the case may be, shall become effective immediately after the opening of business on the day upon which such subdivision, combination or reclassification becomes effective.</w:t>
      </w:r>
    </w:p>
    <w:p>
      <w:pPr>
        <w:spacing w:after="0" w:line="393"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Adjustment for Rights, Options or Warrants Issue.</w:t>
      </w:r>
      <w:r>
        <w:rPr>
          <w:rFonts w:ascii="Arial" w:cs="Arial" w:eastAsia="Arial" w:hAnsi="Arial"/>
          <w:sz w:val="16"/>
          <w:szCs w:val="16"/>
          <w:color w:val="auto"/>
        </w:rPr>
        <w:t xml:space="preserve"> If the Company shall, at any time or from time to time while the Notes are outstanding, distribute to all holders of Common Stock rights, options or warrants to purchase shares of Common Stock for a period expiring within 60 days after the record date for such distribution at less than the average of the Closing Prices of Common Stock for the five consecutive Trading Days immediately preceding the first public announcement of such distribution, then the Conversion Rate shall be increased so that the same shall equal the rate determined by multiplying the Conversion Rate in effect at the opening of business on the Ex-Date for such distribution by a fraction:</w:t>
      </w:r>
    </w:p>
    <w:p>
      <w:pPr>
        <w:spacing w:after="0" w:line="170" w:lineRule="exact"/>
        <w:rPr>
          <w:sz w:val="20"/>
          <w:szCs w:val="20"/>
          <w:color w:val="auto"/>
        </w:rPr>
      </w:pPr>
    </w:p>
    <w:p>
      <w:pPr>
        <w:ind w:left="540" w:right="120" w:firstLine="359"/>
        <w:spacing w:after="0" w:line="332" w:lineRule="auto"/>
        <w:tabs>
          <w:tab w:leader="none" w:pos="122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numerator of which shall be the number of shares of Common Stock outstanding at the Close of Business on the Business Day immediately preceding the Ex-Date for such distribution,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total number of additional shares of Common Stock so offered for purchase; and</w:t>
      </w:r>
    </w:p>
    <w:p>
      <w:pPr>
        <w:spacing w:after="0" w:line="139" w:lineRule="exact"/>
        <w:rPr>
          <w:rFonts w:ascii="Arial" w:cs="Arial" w:eastAsia="Arial" w:hAnsi="Arial"/>
          <w:sz w:val="16"/>
          <w:szCs w:val="16"/>
          <w:color w:val="auto"/>
        </w:rPr>
      </w:pPr>
    </w:p>
    <w:p>
      <w:pPr>
        <w:ind w:left="540" w:firstLine="359"/>
        <w:spacing w:after="0" w:line="255" w:lineRule="auto"/>
        <w:tabs>
          <w:tab w:leader="none" w:pos="12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denominator of which shall be the number of shares of Common Stock outstanding on the Close of Business on the Business Day immediately preceding the Ex-Date for such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number of shares of Common Stock that the aggregate offering price of the total number of shares of Common Stock so offered would purchase at the Current Market Price 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adjustment shall become effective immediately after the opening of business on the Ex-Date for such distribution.</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To the extent that shares of Common Stock are not delivered pursuant to such rights or upon the expiration or termination of such rights, options or warrants, the Conversion Rate shall be readjusted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ind w:right="100"/>
        <w:spacing w:after="0" w:line="253" w:lineRule="auto"/>
        <w:rPr>
          <w:sz w:val="20"/>
          <w:szCs w:val="20"/>
          <w:color w:val="auto"/>
        </w:rPr>
      </w:pPr>
      <w:r>
        <w:rPr>
          <w:rFonts w:ascii="Arial" w:cs="Arial" w:eastAsia="Arial" w:hAnsi="Arial"/>
          <w:sz w:val="18"/>
          <w:szCs w:val="18"/>
          <w:color w:val="auto"/>
        </w:rPr>
        <w:t>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which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In no event shall the Conversion Rate be decreased pursuant to this Section 10.07.</w:t>
      </w:r>
    </w:p>
    <w:p>
      <w:pPr>
        <w:spacing w:after="0" w:line="19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 Company elects to make a distribution described in this Section 10.07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Adjustment for Other Distributions</w:t>
      </w:r>
      <w:r>
        <w:rPr>
          <w:rFonts w:ascii="Arial" w:cs="Arial" w:eastAsia="Arial" w:hAnsi="Arial"/>
          <w:sz w:val="16"/>
          <w:szCs w:val="16"/>
          <w:color w:val="auto"/>
        </w:rPr>
        <w:t>.</w:t>
      </w:r>
    </w:p>
    <w:p>
      <w:pPr>
        <w:spacing w:after="0" w:line="225" w:lineRule="exact"/>
        <w:rPr>
          <w:sz w:val="20"/>
          <w:szCs w:val="20"/>
          <w:color w:val="auto"/>
        </w:rPr>
      </w:pPr>
    </w:p>
    <w:p>
      <w:pPr>
        <w:ind w:right="100" w:firstLine="359"/>
        <w:spacing w:after="0" w:line="291" w:lineRule="auto"/>
        <w:tabs>
          <w:tab w:leader="none" w:pos="6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Company shall, at any time or from time to time while the Notes are outstanding, distribute to all holders of Common Stock any of its Capital Stock, assets (including shares of any Subsidiary of the Company or business unit of the Company), or debt securities or rights to purchase securities of the Company (excluding (x) any dividends or distributions described in Section 10.06, (y) any rights, options or warrants described in Section 10.07 and (z) any dividends or other distributions described in Section 10.09 (such Capital Stock, assets, debt securities or rights to purchase securities of the Company hereinafter in this Section 10.08 called the "</w:t>
      </w:r>
      <w:r>
        <w:rPr>
          <w:rFonts w:ascii="Arial" w:cs="Arial" w:eastAsia="Arial" w:hAnsi="Arial"/>
          <w:sz w:val="16"/>
          <w:szCs w:val="16"/>
          <w:b w:val="1"/>
          <w:bCs w:val="1"/>
          <w:color w:val="auto"/>
        </w:rPr>
        <w:t>Distributed Assets</w:t>
      </w:r>
      <w:r>
        <w:rPr>
          <w:rFonts w:ascii="Arial" w:cs="Arial" w:eastAsia="Arial" w:hAnsi="Arial"/>
          <w:sz w:val="16"/>
          <w:szCs w:val="16"/>
          <w:color w:val="auto"/>
        </w:rPr>
        <w:t>")), then the Conversion Rate shall be increased so that the same shall equal the rate determined by multiplying the Conversion Rate in effect at the opening of business on the Ex-Date for such distribution by a fraction:</w:t>
      </w:r>
    </w:p>
    <w:p>
      <w:pPr>
        <w:spacing w:after="0" w:line="174" w:lineRule="exact"/>
        <w:rPr>
          <w:rFonts w:ascii="Arial" w:cs="Arial" w:eastAsia="Arial" w:hAnsi="Arial"/>
          <w:sz w:val="16"/>
          <w:szCs w:val="16"/>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left="540" w:right="60" w:firstLine="403"/>
        <w:spacing w:after="0" w:line="259" w:lineRule="auto"/>
        <w:tabs>
          <w:tab w:leader="none" w:pos="123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of Common Stock on the Business Day immediately preceding the Ex-Date for such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fair market value, as determined by the Board of Directors, of the portion of Distributed Assets so distributed applicable to one share of Common Stock;</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Such increase shall become effective immediately after the opening of business on the Ex-Date for such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fair market value, as determined by the Board of Directors, of the portion of Distributed Assets so distributed applicable to one share of Common Stock" as set forth above is equal to or greater than "the Current Market Price of Common Stock on the Business Day immediately preceding the Ex-Date for such distribution" as set forth above, in lieu of the foregoing adjustment, adequate provision shall be made so that each Noteholder shall receive on the date on which the Distributed Assets are distributed to holders of Common Stock, for each $1,000 principal amount of Notes, the amount of Distributed Assets such Noteholder would have received had such Noteholder owned a number of shares of Common Stock equal to the Conversion Rate on the record date for such distribution. In the event that such distribution is not so made, the Conversion Rate shall again be adjusted to be the Conversion Rate which would then be in effect if such distribution had not been declared. In no event shall the Conversion Rate be decreased pursuant to this Section 10.08(a).</w:t>
      </w:r>
    </w:p>
    <w:p>
      <w:pPr>
        <w:spacing w:after="0" w:line="172"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If the Board of Directors determines the fair market value of any distribution for purposes of this Section 10.08(a)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8"/>
          <w:szCs w:val="18"/>
          <w:b w:val="1"/>
          <w:bCs w:val="1"/>
          <w:color w:val="auto"/>
        </w:rPr>
        <w:t>Reference Period</w:t>
      </w:r>
      <w:r>
        <w:rPr>
          <w:rFonts w:ascii="Arial" w:cs="Arial" w:eastAsia="Arial" w:hAnsi="Arial"/>
          <w:sz w:val="18"/>
          <w:szCs w:val="18"/>
          <w:color w:val="auto"/>
        </w:rPr>
        <w:t>") used in computing the Current Market Price for purposes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4" w:name="page125"/>
    <w:bookmarkEnd w:id="124"/>
    <w:p>
      <w:pPr>
        <w:ind w:right="260"/>
        <w:spacing w:after="0" w:line="268" w:lineRule="auto"/>
        <w:rPr>
          <w:sz w:val="20"/>
          <w:szCs w:val="20"/>
          <w:color w:val="auto"/>
        </w:rPr>
      </w:pPr>
      <w:r>
        <w:rPr>
          <w:rFonts w:ascii="Arial" w:cs="Arial" w:eastAsia="Arial" w:hAnsi="Arial"/>
          <w:sz w:val="18"/>
          <w:szCs w:val="18"/>
          <w:color w:val="auto"/>
        </w:rPr>
        <w:t>clause (i) above, unless the Board of Directors determines in good faith that determining the fair market value during the Reference Period would not be in the best interest of the Holders.</w:t>
      </w:r>
    </w:p>
    <w:p>
      <w:pPr>
        <w:spacing w:after="0" w:line="186" w:lineRule="exact"/>
        <w:rPr>
          <w:sz w:val="20"/>
          <w:szCs w:val="20"/>
          <w:color w:val="auto"/>
        </w:rPr>
      </w:pPr>
    </w:p>
    <w:p>
      <w:pPr>
        <w:ind w:right="160" w:firstLine="359"/>
        <w:spacing w:after="0" w:line="256" w:lineRule="auto"/>
        <w:tabs>
          <w:tab w:leader="none" w:pos="68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10.08, if the Company distributes Capital Stock of, or similar equity interests in, a Subsidiary of the Company or other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then the Conversion Rate shall be increased so that the same shall equal the rate determined by multiplying the Conversion Rate in effect at the opening of business on the fifteenth Trading Day immediately following the Ex-Date for such Spin-Off by a fraction:</w:t>
      </w:r>
    </w:p>
    <w:p>
      <w:pPr>
        <w:spacing w:after="0" w:line="197" w:lineRule="exact"/>
        <w:rPr>
          <w:rFonts w:ascii="Arial" w:cs="Arial" w:eastAsia="Arial" w:hAnsi="Arial"/>
          <w:sz w:val="18"/>
          <w:szCs w:val="18"/>
          <w:color w:val="auto"/>
        </w:rPr>
      </w:pPr>
    </w:p>
    <w:p>
      <w:pPr>
        <w:ind w:left="540" w:firstLine="359"/>
        <w:spacing w:after="0" w:line="298" w:lineRule="auto"/>
        <w:tabs>
          <w:tab w:leader="none" w:pos="122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numerator of which will be the sum of (A) 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the Spin-Off and (B) the average of the Closing Prices of Common Stock over the ten consecutive Trading Day period immediately following, and including, the fifth Trading Day after the Ex-Date for the Spin-Off; and</w:t>
      </w:r>
    </w:p>
    <w:p>
      <w:pPr>
        <w:spacing w:after="0" w:line="166" w:lineRule="exact"/>
        <w:rPr>
          <w:rFonts w:ascii="Arial" w:cs="Arial" w:eastAsia="Arial" w:hAnsi="Arial"/>
          <w:sz w:val="16"/>
          <w:szCs w:val="16"/>
          <w:color w:val="auto"/>
        </w:rPr>
      </w:pPr>
    </w:p>
    <w:p>
      <w:pPr>
        <w:ind w:left="540" w:right="420" w:firstLine="359"/>
        <w:spacing w:after="0" w:line="268" w:lineRule="auto"/>
        <w:tabs>
          <w:tab w:leader="none" w:pos="122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denominator of which is the average of the Closing Prices of Common Stock over the ten consecutive Trading Day period immediately following, and including, the fifth Trading Day after the Ex-Date for the Spin-Off.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no event shall the Conversion Rate be decreased pursuant to this Section 10.08(b).</w:t>
      </w:r>
    </w:p>
    <w:p>
      <w:pPr>
        <w:spacing w:after="0" w:line="225" w:lineRule="exact"/>
        <w:rPr>
          <w:sz w:val="20"/>
          <w:szCs w:val="20"/>
          <w:color w:val="auto"/>
        </w:rPr>
      </w:pPr>
    </w:p>
    <w:p>
      <w:pPr>
        <w:ind w:right="340" w:firstLine="359"/>
        <w:spacing w:after="0" w:line="259" w:lineRule="auto"/>
        <w:tabs>
          <w:tab w:leader="none" w:pos="6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Company elects to make a distribution described in Section 10.08(a) or Section 10.08(b)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520" w:val="left"/>
          <w:tab w:leader="none" w:pos="39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8"/>
          <w:szCs w:val="18"/>
          <w:i w:val="1"/>
          <w:iCs w:val="1"/>
          <w:color w:val="auto"/>
        </w:rPr>
        <w:t>Adjustment for Cash Dividends.</w:t>
      </w:r>
      <w:r>
        <w:rPr>
          <w:sz w:val="20"/>
          <w:szCs w:val="20"/>
          <w:color w:val="auto"/>
        </w:rPr>
        <w:tab/>
      </w:r>
      <w:r>
        <w:rPr>
          <w:rFonts w:ascii="Arial" w:cs="Arial" w:eastAsia="Arial" w:hAnsi="Arial"/>
          <w:sz w:val="16"/>
          <w:szCs w:val="16"/>
          <w:color w:val="auto"/>
        </w:rPr>
        <w:t>If the Company shall, at any time or from time to time while any of the Notes are outstanding, distribute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or make other distributions paid entirely in Cash to all or substantially all holders of Common Stock (other than (x) distributions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10.10 below or (y) any dividend or distribution in connection with the Company's liquidation, dissolution or winding up), then the Conversion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so that the same shall equal the rate determined by multiplying the Conversion Rate in effect at the opening of business on the Ex-Date for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dividend or distribution by a fraction:</w:t>
      </w:r>
    </w:p>
    <w:p>
      <w:pPr>
        <w:spacing w:after="0" w:line="219" w:lineRule="exact"/>
        <w:rPr>
          <w:sz w:val="20"/>
          <w:szCs w:val="20"/>
          <w:color w:val="auto"/>
        </w:rPr>
      </w:pPr>
    </w:p>
    <w:p>
      <w:pPr>
        <w:ind w:left="1240" w:hanging="341"/>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per share of Common Stock on the Business Day immediately preceding the Ex-Date for such dividend or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per share of such dividend or distribution.</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Such adjustment shall become effective immediately after the opening of business on the Ex-Date for such distribution or dividend;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amount per share of such dividend or distribution" as set forth above is equal to or greater than "the Current Market Price per share of Common Stock on the Business Day immediately preceding the Ex-Date for such dividend or distribution" as set forth above, in lieu of the foregoing adjustment, adequate provision shall be made so that each Noteholder shall have the right to receive on the date on which the relevant Cash dividend or distribution is distributed to holders of Common Stock, for each $1,000 principal amount of Notes upon conversion, the amount of Cash such Noteholder would have received had such Noteholder owned a number of shares equal to the Conversion Rate on the Record Date for such dividend or distribution. In the event that such distribution or dividend is not so made, the Conversion Rate shall again be adjusted to be the Conversion Rate which would then be in effect if such dividend or distribution had not been declared.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no event shall the Conversion Rate be decreased pursuant to this Section 10.09.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5" w:name="page126"/>
    <w:bookmarkEnd w:id="125"/>
    <w:p>
      <w:pPr>
        <w:ind w:firstLine="351"/>
        <w:spacing w:after="0" w:line="259" w:lineRule="auto"/>
        <w:rPr>
          <w:sz w:val="20"/>
          <w:szCs w:val="20"/>
          <w:color w:val="auto"/>
        </w:rPr>
      </w:pPr>
      <w:r>
        <w:rPr>
          <w:rFonts w:ascii="Arial" w:cs="Arial" w:eastAsia="Arial" w:hAnsi="Arial"/>
          <w:sz w:val="18"/>
          <w:szCs w:val="18"/>
          <w:color w:val="auto"/>
        </w:rPr>
        <w:t>If the Company elects to make a distribution described in this Section 10.09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200" w:lineRule="exact"/>
        <w:rPr>
          <w:sz w:val="20"/>
          <w:szCs w:val="20"/>
          <w:color w:val="auto"/>
        </w:rPr>
      </w:pPr>
    </w:p>
    <w:p>
      <w:pPr>
        <w:spacing w:after="0" w:line="21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Adjustment for Tender Offer.</w:t>
      </w:r>
      <w:r>
        <w:rPr>
          <w:rFonts w:ascii="Arial" w:cs="Arial" w:eastAsia="Arial" w:hAnsi="Arial"/>
          <w:sz w:val="16"/>
          <w:szCs w:val="16"/>
          <w:color w:val="auto"/>
        </w:rPr>
        <w:t xml:space="preserve"> If the Company or any of its Subsidiaries shall, at any time or from time to time, while any of the Notes are outstanding, distribute Cash or other consideration in respect of a tender offer or exchange offer for Common Stock, where such Cash and the value of any such other consideration per share of Common Stock validly tendered or exchanged exceeds the Closing Price of Common Stock on Trading Day immediately following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the tender or exchange offer, then the Conversion Rate shall be increased so that the same shall equal the rate determined by multiplying the Conversion Rate in effect at the opening of business on the Business Day immediately following the Trading Day immediately following the Expiration Date by a fraction:</w:t>
      </w:r>
    </w:p>
    <w:p>
      <w:pPr>
        <w:spacing w:after="0" w:line="174" w:lineRule="exact"/>
        <w:rPr>
          <w:sz w:val="20"/>
          <w:szCs w:val="20"/>
          <w:color w:val="auto"/>
        </w:rPr>
      </w:pPr>
    </w:p>
    <w:p>
      <w:pPr>
        <w:ind w:left="540" w:right="300" w:firstLine="359"/>
        <w:spacing w:after="0" w:line="298" w:lineRule="auto"/>
        <w:tabs>
          <w:tab w:leader="none" w:pos="122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numerator of which will be the sum of (A) the fair market value, as determined by the Board of Directors, of the aggregate consideration payable for all shares of Common Stock that the Company purchases in such tender or exchange offer and (B) the product of the number of shares of Common Stock outstanding, less the number of shares of Common Stock purchased in the relevant tender offer or exchange offer (the "Purchased Shares"), and the Closing Price of Common Stock on the Trading Day immediately following the Expiration Date; and</w:t>
      </w:r>
    </w:p>
    <w:p>
      <w:pPr>
        <w:spacing w:after="0" w:line="166" w:lineRule="exact"/>
        <w:rPr>
          <w:rFonts w:ascii="Arial" w:cs="Arial" w:eastAsia="Arial" w:hAnsi="Arial"/>
          <w:sz w:val="16"/>
          <w:szCs w:val="16"/>
          <w:color w:val="auto"/>
        </w:rPr>
      </w:pPr>
    </w:p>
    <w:p>
      <w:pPr>
        <w:ind w:left="540" w:right="200" w:firstLine="359"/>
        <w:spacing w:after="0" w:line="268" w:lineRule="auto"/>
        <w:tabs>
          <w:tab w:leader="none" w:pos="12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Common Stock outstanding, including the Purchased Shares, and the Closing Price of Common Stock on the Trading Day immediately following the Expiration Date.</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adjustment, if any, to the Conversion Rate pursuant to this Section 10.10 shall become effective immediately prior to the opening of business on the second Trading Day immediately following the Expiration Date. In the event that the Company or a Subsidiary of the Company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which would then be in effect if such tender offer or exchange offer had not been made. If the application of this Section 10.10 to any tender offer or exchange offer would result in a decrease in the Conversion Rate, no adjustment shall be made for such tender offer or exchange offer under this Section 10.10.</w:t>
      </w:r>
    </w:p>
    <w:p>
      <w:pPr>
        <w:spacing w:after="0" w:line="390" w:lineRule="exact"/>
        <w:rPr>
          <w:sz w:val="20"/>
          <w:szCs w:val="20"/>
          <w:color w:val="auto"/>
        </w:rPr>
      </w:pPr>
    </w:p>
    <w:p>
      <w:pPr>
        <w:ind w:right="220" w:firstLine="351"/>
        <w:spacing w:after="0" w:line="303" w:lineRule="auto"/>
        <w:rPr>
          <w:sz w:val="20"/>
          <w:szCs w:val="20"/>
          <w:color w:val="auto"/>
        </w:rPr>
      </w:pPr>
      <w:r>
        <w:rPr>
          <w:rFonts w:ascii="Arial" w:cs="Arial" w:eastAsia="Arial" w:hAnsi="Arial"/>
          <w:sz w:val="15"/>
          <w:szCs w:val="15"/>
          <w:color w:val="auto"/>
        </w:rPr>
        <w:t xml:space="preserve">Section 10.11. </w:t>
      </w:r>
      <w:r>
        <w:rPr>
          <w:rFonts w:ascii="Arial" w:cs="Arial" w:eastAsia="Arial" w:hAnsi="Arial"/>
          <w:sz w:val="15"/>
          <w:szCs w:val="15"/>
          <w:i w:val="1"/>
          <w:iCs w:val="1"/>
          <w:color w:val="auto"/>
        </w:rPr>
        <w:t>Provisions Governing Adjustment to Conversion Rate.</w:t>
      </w:r>
      <w:r>
        <w:rPr>
          <w:rFonts w:ascii="Arial" w:cs="Arial" w:eastAsia="Arial" w:hAnsi="Arial"/>
          <w:sz w:val="15"/>
          <w:szCs w:val="15"/>
          <w:color w:val="auto"/>
        </w:rPr>
        <w:t xml:space="preserve"> Rights or warrants distributed by the Company to all holders of 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5"/>
          <w:szCs w:val="15"/>
          <w:b w:val="1"/>
          <w:bCs w:val="1"/>
          <w:color w:val="auto"/>
        </w:rPr>
        <w:t>Trigger Event</w:t>
      </w:r>
      <w:r>
        <w:rPr>
          <w:rFonts w:ascii="Arial" w:cs="Arial" w:eastAsia="Arial" w:hAnsi="Arial"/>
          <w:sz w:val="15"/>
          <w:szCs w:val="15"/>
          <w:color w:val="auto"/>
        </w:rPr>
        <w:t>"): (i) are deemed to be transferred with such shares of Common Stock;</w:t>
      </w:r>
    </w:p>
    <w:p>
      <w:pPr>
        <w:spacing w:after="0" w:line="1" w:lineRule="exact"/>
        <w:rPr>
          <w:sz w:val="20"/>
          <w:szCs w:val="20"/>
          <w:color w:val="auto"/>
        </w:rPr>
      </w:pPr>
    </w:p>
    <w:p>
      <w:pPr>
        <w:ind w:right="40" w:firstLine="8"/>
        <w:spacing w:after="0" w:line="252" w:lineRule="auto"/>
        <w:tabs>
          <w:tab w:leader="none" w:pos="2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are not exercisable; and (iii) are also issued in respect of future issuances of Common Stock, shall be deemed not to have been distributed for purposes of Section 10.06, Section 10.07, Section 10.08, Section 10.09 or Section 10.10 (and no adjustment to the Conversion Rate under Section 10.06, Section 10.07, Section 10.08, Section 10.09 or Section 10.10 will be required) until the occurrence of the earliest Trigger Event, whereupon such rights, options and warrants shall be deemed to have been distributed and an appropriate adjustment (if any is required) to the Conversion Rate shall be made under Section 10.08, and, if applicable, Section 10.23.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6" w:name="page127"/>
    <w:bookmarkEnd w:id="126"/>
    <w:p>
      <w:pPr>
        <w:ind w:right="60"/>
        <w:spacing w:after="0" w:line="287" w:lineRule="auto"/>
        <w:rPr>
          <w:sz w:val="20"/>
          <w:szCs w:val="20"/>
          <w:color w:val="auto"/>
        </w:rPr>
      </w:pPr>
      <w:r>
        <w:rPr>
          <w:rFonts w:ascii="Arial" w:cs="Arial" w:eastAsia="Arial" w:hAnsi="Arial"/>
          <w:sz w:val="16"/>
          <w:szCs w:val="16"/>
          <w:color w:val="auto"/>
        </w:rPr>
        <w:t>options or warrants with such rights (and a termination or expiration of the existing rights, options or warrants without exercise by any of the holders thereof), except as set forth in Section 10.23. In addition, except as set forth in Section 10.23,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10.06, Section 10.07, Section 10.08, Section 10.09 or Section 10.10 was made (including any adjustment contemplated in Section 10.23),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87" w:lineRule="exact"/>
        <w:rPr>
          <w:sz w:val="20"/>
          <w:szCs w:val="20"/>
          <w:color w:val="auto"/>
        </w:rPr>
      </w:pPr>
    </w:p>
    <w:p>
      <w:pPr>
        <w:ind w:left="360"/>
        <w:spacing w:after="0"/>
        <w:tabs>
          <w:tab w:leader="none" w:pos="1520" w:val="left"/>
          <w:tab w:leader="none" w:pos="310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8"/>
          <w:szCs w:val="18"/>
          <w:i w:val="1"/>
          <w:iCs w:val="1"/>
          <w:color w:val="auto"/>
        </w:rPr>
        <w:t>Disposition Events.</w:t>
      </w:r>
      <w:r>
        <w:rPr>
          <w:sz w:val="20"/>
          <w:szCs w:val="20"/>
          <w:color w:val="auto"/>
        </w:rPr>
        <w:tab/>
      </w:r>
      <w:r>
        <w:rPr>
          <w:rFonts w:ascii="Arial" w:cs="Arial" w:eastAsia="Arial" w:hAnsi="Arial"/>
          <w:sz w:val="16"/>
          <w:szCs w:val="16"/>
          <w:color w:val="auto"/>
        </w:rPr>
        <w:t>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31" w:lineRule="exact"/>
        <w:rPr>
          <w:sz w:val="20"/>
          <w:szCs w:val="20"/>
          <w:color w:val="auto"/>
        </w:rPr>
      </w:pPr>
    </w:p>
    <w:p>
      <w:pPr>
        <w:ind w:left="540" w:right="120" w:firstLine="359"/>
        <w:spacing w:after="0" w:line="268" w:lineRule="auto"/>
        <w:tabs>
          <w:tab w:leader="none" w:pos="12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each case, in which holders of outstanding Common Stock would be entitled to receive Cash, securities or other property for their shares of Common Stock, if a Holder converts its Notes on or after the effective date of any such event, subject to the right of the Company to settle all or a portion of the Conversion Obligation with respect to such Notes in Cash (other than solely Cash in lieu of any fractional shares), and the right of the Company to irrevocably elect Net Share Settlement, Notes will be convertible into, in lieu of the shares of Common Stock otherwise deliverable, the same type (in the same proportions) of consideration received by holders of Common Stock in the relevant event (collectively, "</w:t>
      </w:r>
      <w:r>
        <w:rPr>
          <w:rFonts w:ascii="Arial" w:cs="Arial" w:eastAsia="Arial" w:hAnsi="Arial"/>
          <w:sz w:val="16"/>
          <w:szCs w:val="16"/>
          <w:b w:val="1"/>
          <w:bCs w:val="1"/>
          <w:color w:val="auto"/>
        </w:rPr>
        <w:t>Reference Property</w:t>
      </w:r>
      <w:r>
        <w:rPr>
          <w:rFonts w:ascii="Arial" w:cs="Arial" w:eastAsia="Arial" w:hAnsi="Arial"/>
          <w:sz w:val="16"/>
          <w:szCs w:val="16"/>
          <w:color w:val="auto"/>
        </w:rPr>
        <w:t>").</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Company elects to settle all or any portion of the Conversion Obligation in Cash (other than solely Cash in lieu of any fractional shares) or if the Company irrevocably elects Net Share Settlement, Holders shall receive in connection with any conversion (1) Cash in an amount equal to the portion of the Conversion Obligation that Company has elected to settle with Cash (which shall be at least equal to the lesser of (x) the aggregate principal amount of Notes to be converted and (y) the relevant Conversion Value, if the Company has irrevocably elected Net Share Settlement); and (2) in lieu of the shares of Common Stock otherwise deliverable, if any, Reference Property. If the Company elects to settle any conversion in whole or in part by delivering Cash in respect the Conversion Obligation (other than solely Cash in lieu of any fractional shares) or if the Company irrevocably elects Net Share Settlement, the amount of Cash and any Reference Property that the Holders will receive will be based on the Daily Share Amounts of Reference Property and the Applicable Conversion Rate as set forth in Section 10.02.</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the Disposition Event provides the holders of Common Stock with the right to receive more than a single type of consideration determined based in part upon any form of stockholder election, the Reference Property shall be comprised of the weighted average of the types and amounts of consideration received by the holders of Common Stock upon the occurrence of such event.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ind w:right="20" w:firstLine="351"/>
        <w:spacing w:after="0" w:line="288" w:lineRule="auto"/>
        <w:rPr>
          <w:sz w:val="20"/>
          <w:szCs w:val="20"/>
          <w:color w:val="auto"/>
        </w:rPr>
      </w:pPr>
      <w:r>
        <w:rPr>
          <w:rFonts w:ascii="Arial" w:cs="Arial" w:eastAsia="Arial" w:hAnsi="Arial"/>
          <w:sz w:val="16"/>
          <w:szCs w:val="16"/>
          <w:color w:val="auto"/>
        </w:rPr>
        <w:t>Upon the occurrence of a Disposition Event, the Company or the successor or purchasing Person, as the case may be, shall execute with the Trustee a supplemental indenture (which shall comply with the Trust Indenture Act as in force at the date of execution of such supplemental indenture if such supplemental indenture is then required to so comply) permitted under Section 9.02(b) providing for the conversion and settlement of the Notes as set forth in this Indenture. Such supplemental indenture shall provide for adjustments that shall be as nearly equivalent as may be practicable to the adjustments provided for in this Article 10. 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event the Company shall execute a supplemental indenture pursuant to this Section 10.12,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Noteholders. The Company shall cause notice of the execution of such supplemental indenture to be mailed to each Noteholder, at its address appearing on the Register provided for in this Indenture, within twenty days after execution thereof. Failure to deliver such notice shall not affect the legality or validity of such supplemental indenture.</w:t>
      </w:r>
    </w:p>
    <w:p>
      <w:pPr>
        <w:spacing w:after="0" w:line="39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Adjustment to Conversion Rate Upon a Make-Whole Change in Control; Discretionary Adjustment.</w:t>
      </w:r>
      <w:r>
        <w:rPr>
          <w:rFonts w:ascii="Arial" w:cs="Arial" w:eastAsia="Arial" w:hAnsi="Arial"/>
          <w:sz w:val="16"/>
          <w:szCs w:val="16"/>
          <w:color w:val="auto"/>
        </w:rPr>
        <w:t xml:space="preserve"> (a) If, after the date hereof, a Change in Control (determined after giving effect to any exceptions or exclusions to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(ii) of the definition thereof, a "</w:t>
      </w:r>
      <w:r>
        <w:rPr>
          <w:rFonts w:ascii="Arial" w:cs="Arial" w:eastAsia="Arial" w:hAnsi="Arial"/>
          <w:sz w:val="16"/>
          <w:szCs w:val="16"/>
          <w:b w:val="1"/>
          <w:bCs w:val="1"/>
          <w:color w:val="auto"/>
        </w:rPr>
        <w:t>Make-Whole Change in Control</w:t>
      </w:r>
      <w:r>
        <w:rPr>
          <w:rFonts w:ascii="Arial" w:cs="Arial" w:eastAsia="Arial" w:hAnsi="Arial"/>
          <w:sz w:val="16"/>
          <w:szCs w:val="16"/>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6"/>
          <w:szCs w:val="16"/>
          <w:b w:val="1"/>
          <w:bCs w:val="1"/>
          <w:color w:val="auto"/>
        </w:rPr>
        <w:t>Make-Whole Shares</w:t>
      </w:r>
      <w:r>
        <w:rPr>
          <w:rFonts w:ascii="Arial" w:cs="Arial" w:eastAsia="Arial" w:hAnsi="Arial"/>
          <w:sz w:val="16"/>
          <w:szCs w:val="16"/>
          <w:color w:val="auto"/>
        </w:rPr>
        <w:t xml:space="preserve">"), as described in this Section 10.13.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(ii) of the definition thereof, the 35th Trading Day immediately following the Effective Date of such Make-Whole Change in Control). Upon surrender of Notes for conversion in connection with a Make-Whole Change in Control, the Company will have the right to deliver, in lieu of shares of Common Stock, including the Make-Whole Shares, Cash or a combination of Cash and shares of Common Stock as described in Section 10.02.</w:t>
      </w:r>
    </w:p>
    <w:p>
      <w:pPr>
        <w:spacing w:after="0" w:line="18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mail to the Trustee and to all Holders at their addresses shown in the Register of the Registrar, and to beneficial owners as required by applicable law, notice indicating that a Make-Whole Change in Control has occurred.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28" w:name="page129"/>
    <w:bookmarkEnd w:id="128"/>
    <w:p>
      <w:pPr>
        <w:ind w:right="40" w:firstLine="359"/>
        <w:spacing w:after="0" w:line="294" w:lineRule="auto"/>
        <w:tabs>
          <w:tab w:leader="none" w:pos="6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date which such Make-Whole Change in Control transaction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80" w:firstLine="359"/>
        <w:spacing w:after="0" w:line="255" w:lineRule="auto"/>
        <w:tabs>
          <w:tab w:leader="none" w:pos="6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Stock Prices set forth in the first column of the table below will be adjusted as of any date on which the Applicable Conversion Rate is adjusted. The adjusted Stock Prices will equal the Stock Prices immediately prior to such adjustment, multiplied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10.06 through Section 10.10.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05"/>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24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May [•],</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June 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June 1,</w:t>
            </w: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840" w:type="dxa"/>
            <w:vAlign w:val="bottom"/>
          </w:tcPr>
          <w:p>
            <w:pPr>
              <w:jc w:val="right"/>
              <w:ind w:right="712"/>
              <w:spacing w:after="0"/>
              <w:rPr>
                <w:sz w:val="20"/>
                <w:szCs w:val="20"/>
                <w:color w:val="auto"/>
              </w:rPr>
            </w:pPr>
            <w:r>
              <w:rPr>
                <w:rFonts w:ascii="Arial" w:cs="Arial" w:eastAsia="Arial" w:hAnsi="Arial"/>
                <w:sz w:val="14"/>
                <w:szCs w:val="14"/>
                <w:b w:val="1"/>
                <w:bCs w:val="1"/>
                <w:color w:val="auto"/>
              </w:rPr>
              <w:t>2007</w:t>
            </w:r>
          </w:p>
        </w:tc>
        <w:tc>
          <w:tcPr>
            <w:tcW w:w="11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10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9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2014</w:t>
            </w:r>
          </w:p>
        </w:tc>
      </w:tr>
      <w:tr>
        <w:trPr>
          <w:trHeight w:val="105"/>
        </w:trPr>
        <w:tc>
          <w:tcPr>
            <w:tcW w:w="2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-357505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-14605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firstLine="359"/>
        <w:spacing w:after="0" w:line="284" w:lineRule="auto"/>
        <w:tabs>
          <w:tab w:leader="none" w:pos="68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w:t>
      </w:r>
    </w:p>
    <w:p>
      <w:pPr>
        <w:spacing w:after="0" w:line="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based on a 365-day year, (ii) if the Stock Price is in excess of $[ • ] per share of Common Stock (subject to adjustment as set forth in Section 10.13(c)), no Make-Whole Shares will be issued upon conversion of the Notes; and (iii) if the Stock Price is less than $[ • ] per share of Common Stock (subject to adjustment as set forth in Section 10.13(c)), no Make-Whole Shares will be issued upon conversion of the Notes.</w:t>
      </w:r>
    </w:p>
    <w:p>
      <w:pPr>
        <w:spacing w:after="0" w:line="163" w:lineRule="exact"/>
        <w:rPr>
          <w:sz w:val="20"/>
          <w:szCs w:val="20"/>
          <w:color w:val="auto"/>
        </w:rPr>
      </w:pPr>
    </w:p>
    <w:p>
      <w:pPr>
        <w:jc w:val="both"/>
        <w:ind w:right="320" w:firstLine="359"/>
        <w:spacing w:after="0" w:line="306" w:lineRule="auto"/>
        <w:tabs>
          <w:tab w:leader="none" w:pos="6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may make such increases in the Conversion Rate, in addition to those required by Section 10.06, 10.07, 10.08, 10.09 and 10.10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60" w:lineRule="exact"/>
        <w:rPr>
          <w:rFonts w:ascii="Arial" w:cs="Arial" w:eastAsia="Arial" w:hAnsi="Arial"/>
          <w:sz w:val="16"/>
          <w:szCs w:val="16"/>
          <w:color w:val="auto"/>
        </w:rPr>
      </w:pPr>
    </w:p>
    <w:p>
      <w:pPr>
        <w:ind w:right="100" w:firstLine="359"/>
        <w:spacing w:after="0" w:line="256" w:lineRule="auto"/>
        <w:tabs>
          <w:tab w:leader="none" w:pos="6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permitted by applicable law, the Company from time to time may increase the Conversion Rate by any amount for any period of time if the period is at least twenty (20)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ind w:right="20"/>
        <w:spacing w:after="0" w:line="268" w:lineRule="auto"/>
        <w:rPr>
          <w:sz w:val="20"/>
          <w:szCs w:val="20"/>
          <w:color w:val="auto"/>
        </w:rPr>
      </w:pPr>
      <w:r>
        <w:rPr>
          <w:rFonts w:ascii="Arial" w:cs="Arial" w:eastAsia="Arial" w:hAnsi="Arial"/>
          <w:sz w:val="18"/>
          <w:szCs w:val="18"/>
          <w:color w:val="auto"/>
        </w:rPr>
        <w:t>Company shall mail to holders of record of the Notes a notice of the increase at least fifteen (15) days prior to the date the increased Conversion Rate takes effect, and such notice shall state the increased Conversion Rate and the period during which it will be in effect.</w:t>
      </w:r>
    </w:p>
    <w:p>
      <w:pPr>
        <w:spacing w:after="0" w:line="200" w:lineRule="exact"/>
        <w:rPr>
          <w:sz w:val="20"/>
          <w:szCs w:val="20"/>
          <w:color w:val="auto"/>
        </w:rPr>
      </w:pPr>
    </w:p>
    <w:p>
      <w:pPr>
        <w:spacing w:after="0" w:line="20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When Adjustment May Be Deferred.</w:t>
      </w:r>
      <w:r>
        <w:rPr>
          <w:rFonts w:ascii="Arial" w:cs="Arial" w:eastAsia="Arial" w:hAnsi="Arial"/>
          <w:sz w:val="18"/>
          <w:szCs w:val="18"/>
          <w:color w:val="auto"/>
        </w:rPr>
        <w:t xml:space="preserve"> No adjustment in the Conversion Rate need be made unless the adjustment would require an 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upon required repurchases of the Notes pursuant to Section 3.01, and on each day from and after the 24th Scheduled Trading Day prior to the Maturity Date.</w:t>
      </w:r>
    </w:p>
    <w:p>
      <w:pPr>
        <w:spacing w:after="0" w:line="200" w:lineRule="exact"/>
        <w:rPr>
          <w:sz w:val="20"/>
          <w:szCs w:val="20"/>
          <w:color w:val="auto"/>
        </w:rPr>
      </w:pPr>
    </w:p>
    <w:p>
      <w:pPr>
        <w:spacing w:after="0" w:line="213"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When No Adjustment Required.</w:t>
      </w:r>
      <w:r>
        <w:rPr>
          <w:rFonts w:ascii="Arial" w:cs="Arial" w:eastAsia="Arial" w:hAnsi="Arial"/>
          <w:sz w:val="16"/>
          <w:szCs w:val="16"/>
          <w:color w:val="auto"/>
        </w:rPr>
        <w:t xml:space="preserve"> (a) No adjustment need be made for a transaction referred to in Section 10.06, 10.07, 10.08, 10.09 or 10.10 if Noteholders 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Noteholders, at such time, held a number of shares of Common Stock equal to the Applicable Conversion Rate,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principal amount (expressed in thousands) of Notes held by such Noteholder, without having to convert their Notes.</w:t>
      </w:r>
    </w:p>
    <w:p>
      <w:pPr>
        <w:spacing w:after="0" w:line="170" w:lineRule="exact"/>
        <w:rPr>
          <w:sz w:val="20"/>
          <w:szCs w:val="20"/>
          <w:color w:val="auto"/>
        </w:rPr>
      </w:pPr>
    </w:p>
    <w:p>
      <w:pPr>
        <w:ind w:right="180" w:firstLine="359"/>
        <w:spacing w:after="0" w:line="268" w:lineRule="auto"/>
        <w:tabs>
          <w:tab w:leader="none" w:pos="68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 interest.</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60" w:firstLine="359"/>
        <w:spacing w:after="0" w:line="268" w:lineRule="auto"/>
        <w:tabs>
          <w:tab w:leader="none" w:pos="6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into Cash, no adjustment need be made thereafter as to the Cash. Interest will not accrue on the Cash.</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(f) Notwithstanding anything in this Article 10 to the contrary, the Applicable Conversion Rate shall not exceed [ • ] per $1,000 principal amount of Notes, other than on account of adjustments to the Conversion Rate in the manner set forth in Sections 10.06, 10.07, 10.08, 10.09 and 10.10.</w:t>
      </w:r>
    </w:p>
    <w:p>
      <w:pPr>
        <w:spacing w:after="0" w:line="35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Notice of Adjustment.</w:t>
      </w:r>
      <w:r>
        <w:rPr>
          <w:rFonts w:ascii="Arial" w:cs="Arial" w:eastAsia="Arial" w:hAnsi="Arial"/>
          <w:sz w:val="18"/>
          <w:szCs w:val="18"/>
          <w:color w:val="auto"/>
        </w:rPr>
        <w:t xml:space="preserve"> Whenever the Conversion Rate is adjusted, the Company shall promptly mail to Noteholders a notice of 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Notice of Certain Transactions.</w:t>
      </w:r>
      <w:r>
        <w:rPr>
          <w:rFonts w:ascii="Arial" w:cs="Arial" w:eastAsia="Arial" w:hAnsi="Arial"/>
          <w:sz w:val="16"/>
          <w:szCs w:val="16"/>
          <w:color w:val="auto"/>
        </w:rPr>
        <w:t xml:space="preserve"> If (a) the Company takes any action that would require an adjustment in the Conversion Rate pursuant to Section 10.06, 10.07, 10.08, 10.09 or 10.10 (unless no adjustment is to occur pursuant to Section 10.14 or Section 10.15), (b) the Company takes any action that would require a supplemental indenture pursuant to Section 10.12, or (c) there is a liquidation or dissolution of the Company, then the Company shall mail to Noteholders and file with the Trustee and the Conversion Agent a notice stating the proposed Ex-Date for a dividend or distribution or the proposed effective date of a subdivision, combination, reclassification, consolidation, merger, combination, sale or conveyance. The Company shall file and mail the notice at least 15 days before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elects to make a distribution described in Section 10.07,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0" w:name="page131"/>
    <w:bookmarkEnd w:id="130"/>
    <w:p>
      <w:pPr>
        <w:ind w:right="80"/>
        <w:spacing w:after="0" w:line="306" w:lineRule="auto"/>
        <w:rPr>
          <w:sz w:val="20"/>
          <w:szCs w:val="20"/>
          <w:color w:val="auto"/>
        </w:rPr>
      </w:pPr>
      <w:r>
        <w:rPr>
          <w:rFonts w:ascii="Arial" w:cs="Arial" w:eastAsia="Arial" w:hAnsi="Arial"/>
          <w:sz w:val="16"/>
          <w:szCs w:val="16"/>
          <w:color w:val="auto"/>
        </w:rPr>
        <w:t>Section 10.08, or Section 10.09, and in the case of Section 10.08 or Section 10.09, that has a per share value equal to more than 15% of the Closing Price per share of Common Stock on the day preceding the declaration date for such distribution, the Company shall give notice to Holders at least 35 Business Days prior to the Ex-Date for such distribution. Failure to file or mail the notice or any defect in it shall not affect the validity of the transaction.</w:t>
      </w:r>
    </w:p>
    <w:p>
      <w:pPr>
        <w:spacing w:after="0" w:line="37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Right of Holders to Convert.</w:t>
      </w:r>
      <w:r>
        <w:rPr>
          <w:rFonts w:ascii="Arial" w:cs="Arial" w:eastAsia="Arial" w:hAnsi="Arial"/>
          <w:sz w:val="18"/>
          <w:szCs w:val="18"/>
          <w:color w:val="auto"/>
        </w:rPr>
        <w:t xml:space="preserve"> Notwithstanding any other provision in this Indenture, the Holder of any Note shall have the right to convert its Note in accordance with this Article 10 and to bring an action for the enforcement of any such right to convert, and such rights shall not be impaired or affected without the consent of such Holder.</w:t>
      </w:r>
    </w:p>
    <w:p>
      <w:pPr>
        <w:spacing w:after="0" w:line="200" w:lineRule="exact"/>
        <w:rPr>
          <w:sz w:val="20"/>
          <w:szCs w:val="20"/>
          <w:color w:val="auto"/>
        </w:rPr>
      </w:pPr>
    </w:p>
    <w:p>
      <w:pPr>
        <w:spacing w:after="0" w:line="2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10.19. </w:t>
      </w:r>
      <w:r>
        <w:rPr>
          <w:rFonts w:ascii="Arial" w:cs="Arial" w:eastAsia="Arial" w:hAnsi="Arial"/>
          <w:sz w:val="16"/>
          <w:szCs w:val="16"/>
          <w:i w:val="1"/>
          <w:iCs w:val="1"/>
          <w:color w:val="auto"/>
        </w:rPr>
        <w:t>Company Determination Final.</w:t>
      </w:r>
      <w:r>
        <w:rPr>
          <w:rFonts w:ascii="Arial" w:cs="Arial" w:eastAsia="Arial" w:hAnsi="Arial"/>
          <w:sz w:val="16"/>
          <w:szCs w:val="16"/>
          <w:color w:val="auto"/>
        </w:rPr>
        <w:t xml:space="preserve"> The Company shall be responsible for making all calculations called for hereunder and under the Notes. These calculations include, but are not limited to, Conversion Value, the Conversion Date, the Volume Weighted Average Price, the Cash Settlement Averaging Period, the Closing Price, the Conversion Price, the Applicable Conversion Rate and the number of shares of Common Stock, if any, to be issued upon conversion of the Notes. The Company shall make all these calculations using commercially reasonable means and, absent manifest error, the Company's calculations will be final and binding on Noteholders. The Company shall provide a schedule of the Company's calculations to the Trustee, and the Trustee is entitled to rely upon the accuracy of the Company's calculations without independent verification.</w:t>
      </w:r>
    </w:p>
    <w:p>
      <w:pPr>
        <w:spacing w:after="0" w:line="39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i w:val="1"/>
          <w:iCs w:val="1"/>
          <w:color w:val="auto"/>
        </w:rPr>
        <w:t>Trustee's Adjustment Disclaimer.</w:t>
      </w:r>
      <w:r>
        <w:rPr>
          <w:rFonts w:ascii="Arial" w:cs="Arial" w:eastAsia="Arial" w:hAnsi="Arial"/>
          <w:sz w:val="16"/>
          <w:szCs w:val="16"/>
          <w:color w:val="auto"/>
        </w:rPr>
        <w:t xml:space="preserve"> The Trustee has no duty to determine when an adjustment under this Article 10 should be made, 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10.20 as the Trustee.</w:t>
      </w:r>
    </w:p>
    <w:p>
      <w:pPr>
        <w:spacing w:after="0" w:line="3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10.21. </w:t>
      </w:r>
      <w:r>
        <w:rPr>
          <w:rFonts w:ascii="Arial" w:cs="Arial" w:eastAsia="Arial" w:hAnsi="Arial"/>
          <w:sz w:val="16"/>
          <w:szCs w:val="16"/>
          <w:i w:val="1"/>
          <w:iCs w:val="1"/>
          <w:color w:val="auto"/>
        </w:rPr>
        <w:t>Simultaneous Adjustments.</w:t>
      </w:r>
      <w:r>
        <w:rPr>
          <w:rFonts w:ascii="Arial" w:cs="Arial" w:eastAsia="Arial" w:hAnsi="Arial"/>
          <w:sz w:val="16"/>
          <w:szCs w:val="16"/>
          <w:color w:val="auto"/>
        </w:rPr>
        <w:t xml:space="preserve"> For purposes of Section 10.08, Section 10.06 and Section 10.07, any dividend or distribution to which Section 10.08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10.08 with respect to such dividend or distribution shall then be made) immediately followed by (2) a dividend or distribution of such shares of Common Stock or such rights (and any further Conversion Rate adjustment required by Section 10.06 and Section 10.07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10.06.</w:t>
      </w:r>
    </w:p>
    <w:p>
      <w:pPr>
        <w:spacing w:after="0" w:line="38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Successive Adjustments.</w:t>
      </w:r>
      <w:r>
        <w:rPr>
          <w:rFonts w:ascii="Arial" w:cs="Arial" w:eastAsia="Arial" w:hAnsi="Arial"/>
          <w:sz w:val="18"/>
          <w:szCs w:val="18"/>
          <w:color w:val="auto"/>
        </w:rPr>
        <w:t xml:space="preserve"> After an adjustment to the Conversion Rate under this Article 10, any subsequent event requiring an adjustment under this Article 10 shall cause an adjustment to the Conversion Rate as so adjusted.</w:t>
      </w:r>
    </w:p>
    <w:p>
      <w:pPr>
        <w:spacing w:after="0" w:line="200" w:lineRule="exact"/>
        <w:rPr>
          <w:sz w:val="20"/>
          <w:szCs w:val="20"/>
          <w:color w:val="auto"/>
        </w:rPr>
      </w:pPr>
    </w:p>
    <w:p>
      <w:pPr>
        <w:spacing w:after="0" w:line="20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Section 10.23. </w:t>
      </w:r>
      <w:r>
        <w:rPr>
          <w:rFonts w:ascii="Arial" w:cs="Arial" w:eastAsia="Arial" w:hAnsi="Arial"/>
          <w:sz w:val="18"/>
          <w:szCs w:val="18"/>
          <w:i w:val="1"/>
          <w:iCs w:val="1"/>
          <w:color w:val="auto"/>
        </w:rPr>
        <w:t>Rights Issued in Respect of Common Stock Issued Upon Conversion.</w:t>
      </w:r>
      <w:r>
        <w:rPr>
          <w:rFonts w:ascii="Arial" w:cs="Arial" w:eastAsia="Arial" w:hAnsi="Arial"/>
          <w:sz w:val="18"/>
          <w:szCs w:val="18"/>
          <w:color w:val="auto"/>
        </w:rPr>
        <w:t xml:space="preserve"> Each share of Common Stock issued upon conversion of Notes pursuant to this Article 10 shall be entitled to receive the appropriate number of rights ("</w:t>
      </w:r>
      <w:r>
        <w:rPr>
          <w:rFonts w:ascii="Arial" w:cs="Arial" w:eastAsia="Arial" w:hAnsi="Arial"/>
          <w:sz w:val="18"/>
          <w:szCs w:val="18"/>
          <w:b w:val="1"/>
          <w:bCs w:val="1"/>
          <w:color w:val="auto"/>
        </w:rPr>
        <w:t>Rights</w:t>
      </w:r>
      <w:r>
        <w:rPr>
          <w:rFonts w:ascii="Arial" w:cs="Arial" w:eastAsia="Arial" w:hAnsi="Arial"/>
          <w:sz w:val="18"/>
          <w:szCs w:val="18"/>
          <w:color w:val="auto"/>
        </w:rPr>
        <w:t>"), if any, and the certificates representing Common Stock issued upon such conversion shall bear such legends, if any, in each case as may be provided by the terms of any rights plan (i.e., a poison pill) adopted by the Company, as the same may be amended form time to time, is in effect, (in each case, a "</w:t>
      </w:r>
      <w:r>
        <w:rPr>
          <w:rFonts w:ascii="Arial" w:cs="Arial" w:eastAsia="Arial" w:hAnsi="Arial"/>
          <w:sz w:val="18"/>
          <w:szCs w:val="18"/>
          <w:b w:val="1"/>
          <w:bCs w:val="1"/>
          <w:color w:val="auto"/>
        </w:rPr>
        <w:t>Shareholders Rights Plan</w:t>
      </w:r>
      <w:r>
        <w:rPr>
          <w:rFonts w:ascii="Arial" w:cs="Arial" w:eastAsia="Arial" w:hAnsi="Arial"/>
          <w:sz w:val="18"/>
          <w:szCs w:val="18"/>
          <w:color w:val="auto"/>
        </w:rPr>
        <w:t>"). Upon conversion of the Notes a Holder will receive, in addition to any Common Stock received in connection with such conversion, the Rights under the Shareholders Rights Plan, unless prior to any conversion, the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ind w:right="20"/>
        <w:spacing w:after="0" w:line="318" w:lineRule="auto"/>
        <w:rPr>
          <w:sz w:val="20"/>
          <w:szCs w:val="20"/>
          <w:color w:val="auto"/>
        </w:rPr>
      </w:pPr>
      <w:r>
        <w:rPr>
          <w:rFonts w:ascii="Arial" w:cs="Arial" w:eastAsia="Arial" w:hAnsi="Arial"/>
          <w:sz w:val="15"/>
          <w:szCs w:val="15"/>
          <w:color w:val="auto"/>
        </w:rPr>
        <w:t>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10.08,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3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Section 10.24. </w:t>
      </w:r>
      <w:r>
        <w:rPr>
          <w:rFonts w:ascii="Arial" w:cs="Arial" w:eastAsia="Arial" w:hAnsi="Arial"/>
          <w:sz w:val="18"/>
          <w:szCs w:val="18"/>
          <w:i w:val="1"/>
          <w:iCs w:val="1"/>
          <w:color w:val="auto"/>
        </w:rPr>
        <w:t>Withholding Taxes for Adjustments in Conversion Rate.</w:t>
      </w:r>
      <w:r>
        <w:rPr>
          <w:rFonts w:ascii="Arial" w:cs="Arial" w:eastAsia="Arial" w:hAnsi="Arial"/>
          <w:sz w:val="18"/>
          <w:szCs w:val="18"/>
          <w:color w:val="auto"/>
        </w:rPr>
        <w:t xml:space="preserve"> The Company may, at its option, set-off withholding taxes due with respect to Notes against payments of Cash and Common Stock on the Notes. In the case of any such set-off against Common Stock delivered upon conversion of the Notes, such Common Stock shall be valued based on the arithmetic average of the Volume Weighted Average Prices for each Trading Day in the relevant Cash Settlement Averaging Period.</w:t>
      </w: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5"/>
          <w:szCs w:val="15"/>
          <w:i w:val="1"/>
          <w:iCs w:val="1"/>
          <w:color w:val="auto"/>
        </w:rPr>
        <w:t>Right to Redeem; Notices to Trustee.</w:t>
      </w:r>
    </w:p>
    <w:p>
      <w:pPr>
        <w:spacing w:after="0" w:line="225" w:lineRule="exact"/>
        <w:rPr>
          <w:sz w:val="20"/>
          <w:szCs w:val="20"/>
          <w:color w:val="auto"/>
        </w:rPr>
      </w:pPr>
    </w:p>
    <w:p>
      <w:pPr>
        <w:jc w:val="both"/>
        <w:ind w:right="80" w:firstLine="359"/>
        <w:spacing w:after="0" w:line="256" w:lineRule="auto"/>
        <w:tabs>
          <w:tab w:leader="none" w:pos="6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Notes are not redeemable by the Company prior to June 6, 2011. On or after June 6, 2011, the Notes may be redeemed in whole or in part at the option of the Company if the Closing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w:t>
      </w:r>
    </w:p>
    <w:p>
      <w:pPr>
        <w:spacing w:after="0" w:line="191" w:lineRule="exact"/>
        <w:rPr>
          <w:rFonts w:ascii="Arial" w:cs="Arial" w:eastAsia="Arial" w:hAnsi="Arial"/>
          <w:sz w:val="18"/>
          <w:szCs w:val="18"/>
          <w:color w:val="auto"/>
        </w:rPr>
      </w:pPr>
    </w:p>
    <w:p>
      <w:pPr>
        <w:jc w:val="both"/>
        <w:ind w:right="20" w:firstLine="359"/>
        <w:spacing w:after="0" w:line="258" w:lineRule="auto"/>
        <w:tabs>
          <w:tab w:leader="none" w:pos="6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redemption price at which the Notes are redeemable (the "</w:t>
      </w:r>
      <w:r>
        <w:rPr>
          <w:rFonts w:ascii="Arial" w:cs="Arial" w:eastAsia="Arial" w:hAnsi="Arial"/>
          <w:sz w:val="18"/>
          <w:szCs w:val="18"/>
          <w:b w:val="1"/>
          <w:bCs w:val="1"/>
          <w:color w:val="auto"/>
        </w:rPr>
        <w:t>Redemption Price</w:t>
      </w:r>
      <w:r>
        <w:rPr>
          <w:rFonts w:ascii="Arial" w:cs="Arial" w:eastAsia="Arial" w:hAnsi="Arial"/>
          <w:sz w:val="18"/>
          <w:szCs w:val="18"/>
          <w:color w:val="auto"/>
        </w:rPr>
        <w:t xml:space="preserve">") shall be payable in Cash and shall be equal to 100% of the principal of Notes to be redeemed, together with accrued and unpaid interest to, but excluding, the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Notes are redeemed on any Interest Payment Date, the interest payable in respect of such Interest Payment Date shall be payable to the Holders of record as of the corresponding Regular Record Date.</w:t>
      </w:r>
    </w:p>
    <w:p>
      <w:pPr>
        <w:spacing w:after="0" w:line="196" w:lineRule="exact"/>
        <w:rPr>
          <w:rFonts w:ascii="Arial" w:cs="Arial" w:eastAsia="Arial" w:hAnsi="Arial"/>
          <w:sz w:val="18"/>
          <w:szCs w:val="18"/>
          <w:color w:val="auto"/>
        </w:rPr>
      </w:pPr>
    </w:p>
    <w:p>
      <w:pPr>
        <w:jc w:val="both"/>
        <w:ind w:right="180" w:firstLine="359"/>
        <w:spacing w:after="0" w:line="306" w:lineRule="auto"/>
        <w:tabs>
          <w:tab w:leader="none" w:pos="67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may not redeem any Notes unless all accrued and unpaid Interest thereon has been or is simultaneously paid for all semi-annual periods or portions thereof terminating prior to the Redemption Date. In addition, the Company may not redeem any Notes or deliver to any Holder of Notes a notice of redemption pursuant to Section 11.03 at any time when there exists any accrued and unpaid Defaulted Interest.</w:t>
      </w:r>
    </w:p>
    <w:p>
      <w:pPr>
        <w:spacing w:after="0" w:line="3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Selection of Notes to be Redeemed.</w:t>
      </w:r>
      <w:r>
        <w:rPr>
          <w:rFonts w:ascii="Arial" w:cs="Arial" w:eastAsia="Arial" w:hAnsi="Arial"/>
          <w:sz w:val="16"/>
          <w:szCs w:val="16"/>
          <w:color w:val="auto"/>
        </w:rPr>
        <w:t xml:space="preserve"> If less than all the Notes are to be redeemed, the Trustee shall select the Notes to be redeemed pro rata or by lot or by any other method the Trustee considers fair and appropriate (so long as such method is not prohibited by the rules of The New York Stock Exchange or any other stock exchange on which the Notes are then listed, as applicable). The Trustee shall make the selection within 7 days from its receipt of the notice from the Company delivered pursuant to Section 11.03 from outstanding Notes not previously called for redemption.</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converted during a selection of Notes to be redeemed may be treated by the Trustee as outstanding for the purpose of such selection.</w:t>
      </w:r>
    </w:p>
    <w:p>
      <w:pPr>
        <w:spacing w:after="0" w:line="200" w:lineRule="exact"/>
        <w:rPr>
          <w:sz w:val="20"/>
          <w:szCs w:val="20"/>
          <w:color w:val="auto"/>
        </w:rPr>
      </w:pPr>
    </w:p>
    <w:p>
      <w:pPr>
        <w:spacing w:after="0" w:line="24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Notice of Redemption.</w:t>
      </w:r>
      <w:r>
        <w:rPr>
          <w:rFonts w:ascii="Arial" w:cs="Arial" w:eastAsia="Arial" w:hAnsi="Arial"/>
          <w:sz w:val="16"/>
          <w:szCs w:val="16"/>
          <w:color w:val="auto"/>
        </w:rPr>
        <w:t xml:space="preserve"> At least 30 days but not more than 60 days before a Redemption Date, the Company shall mail a notice of redemption by first-class mail, postage prepaid, to the Trustee, the Paying Agent and each Holder of Notes to be redeemed;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Company may not deliver any such notice to any Holder of Notes at any time when there exists any accrued and unpaid Defaulted Interest.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1240" w:hanging="253"/>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left="540" w:right="420" w:firstLine="403"/>
        <w:spacing w:after="0" w:line="268" w:lineRule="auto"/>
        <w:tabs>
          <w:tab w:leader="none" w:pos="12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200" w:lineRule="exact"/>
        <w:rPr>
          <w:sz w:val="20"/>
          <w:szCs w:val="20"/>
          <w:color w:val="auto"/>
        </w:rPr>
      </w:pPr>
    </w:p>
    <w:p>
      <w:pPr>
        <w:spacing w:after="0" w:line="210" w:lineRule="exact"/>
        <w:rPr>
          <w:sz w:val="20"/>
          <w:szCs w:val="20"/>
          <w:color w:val="auto"/>
        </w:rPr>
      </w:pPr>
    </w:p>
    <w:p>
      <w:pPr>
        <w:ind w:right="520" w:firstLine="351"/>
        <w:spacing w:after="0" w:line="306"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Effect of Notice of Redemption.</w:t>
      </w:r>
      <w:r>
        <w:rPr>
          <w:rFonts w:ascii="Arial" w:cs="Arial" w:eastAsia="Arial" w:hAnsi="Arial"/>
          <w:sz w:val="16"/>
          <w:szCs w:val="16"/>
          <w:color w:val="auto"/>
        </w:rPr>
        <w:t xml:space="preserve"> Once notice of redemption is given, Notes called for redemption become due and payable on the 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3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Deposit of Redemption Price.</w:t>
      </w:r>
      <w:r>
        <w:rPr>
          <w:rFonts w:ascii="Arial" w:cs="Arial" w:eastAsia="Arial" w:hAnsi="Arial"/>
          <w:sz w:val="16"/>
          <w:szCs w:val="16"/>
          <w:color w:val="auto"/>
        </w:rPr>
        <w:t xml:space="preserve"> Prior to 12:00 p.m. (New York City time) on or prior to the Redemption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200" w:lineRule="exact"/>
        <w:rPr>
          <w:sz w:val="20"/>
          <w:szCs w:val="20"/>
          <w:color w:val="auto"/>
        </w:rPr>
      </w:pPr>
    </w:p>
    <w:p>
      <w:pPr>
        <w:spacing w:after="0" w:line="213"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Notes Redeemed in Part.</w:t>
      </w:r>
      <w:r>
        <w:rPr>
          <w:rFonts w:ascii="Arial" w:cs="Arial" w:eastAsia="Arial" w:hAnsi="Arial"/>
          <w:sz w:val="16"/>
          <w:szCs w:val="16"/>
          <w:color w:val="auto"/>
        </w:rPr>
        <w:t xml:space="preserve"> Any Note which is to be redeemed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Interest Payments.</w:t>
      </w:r>
      <w:r>
        <w:rPr>
          <w:rFonts w:ascii="Arial" w:cs="Arial" w:eastAsia="Arial" w:hAnsi="Arial"/>
          <w:sz w:val="18"/>
          <w:szCs w:val="18"/>
          <w:color w:val="auto"/>
        </w:rPr>
        <w:t xml:space="preserve"> Interest on any Note that is payable, and is punctually paid or duly provided 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200" w:lineRule="exact"/>
        <w:rPr>
          <w:sz w:val="20"/>
          <w:szCs w:val="20"/>
          <w:color w:val="auto"/>
        </w:rPr>
      </w:pPr>
    </w:p>
    <w:p>
      <w:pPr>
        <w:spacing w:after="0" w:line="215"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Defaulted Interest.</w:t>
      </w:r>
      <w:r>
        <w:rPr>
          <w:rFonts w:ascii="Arial" w:cs="Arial" w:eastAsia="Arial" w:hAnsi="Arial"/>
          <w:sz w:val="15"/>
          <w:szCs w:val="15"/>
          <w:color w:val="auto"/>
        </w:rPr>
        <w:t xml:space="preserve"> Any interest on any Note that is payable, but is not punctually paid or duly provided for, within 30 days following any applicable payment date (herein called "</w:t>
      </w:r>
      <w:r>
        <w:rPr>
          <w:rFonts w:ascii="Arial" w:cs="Arial" w:eastAsia="Arial" w:hAnsi="Arial"/>
          <w:sz w:val="15"/>
          <w:szCs w:val="15"/>
          <w:b w:val="1"/>
          <w:bCs w:val="1"/>
          <w:color w:val="auto"/>
        </w:rPr>
        <w:t>Defaulted Interest</w:t>
      </w:r>
      <w:r>
        <w:rPr>
          <w:rFonts w:ascii="Arial" w:cs="Arial" w:eastAsia="Arial" w:hAnsi="Arial"/>
          <w:sz w:val="15"/>
          <w:szCs w:val="15"/>
          <w:color w:val="auto"/>
        </w:rPr>
        <w:t>", which term shall include any accrued and unpaid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52" w:lineRule="exact"/>
        <w:rPr>
          <w:sz w:val="20"/>
          <w:szCs w:val="20"/>
          <w:color w:val="auto"/>
        </w:rPr>
      </w:pPr>
    </w:p>
    <w:p>
      <w:pPr>
        <w:ind w:firstLine="359"/>
        <w:spacing w:after="0" w:line="306" w:lineRule="auto"/>
        <w:tabs>
          <w:tab w:leader="none" w:pos="67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after the receipt by the Trustee of the notice of the proposed payment (the "</w:t>
      </w:r>
      <w:r>
        <w:rPr>
          <w:rFonts w:ascii="Arial" w:cs="Arial" w:eastAsia="Arial" w:hAnsi="Arial"/>
          <w:sz w:val="15"/>
          <w:szCs w:val="15"/>
          <w:b w:val="1"/>
          <w:bCs w:val="1"/>
          <w:color w:val="auto"/>
        </w:rPr>
        <w:t>Special Record Date</w:t>
      </w:r>
      <w:r>
        <w:rPr>
          <w:rFonts w:ascii="Arial" w:cs="Arial" w:eastAsia="Arial" w:hAnsi="Arial"/>
          <w:sz w:val="15"/>
          <w:szCs w:val="15"/>
          <w:color w:val="auto"/>
        </w:rPr>
        <w: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Notes at his address as it appears on the list of Noteholders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66" w:lineRule="exact"/>
        <w:rPr>
          <w:rFonts w:ascii="Arial" w:cs="Arial" w:eastAsia="Arial" w:hAnsi="Arial"/>
          <w:sz w:val="15"/>
          <w:szCs w:val="15"/>
          <w:color w:val="auto"/>
        </w:rPr>
      </w:pPr>
    </w:p>
    <w:p>
      <w:pPr>
        <w:ind w:right="160" w:firstLine="359"/>
        <w:spacing w:after="0" w:line="306" w:lineRule="auto"/>
        <w:tabs>
          <w:tab w:leader="none" w:pos="68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ind w:firstLine="351"/>
        <w:spacing w:after="0" w:line="259"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Interest Rights Preserved.</w:t>
      </w:r>
      <w:r>
        <w:rPr>
          <w:rFonts w:ascii="Arial" w:cs="Arial" w:eastAsia="Arial" w:hAnsi="Arial"/>
          <w:sz w:val="18"/>
          <w:szCs w:val="18"/>
          <w:color w:val="auto"/>
        </w:rPr>
        <w:t xml:space="preserve"> Subject to the foregoing provisions of this Article 12 and Section 2.06, each Note delivered under this Indenture upon registration of transfer of or in exchange for or in lieu of any other Note shall carry the rights to interest accrued and unpaid, and to accrue, which were carried by such other Notes.</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xml:space="preserve"> This Indenture shall incorporate and be governed by the provisions of the Trust Indenture Act that are required to be part of and to govern indentures qualified under the Trust Indenture Act.</w:t>
      </w:r>
    </w:p>
    <w:p>
      <w:pPr>
        <w:spacing w:after="0" w:line="200" w:lineRule="exact"/>
        <w:rPr>
          <w:sz w:val="20"/>
          <w:szCs w:val="20"/>
          <w:color w:val="auto"/>
        </w:rPr>
      </w:pPr>
    </w:p>
    <w:p>
      <w:pPr>
        <w:spacing w:after="0" w:line="20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Noteholder Communications; Noteholder Actions.</w:t>
      </w:r>
      <w:r>
        <w:rPr>
          <w:rFonts w:ascii="Arial" w:cs="Arial" w:eastAsia="Arial" w:hAnsi="Arial"/>
          <w:sz w:val="18"/>
          <w:szCs w:val="18"/>
          <w:color w:val="auto"/>
        </w:rPr>
        <w:t xml:space="preserve"> (a) The rights of Holders to communicate with other Holders with respect to this 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97" w:lineRule="exact"/>
        <w:rPr>
          <w:sz w:val="20"/>
          <w:szCs w:val="20"/>
          <w:color w:val="auto"/>
        </w:rPr>
      </w:pPr>
    </w:p>
    <w:p>
      <w:pPr>
        <w:jc w:val="both"/>
        <w:ind w:right="40" w:firstLine="359"/>
        <w:spacing w:after="0" w:line="306" w:lineRule="auto"/>
        <w:tabs>
          <w:tab w:leader="none" w:pos="68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 Any request, demand, authorization, direction, notice, consent to amendment, supplement or waiver or other action provided by this Indenture to be given or taken by a Holder (an "</w:t>
      </w:r>
      <w:r>
        <w:rPr>
          <w:rFonts w:ascii="Arial" w:cs="Arial" w:eastAsia="Arial" w:hAnsi="Arial"/>
          <w:sz w:val="16"/>
          <w:szCs w:val="16"/>
          <w:b w:val="1"/>
          <w:bCs w:val="1"/>
          <w:color w:val="auto"/>
        </w:rPr>
        <w:t>act</w:t>
      </w:r>
      <w:r>
        <w:rPr>
          <w:rFonts w:ascii="Arial" w:cs="Arial" w:eastAsia="Arial" w:hAnsi="Arial"/>
          <w:sz w:val="16"/>
          <w:szCs w:val="16"/>
          <w:color w:val="auto"/>
        </w:rPr>
        <w:t>") may be evidenced by an instrument signed by the Holder delivered to the Trustee. The fact and date of the execution of the instrument, or the authority of the person executing it, may be proved in any manner that the Trustee deems sufficient.</w:t>
      </w:r>
    </w:p>
    <w:p>
      <w:pPr>
        <w:spacing w:after="0" w:line="160" w:lineRule="exact"/>
        <w:rPr>
          <w:rFonts w:ascii="Arial" w:cs="Arial" w:eastAsia="Arial" w:hAnsi="Arial"/>
          <w:sz w:val="16"/>
          <w:szCs w:val="16"/>
          <w:color w:val="auto"/>
        </w:rPr>
      </w:pPr>
    </w:p>
    <w:p>
      <w:pPr>
        <w:ind w:left="1240" w:hanging="297"/>
        <w:spacing w:after="0"/>
        <w:tabs>
          <w:tab w:leader="none" w:pos="12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Trustee may make reasonable rules for action by or at a meeting of Holders, which will be binding on all the Holders.</w:t>
      </w:r>
    </w:p>
    <w:p>
      <w:pPr>
        <w:spacing w:after="0" w:line="225" w:lineRule="exact"/>
        <w:rPr>
          <w:rFonts w:ascii="Arial" w:cs="Arial" w:eastAsia="Arial" w:hAnsi="Arial"/>
          <w:sz w:val="18"/>
          <w:szCs w:val="18"/>
          <w:color w:val="auto"/>
        </w:rPr>
      </w:pPr>
    </w:p>
    <w:p>
      <w:pPr>
        <w:ind w:right="100" w:firstLine="359"/>
        <w:spacing w:after="0" w:line="306" w:lineRule="auto"/>
        <w:tabs>
          <w:tab w:leader="none" w:pos="66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60" w:lineRule="exact"/>
        <w:rPr>
          <w:rFonts w:ascii="Arial" w:cs="Arial" w:eastAsia="Arial" w:hAnsi="Arial"/>
          <w:sz w:val="16"/>
          <w:szCs w:val="16"/>
          <w:color w:val="auto"/>
        </w:rPr>
      </w:pPr>
    </w:p>
    <w:p>
      <w:pPr>
        <w:ind w:right="20" w:firstLine="359"/>
        <w:spacing w:after="0" w:line="254" w:lineRule="auto"/>
        <w:tabs>
          <w:tab w:leader="none" w:pos="68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200" w:lineRule="exact"/>
        <w:rPr>
          <w:sz w:val="20"/>
          <w:szCs w:val="20"/>
          <w:color w:val="auto"/>
        </w:rPr>
      </w:pPr>
    </w:p>
    <w:p>
      <w:pPr>
        <w:spacing w:after="0" w:line="21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 Any notice or communication to the Company will be deemed given if in writing (i) when delivered in person or (ii) five days after mailing when mailed by first class mail, or (iii) when sent by facsimile transmission, with transmission confirmed. Any notice to the Trustee will</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06" w:right="3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be effective only upon receipt. In each case the notice or communication should be addressed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to the Company:</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(208) 368-4540</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(650) 493-6811</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 to the Trustee: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Sixth and Marquette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MAC N9303-120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 (612) 667-2344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(612) 667-9825</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ind w:right="60" w:firstLine="359"/>
        <w:spacing w:after="0" w:line="298" w:lineRule="auto"/>
        <w:tabs>
          <w:tab w:leader="none" w:pos="68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as otherwise expressly provided with respect to published notices, any notice or communication to a Holder will be deemed given when mailed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mailed to the Trustee at the same time. Any defect in mailing a notice or communication to any particular Holder will not affect its sufficiency with respect to other Holders.</w:t>
      </w:r>
    </w:p>
    <w:p>
      <w:pPr>
        <w:spacing w:after="0" w:line="166" w:lineRule="exact"/>
        <w:rPr>
          <w:rFonts w:ascii="Arial" w:cs="Arial" w:eastAsia="Arial" w:hAnsi="Arial"/>
          <w:sz w:val="16"/>
          <w:szCs w:val="16"/>
          <w:color w:val="auto"/>
        </w:rPr>
      </w:pPr>
    </w:p>
    <w:p>
      <w:pPr>
        <w:ind w:firstLine="359"/>
        <w:spacing w:after="0" w:line="259"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200" w:lineRule="exact"/>
        <w:rPr>
          <w:sz w:val="20"/>
          <w:szCs w:val="20"/>
          <w:color w:val="auto"/>
        </w:rPr>
      </w:pPr>
    </w:p>
    <w:p>
      <w:pPr>
        <w:spacing w:after="0" w:line="21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Communication by Holders with Other Holders.</w:t>
      </w:r>
      <w:r>
        <w:rPr>
          <w:rFonts w:ascii="Arial" w:cs="Arial" w:eastAsia="Arial" w:hAnsi="Arial"/>
          <w:sz w:val="18"/>
          <w:szCs w:val="18"/>
          <w:color w:val="auto"/>
        </w:rPr>
        <w:t xml:space="preserve"> Noteholders may communicate pursuant to Section 312(b) of the Trust Indenture Act with other Noteholders with respect to their rights under this Indenture or the Notes. The Company, the Trustee, the Registrar, the Paying Agent, the Conversion Agent and anyone else shall have the protection of Section 312(c) of the Trust Indenture Act.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6" w:name="page137"/>
    <w:bookmarkEnd w:id="136"/>
    <w:p>
      <w:pPr>
        <w:ind w:right="240" w:firstLine="351"/>
        <w:spacing w:after="0" w:line="268"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xml:space="preserve"> Upon any request or application by the Company to the Trustee to take any action under this Indenture, the Company shall furnish to the Trustee:</w:t>
      </w:r>
    </w:p>
    <w:p>
      <w:pPr>
        <w:spacing w:after="0" w:line="186" w:lineRule="exact"/>
        <w:rPr>
          <w:sz w:val="20"/>
          <w:szCs w:val="20"/>
          <w:color w:val="auto"/>
        </w:rPr>
      </w:pPr>
    </w:p>
    <w:p>
      <w:pPr>
        <w:ind w:left="540" w:right="300" w:firstLine="359"/>
        <w:spacing w:after="0" w:line="268" w:lineRule="auto"/>
        <w:tabs>
          <w:tab w:leader="none" w:pos="12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Initial Notes or Additional Notes.</w:t>
      </w:r>
    </w:p>
    <w:p>
      <w:pPr>
        <w:spacing w:after="0" w:line="200" w:lineRule="exact"/>
        <w:rPr>
          <w:sz w:val="20"/>
          <w:szCs w:val="20"/>
          <w:color w:val="auto"/>
        </w:rPr>
      </w:pPr>
    </w:p>
    <w:p>
      <w:pPr>
        <w:spacing w:after="0" w:line="202"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xml:space="preserve"> Each certificate or opinion with respect to compliance with a condition or covenant provided for in this Indenture must include:</w:t>
      </w:r>
    </w:p>
    <w:p>
      <w:pPr>
        <w:spacing w:after="0" w:line="186" w:lineRule="exact"/>
        <w:rPr>
          <w:sz w:val="20"/>
          <w:szCs w:val="20"/>
          <w:color w:val="auto"/>
        </w:rPr>
      </w:pPr>
    </w:p>
    <w:p>
      <w:pPr>
        <w:ind w:left="1240" w:hanging="341"/>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statement that each person signing the certificate or opinion has read the covenant or condition and the related definitions;</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85" w:lineRule="exact"/>
        <w:rPr>
          <w:rFonts w:ascii="Arial" w:cs="Arial" w:eastAsia="Arial" w:hAnsi="Arial"/>
          <w:sz w:val="18"/>
          <w:szCs w:val="18"/>
          <w:color w:val="auto"/>
        </w:rPr>
      </w:pPr>
    </w:p>
    <w:p>
      <w:pPr>
        <w:ind w:left="540" w:right="540" w:firstLine="359"/>
        <w:spacing w:after="0" w:line="332" w:lineRule="auto"/>
        <w:tabs>
          <w:tab w:leader="none" w:pos="12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each such person, such condition or covenant has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Opinion of Counsel may rely on an Officers' Certificate or certificates of public officials with respect to matters of fact.</w:t>
      </w:r>
    </w:p>
    <w:p>
      <w:pPr>
        <w:spacing w:after="0" w:line="349"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Legal Holiday.</w:t>
      </w:r>
      <w:r>
        <w:rPr>
          <w:rFonts w:ascii="Arial" w:cs="Arial" w:eastAsia="Arial" w:hAnsi="Arial"/>
          <w:sz w:val="18"/>
          <w:szCs w:val="18"/>
          <w:color w:val="auto"/>
        </w:rPr>
        <w:t xml:space="preserve">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 is a Legal Holiday, the action shall be taken on the next succeeding day that is not a Legal Holiday, and, if the action to be taken on such date is a payment in respect of the Notes, interest shall accrue for the intervening period.</w:t>
      </w:r>
    </w:p>
    <w:p>
      <w:pPr>
        <w:spacing w:after="0" w:line="200" w:lineRule="exact"/>
        <w:rPr>
          <w:sz w:val="20"/>
          <w:szCs w:val="20"/>
          <w:color w:val="auto"/>
        </w:rPr>
      </w:pPr>
    </w:p>
    <w:p>
      <w:pPr>
        <w:spacing w:after="0" w:line="20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Rules by Trustee, Paying Agent, Conversion Agent and Registrar.</w:t>
      </w:r>
      <w:r>
        <w:rPr>
          <w:rFonts w:ascii="Arial" w:cs="Arial" w:eastAsia="Arial" w:hAnsi="Arial"/>
          <w:sz w:val="18"/>
          <w:szCs w:val="18"/>
          <w:color w:val="auto"/>
        </w:rPr>
        <w:t xml:space="preserve"> The Trustee may make reasonable rules for action by or a meeting of Noteholders. The Registrar, Conversion Agent and the Paying Agent may make reasonable rules for their functions.</w:t>
      </w:r>
    </w:p>
    <w:p>
      <w:pPr>
        <w:spacing w:after="0" w:line="200" w:lineRule="exact"/>
        <w:rPr>
          <w:sz w:val="20"/>
          <w:szCs w:val="20"/>
          <w:color w:val="auto"/>
        </w:rPr>
      </w:pPr>
    </w:p>
    <w:p>
      <w:pPr>
        <w:spacing w:after="0" w:line="20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INDENTURE AND EACH NOTE SHALL BE DEEMED TO BE A CONTRACT MADE UNDER THE LAWS OF NEW YORK, AND FOR ALL PURPOSES SHALL BE CONSTRUED IN ACCORDANCE WITH THE LAWS OF NEW YORK (WITHOUT REGARD TO THE CONFLICTS OF LAWS PROVISIONS THEREOF).</w:t>
      </w:r>
    </w:p>
    <w:p>
      <w:pPr>
        <w:spacing w:after="0" w:line="200" w:lineRule="exact"/>
        <w:rPr>
          <w:sz w:val="20"/>
          <w:szCs w:val="20"/>
          <w:color w:val="auto"/>
        </w:rPr>
      </w:pPr>
    </w:p>
    <w:p>
      <w:pPr>
        <w:spacing w:after="0" w:line="21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xml:space="preserve"> This Indenture may not be used to interpret another indenture or loan or debt agreement of the Company or any Subsidiary of the Company, and no such indenture or loan or debt agreement may be used to interpret this Indenture.</w:t>
      </w:r>
    </w:p>
    <w:p>
      <w:pPr>
        <w:spacing w:after="0" w:line="35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Successors.</w:t>
      </w:r>
      <w:r>
        <w:rPr>
          <w:rFonts w:ascii="Arial" w:cs="Arial" w:eastAsia="Arial" w:hAnsi="Arial"/>
          <w:sz w:val="18"/>
          <w:szCs w:val="18"/>
          <w:color w:val="auto"/>
        </w:rPr>
        <w:t xml:space="preserve"> All agreements of the Company in this Indenture and the Notes will bind its successors. All agreements of the Trustee in this Indenture will bind its successor.</w:t>
      </w:r>
    </w:p>
    <w:p>
      <w:pPr>
        <w:spacing w:after="0" w:line="200" w:lineRule="exact"/>
        <w:rPr>
          <w:sz w:val="20"/>
          <w:szCs w:val="20"/>
          <w:color w:val="auto"/>
        </w:rPr>
      </w:pPr>
    </w:p>
    <w:p>
      <w:pPr>
        <w:spacing w:after="0" w:line="20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The parties may sign any number of copies of this Indenture. Each signed copy shall be an original, but all of them together represent the same agreement.</w:t>
      </w:r>
    </w:p>
    <w:p>
      <w:pPr>
        <w:spacing w:after="0" w:line="200" w:lineRule="exact"/>
        <w:rPr>
          <w:sz w:val="20"/>
          <w:szCs w:val="20"/>
          <w:color w:val="auto"/>
        </w:rPr>
      </w:pPr>
    </w:p>
    <w:p>
      <w:pPr>
        <w:spacing w:after="0" w:line="202"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In case any provision in this Indenture or in the Notes is invalid, illegal or unenforceable, the validity, legality and enforceability of the remaining provisions will not in any way be affected or impaired thereby.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37" w:name="page138"/>
    <w:bookmarkEnd w:id="137"/>
    <w:p>
      <w:pPr>
        <w:ind w:firstLine="351"/>
        <w:spacing w:after="0" w:line="259"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i w:val="1"/>
          <w:iCs w:val="1"/>
          <w:color w:val="auto"/>
        </w:rPr>
        <w:t>Table of Contents and Headings.</w:t>
      </w:r>
      <w:r>
        <w:rPr>
          <w:rFonts w:ascii="Arial" w:cs="Arial" w:eastAsia="Arial" w:hAnsi="Arial"/>
          <w:sz w:val="18"/>
          <w:szCs w:val="18"/>
          <w:color w:val="auto"/>
        </w:rPr>
        <w:t xml:space="preserve"> The Table of Contents, Cross-Reference Table and headings of the Articles and Sections of this Indenture have been inserted for convenience of reference only, are not to be considered a part of this Indenture and in no way modify or restrict any of the terms and provisions of this Indenture.</w:t>
      </w:r>
    </w:p>
    <w:p>
      <w:pPr>
        <w:spacing w:after="0" w:line="200" w:lineRule="exact"/>
        <w:rPr>
          <w:sz w:val="20"/>
          <w:szCs w:val="20"/>
          <w:color w:val="auto"/>
        </w:rPr>
      </w:pPr>
    </w:p>
    <w:p>
      <w:pPr>
        <w:spacing w:after="0" w:line="21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i w:val="1"/>
          <w:iCs w:val="1"/>
          <w:color w:val="auto"/>
        </w:rPr>
        <w:t>No Liability of Directors, Officers, Employees, Incorporators, Members and Stockholders.</w:t>
      </w:r>
      <w:r>
        <w:rPr>
          <w:rFonts w:ascii="Arial" w:cs="Arial" w:eastAsia="Arial" w:hAnsi="Arial"/>
          <w:sz w:val="18"/>
          <w:szCs w:val="18"/>
          <w:color w:val="auto"/>
        </w:rPr>
        <w:t xml:space="preserve"> No director, officer, employee, incorporator, member or stockholder of the Company, as such, will have any liability for any obligations of the Company under the Notes or this Indenture or for any claim based on, in respect of, or by reason of, such obligations. Each Holder of Notes by accepting a Note waives and releases all such liability. The waiver and release are part of the consideration for issuance of the Notes.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7" w:right="339" w:bottom="1440" w:gutter="0" w:footer="0" w:header="0"/>
        </w:sectPr>
      </w:pPr>
    </w:p>
    <w:bookmarkStart w:id="138" w:name="page139"/>
    <w:bookmarkEnd w:id="138"/>
    <w:p>
      <w:pPr>
        <w:spacing w:after="0"/>
        <w:rPr>
          <w:sz w:val="20"/>
          <w:szCs w:val="20"/>
          <w:color w:val="auto"/>
        </w:rPr>
      </w:pPr>
      <w:r>
        <w:rPr>
          <w:rFonts w:ascii="Arial" w:cs="Arial" w:eastAsia="Arial" w:hAnsi="Arial"/>
          <w:sz w:val="15"/>
          <w:szCs w:val="15"/>
          <w:color w:val="auto"/>
        </w:rPr>
        <w:t>IN WITNESS WHEREOF, the parties hereto have caused this Indenture to be duly executed as of the date first written above.</w:t>
      </w:r>
    </w:p>
    <w:p>
      <w:pPr>
        <w:sectPr>
          <w:pgSz w:w="11900" w:h="16838" w:orient="portrait"/>
          <w:cols w:equalWidth="0" w:num="1">
            <w:col w:w="9859"/>
          </w:cols>
          <w:pgMar w:left="600" w:top="131" w:right="1440" w:bottom="1440" w:gutter="0" w:footer="0" w:header="0"/>
        </w:sect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77470</wp:posOffset>
            </wp:positionV>
            <wp:extent cx="2551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WELLS FARGO BANK, NATIONAL ASSOCIATION, as</w:t>
      </w:r>
    </w:p>
    <w:p>
      <w:pPr>
        <w:spacing w:after="0" w:line="3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77470</wp:posOffset>
            </wp:positionV>
            <wp:extent cx="2551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120" w:hanging="241"/>
        <w:spacing w:after="0"/>
        <w:tabs>
          <w:tab w:leader="none" w:pos="41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 Convertible Senior Note due June 1, 2014</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720" w:space="360"/>
            <w:col w:w="10340"/>
          </w:cols>
          <w:pgMar w:left="240" w:top="125" w:right="239" w:bottom="1440" w:gutter="0" w:footer="0" w:header="0"/>
          <w:type w:val="continuous"/>
        </w:sectPr>
      </w:pPr>
    </w:p>
    <w:p>
      <w:pPr>
        <w:spacing w:after="0" w:line="48"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CUSIP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10940" w:space="180"/>
            <w:col w:w="60" w:space="180"/>
            <w:col w:w="60"/>
          </w:cols>
          <w:pgMar w:left="240" w:top="125" w:right="239" w:bottom="1440" w:gutter="0" w:footer="0" w:header="0"/>
          <w:type w:val="continuous"/>
        </w:sectPr>
      </w:pPr>
    </w:p>
    <w:p>
      <w:pPr>
        <w:spacing w:after="0" w:line="25" w:lineRule="exact"/>
        <w:rPr>
          <w:sz w:val="20"/>
          <w:szCs w:val="20"/>
          <w:color w:val="auto"/>
        </w:rPr>
      </w:pPr>
    </w:p>
    <w:p>
      <w:pPr>
        <w:ind w:left="10500"/>
        <w:spacing w:after="0"/>
        <w:rPr>
          <w:sz w:val="20"/>
          <w:szCs w:val="20"/>
          <w:color w:val="auto"/>
        </w:rPr>
      </w:pPr>
      <w:r>
        <w:rPr>
          <w:rFonts w:ascii="Arial" w:cs="Arial" w:eastAsia="Arial" w:hAnsi="Arial"/>
          <w:sz w:val="16"/>
          <w:szCs w:val="16"/>
          <w:color w:val="auto"/>
        </w:rPr>
        <w:t>ISIN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10940" w:space="180"/>
            <w:col w:w="60" w:space="180"/>
            <w:col w:w="60"/>
          </w:cols>
          <w:pgMar w:left="240" w:top="125" w:right="23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 for value</w:t>
      </w:r>
    </w:p>
    <w:p>
      <w:pPr>
        <w:spacing w:after="0" w:line="44"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received, promises to pay to Cede &amp; Co. or its registered assigns, the principal sum [of</w:t>
      </w:r>
      <w:r>
        <w:rPr>
          <w:sz w:val="20"/>
          <w:szCs w:val="20"/>
          <w:color w:val="auto"/>
        </w:rPr>
        <w:tab/>
      </w:r>
      <w:r>
        <w:rPr>
          <w:rFonts w:ascii="Arial" w:cs="Arial" w:eastAsia="Arial" w:hAnsi="Arial"/>
          <w:sz w:val="15"/>
          <w:szCs w:val="15"/>
          <w:color w:val="auto"/>
        </w:rPr>
        <w:t>] [set forth on Schedule I hereto]* on June 1, 2014.</w:t>
      </w:r>
    </w:p>
    <w:p>
      <w:pPr>
        <w:sectPr>
          <w:pgSz w:w="11900" w:h="16838" w:orient="portrait"/>
          <w:cols w:equalWidth="0" w:num="1">
            <w:col w:w="11420"/>
          </w:cols>
          <w:pgMar w:left="240" w:top="125" w:right="239" w:bottom="1440" w:gutter="0" w:footer="0" w:header="0"/>
          <w:type w:val="continuous"/>
        </w:sect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Initial Interest Rate: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per annum.</w:t>
      </w:r>
    </w:p>
    <w:p>
      <w:pPr>
        <w:spacing w:after="0" w:line="200" w:lineRule="exact"/>
        <w:rPr>
          <w:sz w:val="20"/>
          <w:szCs w:val="20"/>
          <w:color w:val="auto"/>
        </w:rPr>
      </w:pPr>
    </w:p>
    <w:p>
      <w:pPr>
        <w:sectPr>
          <w:pgSz w:w="11900" w:h="16838" w:orient="portrait"/>
          <w:cols w:equalWidth="0" w:num="2">
            <w:col w:w="1860" w:space="180"/>
            <w:col w:w="9380"/>
          </w:cols>
          <w:pgMar w:left="240" w:top="125" w:right="239" w:bottom="1440" w:gutter="0" w:footer="0" w:header="0"/>
          <w:type w:val="continuous"/>
        </w:sectPr>
      </w:pP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Interest Payment Dates: June 1 and December 1, commencing December 1, 2007.</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Regular Record Dates: May 15 and November 15.</w:t>
      </w:r>
    </w:p>
    <w:p>
      <w:pPr>
        <w:sectPr>
          <w:pgSz w:w="11900" w:h="16838" w:orient="portrait"/>
          <w:cols w:equalWidth="0" w:num="1">
            <w:col w:w="11420"/>
          </w:cols>
          <w:pgMar w:left="240" w:top="125" w:right="239" w:bottom="1440" w:gutter="0" w:footer="0" w:header="0"/>
          <w:type w:val="continuous"/>
        </w:sect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05029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0" w:name="page141"/>
    <w:bookmarkEnd w:id="140"/>
    <w:p>
      <w:pPr>
        <w:ind w:left="360"/>
        <w:spacing w:after="0"/>
        <w:rPr>
          <w:sz w:val="20"/>
          <w:szCs w:val="20"/>
          <w:color w:val="auto"/>
        </w:rPr>
      </w:pPr>
      <w:r>
        <w:rPr>
          <w:rFonts w:ascii="Arial" w:cs="Arial" w:eastAsia="Arial" w:hAnsi="Arial"/>
          <w:sz w:val="16"/>
          <w:szCs w:val="16"/>
          <w:color w:val="auto"/>
        </w:rPr>
        <w:t>IN WITNESS WHEREOF, the Company has caused this Note to be signed manually or by facsimile by its duly authorized officer.</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 2007</w:t>
      </w:r>
      <w:r>
        <w:rPr>
          <w:sz w:val="20"/>
          <w:szCs w:val="20"/>
          <w:color w:val="auto"/>
        </w:rPr>
        <w:tab/>
      </w:r>
      <w:r>
        <w:rPr>
          <w:rFonts w:ascii="Arial" w:cs="Arial" w:eastAsia="Arial" w:hAnsi="Arial"/>
          <w:sz w:val="16"/>
          <w:szCs w:val="16"/>
          <w:color w:val="auto"/>
        </w:rPr>
        <w:t>MICRON TECHNOLOGY,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360"/>
        <w:spacing w:after="0"/>
        <w:tabs>
          <w:tab w:leader="none" w:pos="1840" w:val="left"/>
          <w:tab w:leader="none" w:pos="2080" w:val="left"/>
        </w:tabs>
        <w:rPr>
          <w:sz w:val="20"/>
          <w:szCs w:val="20"/>
          <w:color w:val="auto"/>
        </w:rPr>
      </w:pPr>
      <w:r>
        <w:rPr>
          <w:rFonts w:ascii="Arial" w:cs="Arial" w:eastAsia="Arial" w:hAnsi="Arial"/>
          <w:sz w:val="18"/>
          <w:szCs w:val="18"/>
          <w:color w:val="auto"/>
        </w:rPr>
        <w:t>This is one of the [</w:t>
        <w:tab/>
        <w:t>•</w:t>
      </w:r>
      <w:r>
        <w:rPr>
          <w:sz w:val="20"/>
          <w:szCs w:val="20"/>
          <w:color w:val="auto"/>
        </w:rPr>
        <w:tab/>
      </w:r>
      <w:r>
        <w:rPr>
          <w:rFonts w:ascii="Arial" w:cs="Arial" w:eastAsia="Arial" w:hAnsi="Arial"/>
          <w:sz w:val="15"/>
          <w:szCs w:val="15"/>
          <w:color w:val="auto"/>
        </w:rPr>
        <w:t>]% Convertible Senior Notes due June 1, 2014 described in the Indenture referred to in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WELLS FARGO BANK, NATIONAL ASSOCIATION, as Trustee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131" w:right="121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120" w:hanging="241"/>
        <w:spacing w:after="0"/>
        <w:tabs>
          <w:tab w:leader="none" w:pos="41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 Convertible Senior Note due June 1, 2014</w:t>
      </w:r>
    </w:p>
    <w:p>
      <w:pPr>
        <w:spacing w:after="0" w:line="200" w:lineRule="exact"/>
        <w:rPr>
          <w:sz w:val="20"/>
          <w:szCs w:val="20"/>
          <w:color w:val="auto"/>
        </w:rPr>
      </w:pPr>
    </w:p>
    <w:p>
      <w:pPr>
        <w:spacing w:after="0" w:line="241" w:lineRule="exact"/>
        <w:rPr>
          <w:sz w:val="20"/>
          <w:szCs w:val="20"/>
          <w:color w:val="auto"/>
        </w:rPr>
      </w:pPr>
    </w:p>
    <w:p>
      <w:pPr>
        <w:ind w:left="660" w:hanging="301"/>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Principal and Interest.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promises to pay the principal of this Note on June 1, 2014.</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 • ]% per annum.</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Interest will be payable semiannually (to the holders of record of the Notes at the Close of Business on the June 1 or December 1 immediately preceding the interest payment date) on each interest payment date, commencing December 1, 2007.</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Interest on this Note will accrue from the most recent date to which interest has been paid or provided for on this Note or the Note surrendered in exchange for this Note or, if no interest has been paid, from May [ • ], 2007, through the day before each Interest Payment Date. Interest will be computed in the basis of a 360-day year of twelve 30-day months.</w:t>
      </w:r>
    </w:p>
    <w:p>
      <w:pPr>
        <w:spacing w:after="0" w:line="194" w:lineRule="exact"/>
        <w:rPr>
          <w:sz w:val="20"/>
          <w:szCs w:val="20"/>
          <w:color w:val="auto"/>
        </w:rPr>
      </w:pPr>
    </w:p>
    <w:p>
      <w:pPr>
        <w:ind w:left="360"/>
        <w:spacing w:after="0"/>
        <w:tabs>
          <w:tab w:leader="none" w:pos="10900" w:val="left"/>
          <w:tab w:leader="none" w:pos="11120" w:val="left"/>
        </w:tabs>
        <w:rPr>
          <w:sz w:val="20"/>
          <w:szCs w:val="20"/>
          <w:color w:val="auto"/>
        </w:rPr>
      </w:pPr>
      <w:r>
        <w:rPr>
          <w:rFonts w:ascii="Arial" w:cs="Arial" w:eastAsia="Arial" w:hAnsi="Arial"/>
          <w:sz w:val="16"/>
          <w:szCs w:val="16"/>
          <w:color w:val="auto"/>
        </w:rPr>
        <w:t>The Company will pay interest on overdue principal, premium, if any, and, to the extent lawful, interest at a rate per annum that is 1% in excess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Defaulted Interest shall be paid to the Persons that are Holders on a Special Record Date, which will established as set forth in the Indenture referred to below.</w:t>
      </w:r>
    </w:p>
    <w:p>
      <w:pPr>
        <w:spacing w:after="0" w:line="200" w:lineRule="exact"/>
        <w:rPr>
          <w:sz w:val="20"/>
          <w:szCs w:val="20"/>
          <w:color w:val="auto"/>
        </w:rPr>
      </w:pPr>
    </w:p>
    <w:p>
      <w:pPr>
        <w:spacing w:after="0" w:line="258" w:lineRule="exact"/>
        <w:rPr>
          <w:sz w:val="20"/>
          <w:szCs w:val="20"/>
          <w:color w:val="auto"/>
        </w:rPr>
      </w:pPr>
    </w:p>
    <w:p>
      <w:pPr>
        <w:ind w:left="660" w:hanging="301"/>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Subject to the terms and conditions of the Indenture, the Company shall pay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200" w:lineRule="exact"/>
        <w:rPr>
          <w:sz w:val="20"/>
          <w:szCs w:val="20"/>
          <w:color w:val="auto"/>
        </w:rPr>
      </w:pPr>
    </w:p>
    <w:p>
      <w:pPr>
        <w:spacing w:after="0" w:line="210" w:lineRule="exact"/>
        <w:rPr>
          <w:sz w:val="20"/>
          <w:szCs w:val="20"/>
          <w:color w:val="auto"/>
        </w:rPr>
      </w:pPr>
    </w:p>
    <w:p>
      <w:pPr>
        <w:ind w:left="660" w:hanging="301"/>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200" w:lineRule="exact"/>
        <w:rPr>
          <w:sz w:val="20"/>
          <w:szCs w:val="20"/>
          <w:color w:val="auto"/>
        </w:rPr>
      </w:pPr>
    </w:p>
    <w:p>
      <w:pPr>
        <w:spacing w:after="0" w:line="213" w:lineRule="exact"/>
        <w:rPr>
          <w:sz w:val="20"/>
          <w:szCs w:val="20"/>
          <w:color w:val="auto"/>
        </w:rPr>
      </w:pPr>
    </w:p>
    <w:p>
      <w:pPr>
        <w:ind w:left="660" w:hanging="301"/>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This is one of the Notes issued under an Indenture dated as of May [ • ], 2007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200" w:lineRule="exact"/>
        <w:rPr>
          <w:sz w:val="20"/>
          <w:szCs w:val="20"/>
          <w:color w:val="auto"/>
        </w:rPr>
      </w:pPr>
    </w:p>
    <w:p>
      <w:pPr>
        <w:spacing w:after="0" w:line="215" w:lineRule="exact"/>
        <w:rPr>
          <w:sz w:val="20"/>
          <w:szCs w:val="20"/>
          <w:color w:val="auto"/>
        </w:rPr>
      </w:pPr>
    </w:p>
    <w:p>
      <w:pPr>
        <w:ind w:left="660" w:hanging="301"/>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 upon Change in Control.</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Upon the occurrence of a Change in Control, a Holder has the right, at such Holder's option, to require the Company to repurchase all of such Holder's Notes or any portion thereof (in principal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amounts of $1,000 or integral multiples thereof) on the Repurchase Date at a price equal to the Repurchase Price.</w:t>
      </w:r>
    </w:p>
    <w:p>
      <w:pPr>
        <w:spacing w:after="0" w:line="200" w:lineRule="exact"/>
        <w:rPr>
          <w:sz w:val="20"/>
          <w:szCs w:val="20"/>
          <w:color w:val="auto"/>
        </w:rPr>
      </w:pPr>
    </w:p>
    <w:p>
      <w:pPr>
        <w:spacing w:after="0" w:line="241" w:lineRule="exact"/>
        <w:rPr>
          <w:sz w:val="20"/>
          <w:szCs w:val="20"/>
          <w:color w:val="auto"/>
        </w:rPr>
      </w:pPr>
    </w:p>
    <w:p>
      <w:pPr>
        <w:ind w:left="660" w:hanging="301"/>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 sinking fund is provided for the Notes. The Notes are redeemable as a whole, or from time to time in part, at any time commencing on June 6, 2011 at the option of the Company if the Closing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for any such redemption is equal to 100%, expressed as a percentage of the Principal Amount of Notes to be redeemed, together with accrued and unpaid interest to, but excluding, the Redemption Date.</w:t>
      </w:r>
    </w:p>
    <w:p>
      <w:pPr>
        <w:spacing w:after="0" w:line="386" w:lineRule="exact"/>
        <w:rPr>
          <w:sz w:val="20"/>
          <w:szCs w:val="20"/>
          <w:color w:val="auto"/>
        </w:rPr>
      </w:pPr>
    </w:p>
    <w:p>
      <w:pPr>
        <w:ind w:left="660" w:hanging="301"/>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Common Stock, Cash or a combination thereof, at the Company's election, at a Conversion Rate specified in the Indenture, as adjusted from time to time as provided in the Indenture.</w:t>
      </w:r>
    </w:p>
    <w:p>
      <w:pPr>
        <w:spacing w:after="0" w:line="200" w:lineRule="exact"/>
        <w:rPr>
          <w:sz w:val="20"/>
          <w:szCs w:val="20"/>
          <w:color w:val="auto"/>
        </w:rPr>
      </w:pPr>
    </w:p>
    <w:p>
      <w:pPr>
        <w:spacing w:after="0" w:line="213" w:lineRule="exact"/>
        <w:rPr>
          <w:sz w:val="20"/>
          <w:szCs w:val="20"/>
          <w:color w:val="auto"/>
        </w:rPr>
      </w:pPr>
    </w:p>
    <w:p>
      <w:pPr>
        <w:ind w:left="660" w:hanging="301"/>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interest on the Notes to be immediately due and payable. Upon a declaration of acceleration, such principal and interest will become immediately due and payable. If a Bankruptcy Default occurs, the principal of and accrued interest on the Notes then outstanding will become immediately due and payable automatically without any declaration or other act on the part of the Trustee or any Holder.</w:t>
      </w:r>
    </w:p>
    <w:p>
      <w:pPr>
        <w:spacing w:after="0" w:line="200" w:lineRule="exact"/>
        <w:rPr>
          <w:sz w:val="20"/>
          <w:szCs w:val="20"/>
          <w:color w:val="auto"/>
        </w:rPr>
      </w:pPr>
    </w:p>
    <w:p>
      <w:pPr>
        <w:spacing w:after="0" w:line="214" w:lineRule="exact"/>
        <w:rPr>
          <w:sz w:val="20"/>
          <w:szCs w:val="20"/>
          <w:color w:val="auto"/>
        </w:rPr>
      </w:pPr>
    </w:p>
    <w:p>
      <w:pPr>
        <w:ind w:left="660" w:hanging="301"/>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Amendment and Waiver.</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200" w:lineRule="exact"/>
        <w:rPr>
          <w:sz w:val="20"/>
          <w:szCs w:val="20"/>
          <w:color w:val="auto"/>
        </w:rPr>
      </w:pPr>
    </w:p>
    <w:p>
      <w:pPr>
        <w:spacing w:after="0" w:line="213" w:lineRule="exact"/>
        <w:rPr>
          <w:sz w:val="20"/>
          <w:szCs w:val="20"/>
          <w:color w:val="auto"/>
        </w:rPr>
      </w:pPr>
    </w:p>
    <w:p>
      <w:pPr>
        <w:ind w:left="760" w:hanging="401"/>
        <w:spacing w:after="0"/>
        <w:tabs>
          <w:tab w:leader="none" w:pos="76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383" w:lineRule="exact"/>
        <w:rPr>
          <w:sz w:val="20"/>
          <w:szCs w:val="20"/>
          <w:color w:val="auto"/>
        </w:rPr>
      </w:pPr>
    </w:p>
    <w:p>
      <w:pPr>
        <w:ind w:left="740" w:hanging="381"/>
        <w:spacing w:after="0"/>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Persons Deemed Owners.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3" w:name="page144"/>
    <w:bookmarkEnd w:id="143"/>
    <w:p>
      <w:pPr>
        <w:ind w:left="760" w:hanging="401"/>
        <w:spacing w:after="0"/>
        <w:tabs>
          <w:tab w:leader="none" w:pos="76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this Note that remains unclaimed for two years after a right to such money, Common Stock or other consideration has matured.</w:t>
      </w:r>
    </w:p>
    <w:p>
      <w:pPr>
        <w:spacing w:after="0" w:line="200" w:lineRule="exact"/>
        <w:rPr>
          <w:sz w:val="20"/>
          <w:szCs w:val="20"/>
          <w:color w:val="auto"/>
        </w:rPr>
      </w:pPr>
    </w:p>
    <w:p>
      <w:pPr>
        <w:spacing w:after="0" w:line="213" w:lineRule="exact"/>
        <w:rPr>
          <w:sz w:val="20"/>
          <w:szCs w:val="20"/>
          <w:color w:val="auto"/>
        </w:rPr>
      </w:pPr>
    </w:p>
    <w:p>
      <w:pPr>
        <w:ind w:left="760" w:hanging="401"/>
        <w:spacing w:after="0"/>
        <w:tabs>
          <w:tab w:leader="none" w:pos="76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200" w:lineRule="exact"/>
        <w:rPr>
          <w:sz w:val="20"/>
          <w:szCs w:val="20"/>
          <w:color w:val="auto"/>
        </w:rPr>
      </w:pPr>
    </w:p>
    <w:p>
      <w:pPr>
        <w:spacing w:after="0" w:line="210" w:lineRule="exact"/>
        <w:rPr>
          <w:sz w:val="20"/>
          <w:szCs w:val="20"/>
          <w:color w:val="auto"/>
        </w:rPr>
      </w:pPr>
    </w:p>
    <w:p>
      <w:pPr>
        <w:ind w:left="760" w:hanging="401"/>
        <w:spacing w:after="0"/>
        <w:tabs>
          <w:tab w:leader="none" w:pos="76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377" w:lineRule="exact"/>
        <w:rPr>
          <w:sz w:val="20"/>
          <w:szCs w:val="20"/>
          <w:color w:val="auto"/>
        </w:rPr>
      </w:pPr>
    </w:p>
    <w:p>
      <w:pPr>
        <w:ind w:left="760" w:hanging="401"/>
        <w:spacing w:after="0"/>
        <w:tabs>
          <w:tab w:leader="none" w:pos="76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 side of this Note.</w:t>
      </w:r>
    </w:p>
    <w:p>
      <w:pPr>
        <w:spacing w:after="0" w:line="200" w:lineRule="exact"/>
        <w:rPr>
          <w:sz w:val="20"/>
          <w:szCs w:val="20"/>
          <w:color w:val="auto"/>
        </w:rPr>
      </w:pPr>
    </w:p>
    <w:p>
      <w:pPr>
        <w:spacing w:after="0" w:line="264" w:lineRule="exact"/>
        <w:rPr>
          <w:sz w:val="20"/>
          <w:szCs w:val="20"/>
          <w:color w:val="auto"/>
        </w:rPr>
      </w:pPr>
    </w:p>
    <w:p>
      <w:pPr>
        <w:ind w:left="760" w:hanging="401"/>
        <w:spacing w:after="0"/>
        <w:tabs>
          <w:tab w:leader="none" w:pos="76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INDENTURE AND THE NOTE SHALL BE DEEMED TO BE A CONTRACT MADE UNDER THE LAWS OF NEW YORK, AND FOR ALL PURPOSES SHALL BE CONSTRUED IN ACCORDANCE WITH THE LAWS OF NEW YORK (WITHOUT REGARD TO THE CONFLICTS OF LAWS PROVISIONS THEREOF).</w:t>
      </w:r>
    </w:p>
    <w:p>
      <w:pPr>
        <w:spacing w:after="0" w:line="200" w:lineRule="exact"/>
        <w:rPr>
          <w:sz w:val="20"/>
          <w:szCs w:val="20"/>
          <w:color w:val="auto"/>
        </w:rPr>
      </w:pPr>
    </w:p>
    <w:p>
      <w:pPr>
        <w:spacing w:after="0" w:line="210" w:lineRule="exact"/>
        <w:rPr>
          <w:sz w:val="20"/>
          <w:szCs w:val="20"/>
          <w:color w:val="auto"/>
        </w:rPr>
      </w:pPr>
    </w:p>
    <w:p>
      <w:pPr>
        <w:ind w:left="760" w:hanging="401"/>
        <w:spacing w:after="0"/>
        <w:tabs>
          <w:tab w:leader="none" w:pos="7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Abbreviations.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849630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hanging="532"/>
        <w:spacing w:after="0" w:line="259"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Fax: [</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Sixth and Marquette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N9303-120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 667-9825</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CONVERSION NOTICE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convert this Note, check the box: / /</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or an integral multiple of $1,000 principal</w:t>
      </w:r>
    </w:p>
    <w:p>
      <w:pPr>
        <w:spacing w:after="0" w:line="3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amount): $</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849630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1278255</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hanging="532"/>
        <w:spacing w:after="0" w:line="259"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ind w:left="1460"/>
              <w:spacing w:after="0"/>
              <w:rPr>
                <w:sz w:val="20"/>
                <w:szCs w:val="20"/>
                <w:color w:val="auto"/>
              </w:rPr>
            </w:pPr>
            <w:r>
              <w:rPr>
                <w:rFonts w:ascii="Arial" w:cs="Arial" w:eastAsia="Arial" w:hAnsi="Arial"/>
                <w:sz w:val="18"/>
                <w:szCs w:val="18"/>
                <w:b w:val="1"/>
                <w:bCs w:val="1"/>
                <w:color w:val="auto"/>
                <w:w w:val="88"/>
              </w:rPr>
              <w:t>Schedule I*</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No. [</w:t>
            </w:r>
          </w:p>
        </w:tc>
        <w:tc>
          <w:tcPr>
            <w:tcW w:w="3480" w:type="dxa"/>
            <w:vAlign w:val="bottom"/>
          </w:tcPr>
          <w:p>
            <w:pPr>
              <w:jc w:val="right"/>
              <w:ind w:right="32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6340" w:type="dxa"/>
            <w:vAlign w:val="bottom"/>
            <w:gridSpan w:val="4"/>
          </w:tcPr>
          <w:p>
            <w:pPr>
              <w:ind w:left="360"/>
              <w:spacing w:after="0"/>
              <w:rPr>
                <w:sz w:val="20"/>
                <w:szCs w:val="20"/>
                <w:color w:val="auto"/>
              </w:rPr>
            </w:pPr>
            <w:r>
              <w:rPr>
                <w:rFonts w:ascii="Arial" w:cs="Arial" w:eastAsia="Arial" w:hAnsi="Arial"/>
                <w:sz w:val="18"/>
                <w:szCs w:val="18"/>
                <w:color w:val="auto"/>
              </w:rPr>
              <w:t>The initial principal amount of this Global Note is $1,100,000,000.</w:t>
            </w: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54"/>
        </w:trPr>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2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7"/>
              </w:rPr>
              <w:t>Notation Explaining Change</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8"/>
              </w:rPr>
              <w:t>Authorized Signature</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this Global Note</w:t>
            </w:r>
          </w:p>
        </w:tc>
        <w:tc>
          <w:tcPr>
            <w:tcW w:w="2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9"/>
              </w:rPr>
              <w:t>in Principal Amount</w:t>
            </w:r>
          </w:p>
        </w:tc>
        <w:tc>
          <w:tcPr>
            <w:tcW w:w="22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5"/>
              </w:rPr>
              <w:t>of Trustee</w:t>
            </w:r>
          </w:p>
        </w:tc>
      </w:tr>
      <w:tr>
        <w:trPr>
          <w:trHeight w:val="105"/>
        </w:trPr>
        <w:tc>
          <w:tcPr>
            <w:tcW w:w="4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wp:posOffset>
            </wp:positionV>
            <wp:extent cx="105029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DTC LEGEND</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Micron Technology, Inc.</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THIS INDENTURE WITNESSETH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ARTICLE 1 Definitions and Incorporation by Reference</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Section 1.01. Definitions.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Section 1.02. Other Definitions.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Section 1.03. Incorporation by Reference of Trust Indenture Act.</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Section 1.04. Rules of Construction.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Section 1.05. Acts of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ARTICLE 2 The Notes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Section 2.01. Form, Dating and Denominations; Legends.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Section 2.02. Execution And Authentication.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Section 2.03. Registrar, Paying Agent and Conversion Agent.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Section 2.04. Paying Agent to Hold Money in Trust.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Section 2.05. Noteholder Lists.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Section 2.06. Transfer and Exchange.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Section 2.07. Replacement Notes.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Section 2.08. Outstanding Notes.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Section 2.09. Treasury Notes.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Section 2.10. Temporary Notes.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Section 2.11. Cancellation.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Section 2.12. CUSIP Numbers.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Section 2.13. Book-Entry Provisions for Global Notes.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ARTICLE 3 Repurchases</w:t>
        </w:r>
      </w:hyperlink>
    </w:p>
    <w:p>
      <w:pPr>
        <w:spacing w:after="0" w:line="225" w:lineRule="exact"/>
        <w:rPr>
          <w:sz w:val="20"/>
          <w:szCs w:val="20"/>
          <w:color w:val="auto"/>
        </w:rPr>
      </w:pPr>
    </w:p>
    <w:p>
      <w:pPr>
        <w:ind w:left="54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Section 3.01. Repurchase at the Option of the Holders Upon Change in Control or Termination of Trading.</w:t>
        </w:r>
      </w:hyperlink>
    </w:p>
    <w:p>
      <w:pPr>
        <w:spacing w:after="0" w:line="38"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Section 3.02. Effect of Repurchase Notice.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Section 3.03. Deposit of Repurchase Price.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Section 3.04. Notes Repurchased in Part.</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Section 3.05. Covenant to Comply with Securities Laws upon Repurchase of Notes.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ARTICLE 4 Covenants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Section 4.01. Payment of Notes.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Section 4.02. Maintenance of Office or Agency.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4.03. Existence.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4.04. Annual Reports.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4.05. Reports to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4.06. Stay, Extension and Usury Laws.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ARTICLE 5 Consolidation, Merger, Sale or Lease of Assets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5.01. Consolidation, Merger, Sale or Lease of Assets by the Company.</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ARTICLE 6 Default and Remedies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Section 6.01. Events of Default.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Section 6.02. Acceleration.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Section 6.03. Other Remedies.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Section 6.04. Waiver of Past Defaults.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Section 6.05. Control by Majority.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Section 6.06. Limitation on Suits.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Section 6.07. Rights of Holders to Receive Payment.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Section 6.08. Collection Suit by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Section 6.09. Trustee May File Proofs of Claim.</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Section 6.10. Priorities.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Section 6.11. Restoration of Rights and Remedies.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Section 6.12. Undertaking for Costs.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Section 6.13. Rights and Remedies Cumulative.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Section 6.14. Delay or Omission Not Waiver.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Section 6.15. Failure to File.</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ARTICLE 7 The Trustee</w:t>
        </w:r>
      </w:hyperlink>
    </w:p>
    <w:p>
      <w:pPr>
        <w:sectPr>
          <w:pgSz w:w="11900" w:h="16838" w:orient="portrait"/>
          <w:cols w:equalWidth="0" w:num="1">
            <w:col w:w="10219"/>
          </w:cols>
          <w:pgMar w:left="240" w:top="820" w:right="1440" w:bottom="0" w:gutter="0" w:footer="0" w:header="0"/>
        </w:sectPr>
      </w:pPr>
    </w:p>
    <w:bookmarkStart w:id="149" w:name="page150"/>
    <w:bookmarkEnd w:id="149"/>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Section 7.01. General.</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Section 7.02. Certain Rights of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Section 7.03. Individual Rights of Trustee.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Section 7.04. Trustee's Disclaimer.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Section 7.05. Notice of Default.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Section 7.06. Reports by Trustee to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Section 7.07. Compensation and Indemnity.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Section 7.08. Replacement of Trustee.</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Section 7.09. Successor Trustee by Merger.</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Section 7.10. Eligibility.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Section 7.11. Money Held in Trust.</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ARTICLE 8 Discharge</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Section 8.01. Satisfaction and Discharge of this Indenture.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Section 8.02. Application of Trust Money.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Section 8.03. Repayment to Company.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Section 8.04. Reinstatement.</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ARTICLE 9 Amendments, Supplements and Waivers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Section 9.01. Amendments Without Consent of Holders.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Section 9.02. Amendments With Consent of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Section 9.03. Effect of Consent.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Section 9.04. Trustee's Rights and Obligations.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Section 9.05. Conformity With Trust Indenture Act.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Section 9.06. Payments for Consents.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ARTICLE 10 Conversion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Section 10.01. Conversion Privilege.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Section 10.02. Conversion Procedures; Conversion Settlement.</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Section 10.03. Fractional Shares.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Section 10.04. Taxes on Conversion.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Section 10.05. Company to Provide Common Stock.</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Section 10.06. Adjustment for Change in Capital Stock.</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Section 10.07. Adjustment for Rights, Options or Warrants Issue.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Section 10.08. Adjustment for Other Distributions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Section 10.09. Adjustment for Cash Dividends.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Section 10.10. Adjustment for Tender Offer.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Section 10.11. Provisions Governing Adjustment to Conversion Rate.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Section 10.12. Disposition Events.</w:t>
        </w:r>
      </w:hyperlink>
    </w:p>
    <w:p>
      <w:pPr>
        <w:spacing w:after="0" w:line="9" w:lineRule="exact"/>
        <w:rPr>
          <w:sz w:val="20"/>
          <w:szCs w:val="20"/>
          <w:color w:val="auto"/>
        </w:rPr>
      </w:pPr>
    </w:p>
    <w:p>
      <w:pPr>
        <w:ind w:left="540"/>
        <w:spacing w:after="0"/>
        <w:rPr>
          <w:rFonts w:ascii="Arial" w:cs="Arial" w:eastAsia="Arial" w:hAnsi="Arial"/>
          <w:sz w:val="16"/>
          <w:szCs w:val="16"/>
          <w:u w:val="single" w:color="auto"/>
          <w:color w:val="0000EE"/>
        </w:rPr>
      </w:pPr>
      <w:hyperlink w:anchor="page128">
        <w:r>
          <w:rPr>
            <w:rFonts w:ascii="Arial" w:cs="Arial" w:eastAsia="Arial" w:hAnsi="Arial"/>
            <w:sz w:val="16"/>
            <w:szCs w:val="16"/>
            <w:u w:val="single" w:color="auto"/>
            <w:color w:val="0000EE"/>
          </w:rPr>
          <w:t>Section 10.13. Adjustment to Conversion Rate Upon a Make-Whole Change in Control; Discretionary Adjustment.</w:t>
        </w:r>
      </w:hyperlink>
    </w:p>
    <w:p>
      <w:pPr>
        <w:spacing w:after="0" w:line="242"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Section 10.14. When Adjustment May Be Deferred.</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Section 10.15. When No Adjustment Required.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Section 10.16. Notice of Adjustment.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Section 10.17. Notice of Certain Transactions.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Section 10.18. Right of Holders to Convert.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Section 10.19. Company Determination Final.</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Section 10.20. Trustee's Adjustment Disclaimer.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Section 10.21. Simultaneous Adjustments.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Section 10.22. Successive Adjustments.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Section 10.23. Rights Issued in Respect of Common Stock Issued Upon Conversion.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Section 10.24. Withholding Taxes for Adjustments in Conversion Rate.</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ARTICLE 11 Redemption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Section 11.01. Right to Redeem; Notices to Trustee.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Section 11.02. Selection of Notes to be Redeemed.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Section 11.03. Notice of Redemption.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Section 11.04. Effect of Notice of Redemption.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Section 11.05. Deposit of Redemption Price.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Section 11.06. Notes Redeemed in Part.</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ARTICLE 12 Payment of Interest</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Section 12.01. Interest Payments.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Section 12.02. Defaulted Interest.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Section 12.03. Interest Rights Preserved.</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ARTICLE 13 Miscellaneous</w:t>
        </w:r>
      </w:hyperlink>
    </w:p>
    <w:p>
      <w:pPr>
        <w:sectPr>
          <w:pgSz w:w="11900" w:h="16838" w:orient="portrait"/>
          <w:cols w:equalWidth="0" w:num="1">
            <w:col w:w="10219"/>
          </w:cols>
          <w:pgMar w:left="240" w:top="131" w:right="1440" w:bottom="161" w:gutter="0" w:footer="0" w:header="0"/>
        </w:sectPr>
      </w:pPr>
    </w:p>
    <w:bookmarkStart w:id="150" w:name="page151"/>
    <w:bookmarkEnd w:id="150"/>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Section 13.01. Trust Indenture Act of 1939.</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Section 13.01. Noteholder Communications; Noteholder Actions.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Section 13.03. Notices.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Section 13.04. Communication by Holders with Other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13.05. Certificate and Opinion as to Conditions Precedent.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13.06. Statements Required in Certificate or Opinion.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13.07. Legal Holiday.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13.08. Rules by Trustee, Paying Agent, Conversion Agent and Registrar.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13.09. Governing Law.</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13.10. No Adverse Interpretation of Other Agreements.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13.11. Successors.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13.12. Counterparts.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Section 13.13. Severability.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Section 13.14. Table of Contents and Headings.</w:t>
        </w:r>
      </w:hyperlink>
    </w:p>
    <w:p>
      <w:pPr>
        <w:spacing w:after="0" w:line="9" w:lineRule="exact"/>
        <w:rPr>
          <w:sz w:val="20"/>
          <w:szCs w:val="20"/>
          <w:color w:val="auto"/>
        </w:rPr>
      </w:pPr>
    </w:p>
    <w:p>
      <w:pPr>
        <w:ind w:left="540"/>
        <w:spacing w:after="0"/>
        <w:rPr>
          <w:rFonts w:ascii="Arial" w:cs="Arial" w:eastAsia="Arial" w:hAnsi="Arial"/>
          <w:sz w:val="16"/>
          <w:szCs w:val="16"/>
          <w:u w:val="single" w:color="auto"/>
          <w:color w:val="0000EE"/>
        </w:rPr>
      </w:pPr>
      <w:hyperlink w:anchor="page138">
        <w:r>
          <w:rPr>
            <w:rFonts w:ascii="Arial" w:cs="Arial" w:eastAsia="Arial" w:hAnsi="Arial"/>
            <w:sz w:val="16"/>
            <w:szCs w:val="16"/>
            <w:u w:val="single" w:color="auto"/>
            <w:color w:val="0000EE"/>
          </w:rPr>
          <w:t>Section 13.15. No Liability of Directors, Officers, Employees, Incorporators, Members and Stockholders.</w:t>
        </w:r>
      </w:hyperlink>
    </w:p>
    <w:p>
      <w:pPr>
        <w:spacing w:after="0" w:line="242" w:lineRule="exact"/>
        <w:rPr>
          <w:sz w:val="20"/>
          <w:szCs w:val="20"/>
          <w:color w:val="auto"/>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Principal and Interest.</w:t>
        </w:r>
      </w:hyperlink>
    </w:p>
    <w:p>
      <w:pPr>
        <w:spacing w:after="0" w:line="15"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Method of Payment.</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Paying Agent, Conversion Agent and Registrar.</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Indenture.</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Repurchase at the Option of the Holders upon Change in Control.</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Redemption at the Option of the Company.</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Conversion.</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Defaults and Remedies.</w:t>
        </w:r>
      </w:hyperlink>
    </w:p>
    <w:p>
      <w:pPr>
        <w:spacing w:after="0" w:line="9" w:lineRule="exact"/>
        <w:rPr>
          <w:rFonts w:ascii="Arial" w:cs="Arial" w:eastAsia="Arial" w:hAnsi="Arial"/>
          <w:sz w:val="18"/>
          <w:szCs w:val="18"/>
          <w:u w:val="single" w:color="auto"/>
          <w:color w:val="0000EE"/>
        </w:rPr>
      </w:pPr>
    </w:p>
    <w:p>
      <w:pPr>
        <w:ind w:left="720" w:hanging="172"/>
        <w:spacing w:after="0"/>
        <w:tabs>
          <w:tab w:leader="none" w:pos="720" w:val="left"/>
        </w:tabs>
        <w:numPr>
          <w:ilvl w:val="0"/>
          <w:numId w:val="163"/>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Amendment and Waiver.</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Registered Form; Denominations; Transfer; Exchange.</w:t>
        </w:r>
      </w:hyperlink>
    </w:p>
    <w:p>
      <w:pPr>
        <w:spacing w:after="0" w:line="9" w:lineRule="exact"/>
        <w:rPr>
          <w:rFonts w:ascii="Arial" w:cs="Arial" w:eastAsia="Arial" w:hAnsi="Arial"/>
          <w:sz w:val="18"/>
          <w:szCs w:val="18"/>
          <w:u w:val="single" w:color="auto"/>
          <w:color w:val="0000EE"/>
        </w:rPr>
      </w:pPr>
    </w:p>
    <w:p>
      <w:pPr>
        <w:ind w:left="800" w:hanging="252"/>
        <w:spacing w:after="0"/>
        <w:tabs>
          <w:tab w:leader="none" w:pos="800" w:val="left"/>
        </w:tabs>
        <w:numPr>
          <w:ilvl w:val="0"/>
          <w:numId w:val="163"/>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Persons Deemed Owners.</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Unclaimed Money or Notes.</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Trustee Dealings with the Company.</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No Recourse Against Others.</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Authentication.</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Governing Law.</w:t>
        </w:r>
      </w:hyperlink>
    </w:p>
    <w:p>
      <w:pPr>
        <w:spacing w:after="0" w:line="9" w:lineRule="exact"/>
        <w:rPr>
          <w:rFonts w:ascii="Arial" w:cs="Arial" w:eastAsia="Arial" w:hAnsi="Arial"/>
          <w:sz w:val="18"/>
          <w:szCs w:val="18"/>
          <w:u w:val="single" w:color="auto"/>
          <w:color w:val="0000EE"/>
        </w:rPr>
      </w:pPr>
    </w:p>
    <w:p>
      <w:pPr>
        <w:ind w:left="820" w:hanging="272"/>
        <w:spacing w:after="0"/>
        <w:tabs>
          <w:tab w:leader="none" w:pos="820" w:val="left"/>
        </w:tabs>
        <w:numPr>
          <w:ilvl w:val="0"/>
          <w:numId w:val="163"/>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Abbreviations.</w:t>
        </w:r>
      </w:hyperlink>
    </w:p>
    <w:p>
      <w:pPr>
        <w:spacing w:after="0" w:line="2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CONVERSION NOTICE</w:t>
        </w:r>
      </w:hyperlink>
    </w:p>
    <w:p>
      <w:pPr>
        <w:spacing w:after="0" w:line="1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DTC LEGEND</w:t>
        </w:r>
      </w:hyperlink>
    </w:p>
    <w:p>
      <w:pPr>
        <w:sectPr>
          <w:pgSz w:w="11900" w:h="16838" w:orient="portrait"/>
          <w:cols w:equalWidth="0" w:num="1">
            <w:col w:w="10219"/>
          </w:cols>
          <w:pgMar w:left="240" w:top="131"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5.1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[Wilson Sonsini Goodrich &amp; Rosati, Profesional Corporation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83716</w:t>
      </w:r>
    </w:p>
    <w:p>
      <w:pPr>
        <w:spacing w:after="0" w:line="21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Re:</w:t>
        <w:tab/>
        <w:t>Micron Technology, Inc.—Registration Statement on Form S-3</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acted as special counsel to Micron Technology, Inc., a Delaware corporation (the "Company"), in connection with the filing by the Company with the Securities and Exchange Commission of a registration statement on Form S-3 (the "Registration Statement"), under the Securities Act of 1933, as amended (the "Act"). Pursuant to the Registration Statement, the Company is registering under the Act an indeterminate amount of the Company's convertible senior notes (the "Notes") and shares of the Company's Common Stock, $0.10 par value per share (the "Common Stock"). The Notes may be sold from time to time as set forth in the prospectus that forms a part of the Registration Statement (the "Prospectus").</w:t>
      </w:r>
    </w:p>
    <w:p>
      <w:pPr>
        <w:spacing w:after="0" w:line="170" w:lineRule="exact"/>
        <w:rPr>
          <w:sz w:val="20"/>
          <w:szCs w:val="20"/>
          <w:color w:val="auto"/>
        </w:rPr>
      </w:pPr>
    </w:p>
    <w:p>
      <w:pPr>
        <w:jc w:val="both"/>
        <w:ind w:right="260" w:firstLine="348"/>
        <w:spacing w:after="0" w:line="298" w:lineRule="auto"/>
        <w:rPr>
          <w:sz w:val="20"/>
          <w:szCs w:val="20"/>
          <w:color w:val="auto"/>
        </w:rPr>
      </w:pPr>
      <w:r>
        <w:rPr>
          <w:rFonts w:ascii="Arial" w:cs="Arial" w:eastAsia="Arial" w:hAnsi="Arial"/>
          <w:sz w:val="16"/>
          <w:szCs w:val="16"/>
          <w:color w:val="auto"/>
        </w:rPr>
        <w:t>The Notes are to be issued pursuant to an Indenture, which has been filed as an exhibit to the Registration Statement (the "Indenture"), to be entered into between the Company and Wells Fargo Bank, National Association, as Trustee (the "Trustee"). The Notes will be sold pursuant to an Underwriting Agreement (the "Underwriting Agreement"), in substantially the form filed or to be filed as an exhibit to, or incorporated by reference in, the Registration Statement. The Notes are to be issued in the form included in the Indenture filed as an exhibit to the Registration Statement.</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examined the Registration Statement, the Indenture and such other instruments, documents, certificates and records which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all securities will be issued and sold in compliance with applicable federal and state securities laws and in the manner stated in the Registration Statement and the applicable prospectus supplement; (f) a definitive purchase, underwriting or similar agreement with respect to any securities offered will have been duly authorized and validly executed and delivered by the Company and the other parties thereto; (g) any securities issuable upon conversion, exchange, redemption or exercise of any securities being offered will have been duly authorized, created and, if appropriate, reserved for issuance upon such conversion, exchange, redemption or exercise; (h) with respect to shares of Common Stock, there will be sufficient shares of Common Stock authorized under the Company's certificate of incorporation, as amended and in effect at the relevant time, and not otherwise reserved for issuance, and (i)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Members of our firm are admitted to the bar in the State of New York, and we do not express any opinion as to the laws of any jurisdiction other than the federal laws of the United States of America and the State of New York (but only with respect to paragraph 1 below and only insofar as the opinion set forth therein relates to validity, binding effect and enforceability of the agreements referred to therein), and the General Corporation Law of the State of Delaware (the "DGCL"), and we have made no inquiry into, and we express no opinions as to, the statutes, regulations, treaties, common laws or other laws of any other nation, state or jurisdiction. As you know, we are not licensed 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law in the State of Delaware, and our opinions as to the DGCL are based solely on our review of standard compilations of such law.</w:t>
      </w:r>
    </w:p>
    <w:p>
      <w:pPr>
        <w:spacing w:after="0" w:line="225" w:lineRule="exact"/>
        <w:rPr>
          <w:sz w:val="20"/>
          <w:szCs w:val="20"/>
          <w:color w:val="auto"/>
        </w:rPr>
      </w:pPr>
    </w:p>
    <w:p>
      <w:pPr>
        <w:jc w:val="both"/>
        <w:ind w:right="200" w:firstLine="348"/>
        <w:spacing w:after="0" w:line="305" w:lineRule="auto"/>
        <w:rPr>
          <w:sz w:val="20"/>
          <w:szCs w:val="20"/>
          <w:color w:val="auto"/>
        </w:rPr>
      </w:pPr>
      <w:r>
        <w:rPr>
          <w:rFonts w:ascii="Arial" w:cs="Arial" w:eastAsia="Arial" w:hAnsi="Arial"/>
          <w:sz w:val="15"/>
          <w:szCs w:val="15"/>
          <w:color w:val="auto"/>
        </w:rPr>
        <w:t>We express no opinion as to: (i) the effect of any bankruptcy, insolvency, reorganization, arrangement, fraudulent conveyance, moratorium or other similar laws relating to or affecting the rights of creditors generally, including, without limitation, laws relating to fraudulent transfers or conveyances and preferences;</w:t>
      </w:r>
    </w:p>
    <w:p>
      <w:pPr>
        <w:ind w:left="260" w:hanging="252"/>
        <w:spacing w:after="0"/>
        <w:tabs>
          <w:tab w:leader="none" w:pos="2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rights to indemnification and contribution which may be limited by applicable law or equitable principles; or (iii) the effect of general principles of equity,</w:t>
      </w:r>
    </w:p>
    <w:p>
      <w:pPr>
        <w:spacing w:after="0" w:line="32"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including without limitation, concepts of materiality, reasonableness, good faith and fair dealing, the effect of judicial discretion and the possible unavailability of specific performance, injunctive relief or other equitable relief, and limitations on rights of acceleration regardless of whether considered in a proceeding in equity or at law.</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ind w:right="120" w:firstLine="359"/>
        <w:spacing w:after="0" w:line="255" w:lineRule="auto"/>
        <w:tabs>
          <w:tab w:leader="none" w:pos="69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When the issuance of Notes has been duly authorized by appropriate corporate action and the Notes, in the form included in the Indenture filed as an exhibit to the Registration Statement, have been duly completed, executed, authenticated and delivered in accordance with the Indenture and sold pursuant to the Underwriting Agreement, and when the Company shall have received any consideration which is payable pursuant to the Underwriting Agreement and as described in the Registration Statement, any amendment thereto and the Prospectus relating thereto, the Notes will be legal, valid and binding obligations of the Company, entitled to the benefits of the Indenture.</w:t>
      </w:r>
    </w:p>
    <w:p>
      <w:pPr>
        <w:spacing w:after="0" w:line="196" w:lineRule="exact"/>
        <w:rPr>
          <w:rFonts w:ascii="Arial" w:cs="Arial" w:eastAsia="Arial" w:hAnsi="Arial"/>
          <w:sz w:val="18"/>
          <w:szCs w:val="18"/>
          <w:color w:val="auto"/>
        </w:rPr>
      </w:pPr>
    </w:p>
    <w:p>
      <w:pPr>
        <w:ind w:right="60" w:firstLine="359"/>
        <w:spacing w:after="0" w:line="256" w:lineRule="auto"/>
        <w:tabs>
          <w:tab w:leader="none" w:pos="69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When the issuance of the shares of Common Stock initially issuable upon conversion of the Notes has been duly authorized by appropriate corporate action, and the applicable conversion right has been duly exercised in accordance with the terms of the Notes and the Indenture, and such shares have been issued and delivered upon such exercise in accordance with the terms of the Notes and the Indenture, the shares of Common Stock will be duly and validly issued, fully paid and nonassessable.</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hereby consent to the filing of this opinion as an exhibit to the above-referenced Registration Statement and the use of our name wherever it appears in the Registration Statement, the Prospectus, and in any amendment or supplement thereto. In giving such consent, we do not believe that we are "experts" within the meaning of such term used in the Act or the rules and regulations of the Securities and Exchange Commission issued thereunder with respect to any part of the Registration Statement, including this opinion as an exhibit or otherwise.</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3" w:name="page154"/>
    <w:bookmarkEnd w:id="1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spacing w:after="0"/>
        <w:rPr>
          <w:rFonts w:ascii="Arial" w:cs="Arial" w:eastAsia="Arial" w:hAnsi="Arial"/>
          <w:sz w:val="22"/>
          <w:szCs w:val="22"/>
          <w:color w:val="0000EE"/>
        </w:rPr>
      </w:pPr>
      <w:hyperlink w:anchor="page1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EARNINGS TO FIXED CHARGES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Six Months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March 2,</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March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7"/>
              </w:rPr>
              <w:t>Income (loss) from continuing operations before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taxes and noncontrolling interests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loss of equity method investee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Amortization of capitalized 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Capitalized interest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Fixed charges, as below</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earnings, as defined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580" w:type="dxa"/>
            <w:vAlign w:val="bottom"/>
            <w:gridSpan w:val="3"/>
          </w:tcPr>
          <w:p>
            <w:pPr>
              <w:spacing w:after="0"/>
              <w:rPr>
                <w:sz w:val="20"/>
                <w:szCs w:val="20"/>
                <w:color w:val="auto"/>
              </w:rPr>
            </w:pPr>
            <w:r>
              <w:rPr>
                <w:rFonts w:ascii="Arial" w:cs="Arial" w:eastAsia="Arial" w:hAnsi="Arial"/>
                <w:sz w:val="18"/>
                <w:szCs w:val="18"/>
                <w:color w:val="auto"/>
              </w:rPr>
              <w:t>Fixed charges: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portion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Capitalized interest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Rental expense, representative of interest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60" w:type="dxa"/>
            <w:vAlign w:val="bottom"/>
            <w:gridSpan w:val="2"/>
          </w:tcPr>
          <w:p>
            <w:pPr>
              <w:ind w:left="420"/>
              <w:spacing w:after="0"/>
              <w:rPr>
                <w:sz w:val="20"/>
                <w:szCs w:val="20"/>
                <w:color w:val="auto"/>
              </w:rPr>
            </w:pPr>
            <w:r>
              <w:rPr>
                <w:rFonts w:ascii="Arial" w:cs="Arial" w:eastAsia="Arial" w:hAnsi="Arial"/>
                <w:sz w:val="18"/>
                <w:szCs w:val="18"/>
                <w:color w:val="auto"/>
              </w:rPr>
              <w:t>Total fixed charges, as defined</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6.3x</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4.5x</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10.4x</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11.7x</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6.0x</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-2861310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-2861310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-2861310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-2861310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-2861310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-2861310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-2861310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-2861310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-2861310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-2861310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-2861310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-2861310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-2861310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-2861310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-1746885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-1746885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-1746885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-1746885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-1746885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-1746885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-1746885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-1746885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-1746885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-1746885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-1746885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-1746885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-1746885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-1746885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-768985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-768985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-768985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-768985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-768985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-768985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-768985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-768985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-768985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-768985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-768985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-768985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-768985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-768985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-477520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-477520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-477520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-477520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-477520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-477520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-477520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-477520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-477520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-477520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-477520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-477520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-477520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298" w:lineRule="auto"/>
        <w:tabs>
          <w:tab w:leader="none" w:pos="5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$1,008 million and $1,202 million for the fiscal years ended August 29, 2002 and August 28, 2003,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55">
        <w:r>
          <w:rPr>
            <w:rFonts w:ascii="Arial" w:cs="Arial" w:eastAsia="Arial" w:hAnsi="Arial"/>
            <w:sz w:val="16"/>
            <w:szCs w:val="16"/>
            <w:u w:val="single" w:color="auto"/>
            <w:color w:val="0000EE"/>
          </w:rPr>
          <w:t>MICRON TECHNOLOGY, INC. COMPUTATION OF RATIO EARNINGS TO FIXED CHARGES</w:t>
        </w:r>
      </w:hyperlink>
    </w:p>
    <w:p>
      <w:pPr>
        <w:sectPr>
          <w:pgSz w:w="11900" w:h="16838" w:orient="portrait"/>
          <w:cols w:equalWidth="0" w:num="1">
            <w:col w:w="10219"/>
          </w:cols>
          <w:pgMar w:left="240" w:top="820" w:right="1440" w:bottom="1440" w:gutter="0" w:footer="0" w:header="0"/>
        </w:sectPr>
      </w:pPr>
    </w:p>
    <w:bookmarkStart w:id="156" w:name="page157"/>
    <w:bookmarkEnd w:id="156"/>
    <w:p>
      <w:pPr>
        <w:spacing w:after="0"/>
        <w:rPr>
          <w:rFonts w:ascii="Arial" w:cs="Arial" w:eastAsia="Arial" w:hAnsi="Arial"/>
          <w:sz w:val="22"/>
          <w:szCs w:val="22"/>
          <w:color w:val="0000EE"/>
        </w:rPr>
      </w:pPr>
      <w:hyperlink w:anchor="page1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November 6, 2006 relating to the financial statements, financial statement schedule, management's assessment of the effectiveness of internal control over financial reporting and the effectiveness of internal control over financial reporting, which appears in Micron Technology, Inc.'s Annual Report on Form 10-K for the year ended August 31, 2006. We also consent to the references to us under the headings "Experts" and "Selected Financial Data" in such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048635"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57">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58" w:name="page159"/>
    <w:bookmarkEnd w:id="158"/>
    <w:p>
      <w:pPr>
        <w:spacing w:after="0"/>
        <w:rPr>
          <w:rFonts w:ascii="Arial" w:cs="Arial" w:eastAsia="Arial" w:hAnsi="Arial"/>
          <w:sz w:val="22"/>
          <w:szCs w:val="22"/>
          <w:color w:val="0000EE"/>
        </w:rPr>
      </w:pPr>
      <w:hyperlink w:anchor="page1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130810</wp:posOffset>
            </wp:positionV>
            <wp:extent cx="105029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hanging="332"/>
        <w:spacing w:after="0"/>
        <w:tabs>
          <w:tab w:leader="none" w:pos="36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AN APPLICATION TO DETERMINE ELIGIBILITY OF A TRUSTEE PURSUANT TO SECTION 305(b)</w:t>
      </w:r>
    </w:p>
    <w:p>
      <w:pPr>
        <w:spacing w:after="0" w:line="14" w:lineRule="exact"/>
        <w:rPr>
          <w:rFonts w:ascii="Arial" w:cs="Arial" w:eastAsia="Arial" w:hAnsi="Arial"/>
          <w:sz w:val="22"/>
          <w:szCs w:val="22"/>
          <w:b w:val="1"/>
          <w:bCs w:val="1"/>
          <w:color w:val="auto"/>
        </w:rPr>
      </w:pPr>
    </w:p>
    <w:p>
      <w:pPr>
        <w:ind w:left="5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WELLS FARGO BANK, NATIONAL ASSOCIATION</w:t>
      </w:r>
    </w:p>
    <w:p>
      <w:pPr>
        <w:spacing w:after="0" w:line="43" w:lineRule="exact"/>
        <w:rPr>
          <w:sz w:val="20"/>
          <w:szCs w:val="20"/>
          <w:color w:val="auto"/>
        </w:rPr>
      </w:pPr>
    </w:p>
    <w:tbl>
      <w:tblPr>
        <w:tblLayout w:type="fixed"/>
        <w:tblInd w:w="1400" w:type="dxa"/>
        <w:tblCellMar>
          <w:top w:w="0" w:type="dxa"/>
          <w:left w:w="0" w:type="dxa"/>
          <w:bottom w:w="0" w:type="dxa"/>
          <w:right w:w="0" w:type="dxa"/>
        </w:tblCellMar>
      </w:tblPr>
      <w:tr>
        <w:trPr>
          <w:trHeight w:val="222"/>
        </w:trPr>
        <w:tc>
          <w:tcPr>
            <w:tcW w:w="6500" w:type="dxa"/>
            <w:vAlign w:val="bottom"/>
          </w:tcPr>
          <w:p>
            <w:pPr>
              <w:jc w:val="center"/>
              <w:ind w:left="2052"/>
              <w:spacing w:after="0"/>
              <w:rPr>
                <w:sz w:val="20"/>
                <w:szCs w:val="20"/>
                <w:color w:val="auto"/>
              </w:rPr>
            </w:pPr>
            <w:r>
              <w:rPr>
                <w:rFonts w:ascii="Arial" w:cs="Arial" w:eastAsia="Arial" w:hAnsi="Arial"/>
                <w:sz w:val="18"/>
                <w:szCs w:val="18"/>
                <w:color w:val="auto"/>
                <w:w w:val="88"/>
              </w:rPr>
              <w:t>(Exact name of trustee as specified in its charter)</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500" w:type="dxa"/>
            <w:vAlign w:val="bottom"/>
          </w:tcPr>
          <w:p>
            <w:pPr>
              <w:jc w:val="center"/>
              <w:ind w:right="3612"/>
              <w:spacing w:after="0"/>
              <w:rPr>
                <w:sz w:val="20"/>
                <w:szCs w:val="20"/>
                <w:color w:val="auto"/>
              </w:rPr>
            </w:pPr>
            <w:r>
              <w:rPr>
                <w:rFonts w:ascii="Arial" w:cs="Arial" w:eastAsia="Arial" w:hAnsi="Arial"/>
                <w:sz w:val="18"/>
                <w:szCs w:val="18"/>
                <w:b w:val="1"/>
                <w:bCs w:val="1"/>
                <w:color w:val="auto"/>
                <w:w w:val="88"/>
              </w:rPr>
              <w:t>A National Banking Association</w:t>
            </w:r>
          </w:p>
        </w:tc>
        <w:tc>
          <w:tcPr>
            <w:tcW w:w="1440" w:type="dxa"/>
            <w:vAlign w:val="bottom"/>
          </w:tcPr>
          <w:p>
            <w:pPr>
              <w:jc w:val="right"/>
              <w:ind w:right="152"/>
              <w:spacing w:after="0"/>
              <w:rPr>
                <w:sz w:val="20"/>
                <w:szCs w:val="20"/>
                <w:color w:val="auto"/>
              </w:rPr>
            </w:pPr>
            <w:r>
              <w:rPr>
                <w:rFonts w:ascii="Arial" w:cs="Arial" w:eastAsia="Arial" w:hAnsi="Arial"/>
                <w:sz w:val="18"/>
                <w:szCs w:val="18"/>
                <w:b w:val="1"/>
                <w:bCs w:val="1"/>
                <w:color w:val="auto"/>
              </w:rPr>
              <w:t>94-1347393</w:t>
            </w:r>
          </w:p>
        </w:tc>
        <w:tc>
          <w:tcPr>
            <w:tcW w:w="0" w:type="dxa"/>
            <w:vAlign w:val="bottom"/>
          </w:tcPr>
          <w:p>
            <w:pPr>
              <w:spacing w:after="0"/>
              <w:rPr>
                <w:sz w:val="1"/>
                <w:szCs w:val="1"/>
                <w:color w:val="auto"/>
              </w:rPr>
            </w:pPr>
          </w:p>
        </w:tc>
      </w:tr>
      <w:tr>
        <w:trPr>
          <w:trHeight w:val="216"/>
        </w:trPr>
        <w:tc>
          <w:tcPr>
            <w:tcW w:w="6500" w:type="dxa"/>
            <w:vAlign w:val="bottom"/>
          </w:tcPr>
          <w:p>
            <w:pPr>
              <w:jc w:val="center"/>
              <w:ind w:right="3612"/>
              <w:spacing w:after="0"/>
              <w:rPr>
                <w:sz w:val="20"/>
                <w:szCs w:val="20"/>
                <w:color w:val="auto"/>
              </w:rPr>
            </w:pPr>
            <w:r>
              <w:rPr>
                <w:rFonts w:ascii="Arial" w:cs="Arial" w:eastAsia="Arial" w:hAnsi="Arial"/>
                <w:sz w:val="18"/>
                <w:szCs w:val="18"/>
                <w:color w:val="auto"/>
                <w:w w:val="91"/>
              </w:rPr>
              <w:t>(Jurisdiction of incorporation or</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6500" w:type="dxa"/>
            <w:vAlign w:val="bottom"/>
          </w:tcPr>
          <w:p>
            <w:pPr>
              <w:jc w:val="center"/>
              <w:ind w:right="3592"/>
              <w:spacing w:after="0"/>
              <w:rPr>
                <w:sz w:val="20"/>
                <w:szCs w:val="20"/>
                <w:color w:val="auto"/>
              </w:rPr>
            </w:pPr>
            <w:r>
              <w:rPr>
                <w:rFonts w:ascii="Arial" w:cs="Arial" w:eastAsia="Arial" w:hAnsi="Arial"/>
                <w:sz w:val="18"/>
                <w:szCs w:val="18"/>
                <w:color w:val="auto"/>
                <w:w w:val="89"/>
              </w:rPr>
              <w:t>organization if not a U.S. national bank)</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447"/>
        </w:trPr>
        <w:tc>
          <w:tcPr>
            <w:tcW w:w="6500" w:type="dxa"/>
            <w:vAlign w:val="bottom"/>
          </w:tcPr>
          <w:p>
            <w:pPr>
              <w:jc w:val="center"/>
              <w:ind w:right="3612"/>
              <w:spacing w:after="0"/>
              <w:rPr>
                <w:sz w:val="20"/>
                <w:szCs w:val="20"/>
                <w:color w:val="auto"/>
              </w:rPr>
            </w:pPr>
            <w:r>
              <w:rPr>
                <w:rFonts w:ascii="Arial" w:cs="Arial" w:eastAsia="Arial" w:hAnsi="Arial"/>
                <w:sz w:val="18"/>
                <w:szCs w:val="18"/>
                <w:b w:val="1"/>
                <w:bCs w:val="1"/>
                <w:color w:val="auto"/>
                <w:w w:val="88"/>
              </w:rPr>
              <w:t>101 North Phillips Avenue</w:t>
            </w:r>
          </w:p>
        </w:tc>
        <w:tc>
          <w:tcPr>
            <w:tcW w:w="144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57104</w:t>
            </w:r>
          </w:p>
        </w:tc>
        <w:tc>
          <w:tcPr>
            <w:tcW w:w="0" w:type="dxa"/>
            <w:vAlign w:val="bottom"/>
          </w:tcPr>
          <w:p>
            <w:pPr>
              <w:spacing w:after="0"/>
              <w:rPr>
                <w:sz w:val="1"/>
                <w:szCs w:val="1"/>
                <w:color w:val="auto"/>
              </w:rPr>
            </w:pPr>
          </w:p>
        </w:tc>
      </w:tr>
      <w:tr>
        <w:trPr>
          <w:trHeight w:val="222"/>
        </w:trPr>
        <w:tc>
          <w:tcPr>
            <w:tcW w:w="6500" w:type="dxa"/>
            <w:vAlign w:val="bottom"/>
          </w:tcPr>
          <w:p>
            <w:pPr>
              <w:jc w:val="center"/>
              <w:ind w:right="3592"/>
              <w:spacing w:after="0"/>
              <w:rPr>
                <w:sz w:val="20"/>
                <w:szCs w:val="20"/>
                <w:color w:val="auto"/>
              </w:rPr>
            </w:pPr>
            <w:r>
              <w:rPr>
                <w:rFonts w:ascii="Arial" w:cs="Arial" w:eastAsia="Arial" w:hAnsi="Arial"/>
                <w:sz w:val="18"/>
                <w:szCs w:val="18"/>
                <w:b w:val="1"/>
                <w:bCs w:val="1"/>
                <w:color w:val="auto"/>
                <w:w w:val="87"/>
              </w:rPr>
              <w:t>Sioux Falls, South Dakota</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00" w:type="dxa"/>
            <w:vAlign w:val="bottom"/>
          </w:tcPr>
          <w:p>
            <w:pPr>
              <w:jc w:val="center"/>
              <w:ind w:right="3592"/>
              <w:spacing w:after="0"/>
              <w:rPr>
                <w:sz w:val="20"/>
                <w:szCs w:val="20"/>
                <w:color w:val="auto"/>
              </w:rPr>
            </w:pPr>
            <w:r>
              <w:rPr>
                <w:rFonts w:ascii="Arial" w:cs="Arial" w:eastAsia="Arial" w:hAnsi="Arial"/>
                <w:sz w:val="18"/>
                <w:szCs w:val="18"/>
                <w:color w:val="auto"/>
                <w:w w:val="90"/>
              </w:rPr>
              <w:t>(Address of principal executive offices)</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88"/>
              </w:rPr>
              <w:t>(Zip code)</w:t>
            </w:r>
          </w:p>
        </w:tc>
        <w:tc>
          <w:tcPr>
            <w:tcW w:w="0" w:type="dxa"/>
            <w:vAlign w:val="bottom"/>
          </w:tcPr>
          <w:p>
            <w:pPr>
              <w:spacing w:after="0"/>
              <w:rPr>
                <w:sz w:val="1"/>
                <w:szCs w:val="1"/>
                <w:color w:val="auto"/>
              </w:rPr>
            </w:pPr>
          </w:p>
        </w:tc>
      </w:tr>
      <w:tr>
        <w:trPr>
          <w:trHeight w:val="420"/>
        </w:trPr>
        <w:tc>
          <w:tcPr>
            <w:tcW w:w="6500" w:type="dxa"/>
            <w:vAlign w:val="bottom"/>
          </w:tcPr>
          <w:p>
            <w:pPr>
              <w:jc w:val="center"/>
              <w:ind w:left="2032"/>
              <w:spacing w:after="0"/>
              <w:rPr>
                <w:sz w:val="20"/>
                <w:szCs w:val="20"/>
                <w:color w:val="auto"/>
              </w:rPr>
            </w:pPr>
            <w:r>
              <w:rPr>
                <w:rFonts w:ascii="Arial" w:cs="Arial" w:eastAsia="Arial" w:hAnsi="Arial"/>
                <w:sz w:val="18"/>
                <w:szCs w:val="18"/>
                <w:b w:val="1"/>
                <w:bCs w:val="1"/>
                <w:color w:val="auto"/>
                <w:w w:val="89"/>
              </w:rPr>
              <w:t>Wells Fargo &amp; Company</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jc w:val="center"/>
              <w:ind w:left="2052"/>
              <w:spacing w:after="0"/>
              <w:rPr>
                <w:sz w:val="20"/>
                <w:szCs w:val="20"/>
                <w:color w:val="auto"/>
              </w:rPr>
            </w:pPr>
            <w:r>
              <w:rPr>
                <w:rFonts w:ascii="Arial" w:cs="Arial" w:eastAsia="Arial" w:hAnsi="Arial"/>
                <w:sz w:val="18"/>
                <w:szCs w:val="18"/>
                <w:b w:val="1"/>
                <w:bCs w:val="1"/>
                <w:color w:val="auto"/>
                <w:w w:val="89"/>
              </w:rPr>
              <w:t>Law Department, Trust Section</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00" w:type="dxa"/>
            <w:vAlign w:val="bottom"/>
          </w:tcPr>
          <w:p>
            <w:pPr>
              <w:jc w:val="center"/>
              <w:ind w:left="2032"/>
              <w:spacing w:after="0"/>
              <w:rPr>
                <w:sz w:val="20"/>
                <w:szCs w:val="20"/>
                <w:color w:val="auto"/>
              </w:rPr>
            </w:pPr>
            <w:r>
              <w:rPr>
                <w:rFonts w:ascii="Arial" w:cs="Arial" w:eastAsia="Arial" w:hAnsi="Arial"/>
                <w:sz w:val="18"/>
                <w:szCs w:val="18"/>
                <w:b w:val="1"/>
                <w:bCs w:val="1"/>
                <w:color w:val="auto"/>
                <w:w w:val="93"/>
              </w:rPr>
              <w:t>MAC N9305-175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500" w:type="dxa"/>
            <w:vAlign w:val="bottom"/>
          </w:tcPr>
          <w:p>
            <w:pPr>
              <w:jc w:val="center"/>
              <w:ind w:left="2032"/>
              <w:spacing w:after="0" w:line="253" w:lineRule="exact"/>
              <w:rPr>
                <w:sz w:val="20"/>
                <w:szCs w:val="20"/>
                <w:color w:val="auto"/>
              </w:rPr>
            </w:pPr>
            <w:r>
              <w:rPr>
                <w:rFonts w:ascii="Arial" w:cs="Arial" w:eastAsia="Arial" w:hAnsi="Arial"/>
                <w:sz w:val="18"/>
                <w:szCs w:val="18"/>
                <w:b w:val="1"/>
                <w:bCs w:val="1"/>
                <w:color w:val="auto"/>
                <w:w w:val="88"/>
              </w:rPr>
              <w:t>Sixth Street and Marquette Avenue, 17</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500" w:type="dxa"/>
            <w:vAlign w:val="bottom"/>
          </w:tcPr>
          <w:p>
            <w:pPr>
              <w:jc w:val="center"/>
              <w:ind w:left="2052"/>
              <w:spacing w:after="0"/>
              <w:rPr>
                <w:sz w:val="20"/>
                <w:szCs w:val="20"/>
                <w:color w:val="auto"/>
              </w:rPr>
            </w:pPr>
            <w:r>
              <w:rPr>
                <w:rFonts w:ascii="Arial" w:cs="Arial" w:eastAsia="Arial" w:hAnsi="Arial"/>
                <w:sz w:val="18"/>
                <w:szCs w:val="18"/>
                <w:b w:val="1"/>
                <w:bCs w:val="1"/>
                <w:color w:val="auto"/>
                <w:w w:val="88"/>
              </w:rPr>
              <w:t>Minneapolis, Minnesota 55479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jc w:val="center"/>
              <w:ind w:left="2032"/>
              <w:spacing w:after="0"/>
              <w:rPr>
                <w:sz w:val="20"/>
                <w:szCs w:val="20"/>
                <w:color w:val="auto"/>
              </w:rPr>
            </w:pPr>
            <w:r>
              <w:rPr>
                <w:rFonts w:ascii="Arial" w:cs="Arial" w:eastAsia="Arial" w:hAnsi="Arial"/>
                <w:sz w:val="18"/>
                <w:szCs w:val="18"/>
                <w:b w:val="1"/>
                <w:bCs w:val="1"/>
                <w:color w:val="auto"/>
                <w:w w:val="89"/>
              </w:rPr>
              <w:t>(612) 667-4608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00" w:type="dxa"/>
            <w:vAlign w:val="bottom"/>
          </w:tcPr>
          <w:p>
            <w:pPr>
              <w:jc w:val="center"/>
              <w:ind w:left="2052"/>
              <w:spacing w:after="0"/>
              <w:rPr>
                <w:sz w:val="20"/>
                <w:szCs w:val="20"/>
                <w:color w:val="auto"/>
              </w:rPr>
            </w:pPr>
            <w:r>
              <w:rPr>
                <w:rFonts w:ascii="Arial" w:cs="Arial" w:eastAsia="Arial" w:hAnsi="Arial"/>
                <w:sz w:val="18"/>
                <w:szCs w:val="18"/>
                <w:color w:val="auto"/>
                <w:w w:val="87"/>
              </w:rPr>
              <w:t>(Name, address and telephone number of agent for service)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MICRON TECHNOLOGY, INC.</w:t>
      </w:r>
    </w:p>
    <w:p>
      <w:pPr>
        <w:spacing w:after="0" w:line="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75-1618004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jc w:val="center"/>
              <w:ind w:right="2060"/>
              <w:spacing w:after="0"/>
              <w:rPr>
                <w:sz w:val="20"/>
                <w:szCs w:val="20"/>
                <w:color w:val="auto"/>
              </w:rPr>
            </w:pPr>
            <w:r>
              <w:rPr>
                <w:rFonts w:ascii="Arial" w:cs="Arial" w:eastAsia="Arial" w:hAnsi="Arial"/>
                <w:sz w:val="18"/>
                <w:szCs w:val="18"/>
                <w:color w:val="auto"/>
                <w:w w:val="90"/>
              </w:rPr>
              <w:t>(State or other jurisdiction of</w:t>
            </w:r>
          </w:p>
        </w:tc>
        <w:tc>
          <w:tcPr>
            <w:tcW w:w="3780" w:type="dxa"/>
            <w:vAlign w:val="bottom"/>
            <w:gridSpan w:val="2"/>
          </w:tcPr>
          <w:p>
            <w:pPr>
              <w:jc w:val="center"/>
              <w:ind w:right="1740"/>
              <w:spacing w:after="0"/>
              <w:rPr>
                <w:sz w:val="20"/>
                <w:szCs w:val="20"/>
                <w:color w:val="auto"/>
              </w:rPr>
            </w:pPr>
            <w:r>
              <w:rPr>
                <w:rFonts w:ascii="Arial" w:cs="Arial" w:eastAsia="Arial" w:hAnsi="Arial"/>
                <w:sz w:val="18"/>
                <w:szCs w:val="18"/>
                <w:color w:val="auto"/>
                <w:w w:val="90"/>
              </w:rPr>
              <w:t>(I.R.S. Employer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jc w:val="center"/>
              <w:ind w:right="2060"/>
              <w:spacing w:after="0"/>
              <w:rPr>
                <w:sz w:val="20"/>
                <w:szCs w:val="20"/>
                <w:color w:val="auto"/>
              </w:rPr>
            </w:pPr>
            <w:r>
              <w:rPr>
                <w:rFonts w:ascii="Arial" w:cs="Arial" w:eastAsia="Arial" w:hAnsi="Arial"/>
                <w:sz w:val="18"/>
                <w:szCs w:val="18"/>
                <w:color w:val="auto"/>
                <w:w w:val="90"/>
              </w:rPr>
              <w:t>incorporation or organization)</w:t>
            </w:r>
          </w:p>
        </w:tc>
        <w:tc>
          <w:tcPr>
            <w:tcW w:w="3780" w:type="dxa"/>
            <w:vAlign w:val="bottom"/>
            <w:gridSpan w:val="2"/>
          </w:tcPr>
          <w:p>
            <w:pPr>
              <w:jc w:val="center"/>
              <w:ind w:right="1740"/>
              <w:spacing w:after="0"/>
              <w:rPr>
                <w:sz w:val="20"/>
                <w:szCs w:val="20"/>
                <w:color w:val="auto"/>
              </w:rPr>
            </w:pPr>
            <w:r>
              <w:rPr>
                <w:rFonts w:ascii="Arial" w:cs="Arial" w:eastAsia="Arial" w:hAnsi="Arial"/>
                <w:sz w:val="18"/>
                <w:szCs w:val="18"/>
                <w:color w:val="auto"/>
                <w:w w:val="94"/>
              </w:rPr>
              <w:t>Identification 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6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8"/>
              </w:rPr>
              <w:t>8000 S. Federal Way</w:t>
            </w:r>
          </w:p>
        </w:tc>
        <w:tc>
          <w:tcPr>
            <w:tcW w:w="3760" w:type="dxa"/>
            <w:vAlign w:val="bottom"/>
            <w:vMerge w:val="restart"/>
          </w:tcPr>
          <w:p>
            <w:pPr>
              <w:jc w:val="center"/>
              <w:ind w:right="1632"/>
              <w:spacing w:after="0"/>
              <w:rPr>
                <w:sz w:val="20"/>
                <w:szCs w:val="20"/>
                <w:color w:val="auto"/>
              </w:rPr>
            </w:pPr>
            <w:r>
              <w:rPr>
                <w:rFonts w:ascii="Arial" w:cs="Arial" w:eastAsia="Arial" w:hAnsi="Arial"/>
                <w:sz w:val="18"/>
                <w:szCs w:val="18"/>
                <w:b w:val="1"/>
                <w:bCs w:val="1"/>
                <w:color w:val="auto"/>
                <w:w w:val="87"/>
              </w:rPr>
              <w:t>83716-9632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5"/>
              </w:rPr>
              <w:t>Boise, Idaho</w:t>
            </w:r>
          </w:p>
        </w:tc>
        <w:tc>
          <w:tcPr>
            <w:tcW w:w="3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jc w:val="center"/>
              <w:ind w:right="2040"/>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gridSpan w:val="2"/>
          </w:tcPr>
          <w:p>
            <w:pPr>
              <w:jc w:val="center"/>
              <w:ind w:right="1740"/>
              <w:spacing w:after="0"/>
              <w:rPr>
                <w:sz w:val="20"/>
                <w:szCs w:val="20"/>
                <w:color w:val="auto"/>
              </w:rPr>
            </w:pPr>
            <w:r>
              <w:rPr>
                <w:rFonts w:ascii="Arial" w:cs="Arial" w:eastAsia="Arial" w:hAnsi="Arial"/>
                <w:sz w:val="18"/>
                <w:szCs w:val="18"/>
                <w:color w:val="auto"/>
                <w:w w:val="88"/>
              </w:rPr>
              <w:t>(Zip code)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9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7660" w:type="dxa"/>
            <w:vAlign w:val="bottom"/>
            <w:gridSpan w:val="3"/>
          </w:tcPr>
          <w:p>
            <w:pPr>
              <w:jc w:val="center"/>
              <w:ind w:left="3672"/>
              <w:spacing w:after="0"/>
              <w:rPr>
                <w:sz w:val="20"/>
                <w:szCs w:val="20"/>
                <w:color w:val="auto"/>
              </w:rPr>
            </w:pPr>
            <w:r>
              <w:rPr>
                <w:rFonts w:ascii="Arial" w:cs="Arial" w:eastAsia="Arial" w:hAnsi="Arial"/>
                <w:sz w:val="18"/>
                <w:szCs w:val="18"/>
                <w:b w:val="1"/>
                <w:bCs w:val="1"/>
                <w:color w:val="auto"/>
                <w:w w:val="87"/>
              </w:rPr>
              <w:t>Convertible Senior Notes due June 1, 2014</w:t>
            </w: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jc w:val="center"/>
              <w:ind w:left="3672"/>
              <w:spacing w:after="0"/>
              <w:rPr>
                <w:sz w:val="20"/>
                <w:szCs w:val="20"/>
                <w:color w:val="auto"/>
              </w:rPr>
            </w:pPr>
            <w:r>
              <w:rPr>
                <w:rFonts w:ascii="Arial" w:cs="Arial" w:eastAsia="Arial" w:hAnsi="Arial"/>
                <w:sz w:val="18"/>
                <w:szCs w:val="18"/>
                <w:color w:val="auto"/>
                <w:w w:val="89"/>
              </w:rPr>
              <w:t>(Title of the indenture securities)</w:t>
            </w: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9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-829310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-829310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361" w:right="199" w:bottom="1440" w:gutter="0" w:footer="0" w:header="0"/>
        </w:sectPr>
      </w:pPr>
    </w:p>
    <w:bookmarkStart w:id="159" w:name="page160"/>
    <w:bookmarkEnd w:id="159"/>
    <w:p>
      <w:pPr>
        <w:spacing w:after="0"/>
        <w:tabs>
          <w:tab w:leader="none" w:pos="660" w:val="left"/>
          <w:tab w:leader="none" w:pos="23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i w:val="1"/>
          <w:iCs w:val="1"/>
          <w:color w:val="auto"/>
        </w:rPr>
        <w:t>General Information.</w:t>
      </w:r>
      <w:r>
        <w:rPr>
          <w:sz w:val="20"/>
          <w:szCs w:val="20"/>
          <w:color w:val="auto"/>
        </w:rPr>
        <w:tab/>
      </w:r>
      <w:r>
        <w:rPr>
          <w:rFonts w:ascii="Arial" w:cs="Arial" w:eastAsia="Arial" w:hAnsi="Arial"/>
          <w:sz w:val="16"/>
          <w:szCs w:val="16"/>
          <w:color w:val="auto"/>
        </w:rPr>
        <w:t>Furnish the following information as to the trustee:</w:t>
      </w:r>
    </w:p>
    <w:p>
      <w:pPr>
        <w:spacing w:after="0" w:line="239"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5" w:lineRule="exact"/>
        <w:rPr>
          <w:rFonts w:ascii="Arial" w:cs="Arial" w:eastAsia="Arial" w:hAnsi="Arial"/>
          <w:sz w:val="18"/>
          <w:szCs w:val="18"/>
          <w:color w:val="auto"/>
        </w:rPr>
      </w:pPr>
    </w:p>
    <w:p>
      <w:pPr>
        <w:ind w:left="1080" w:right="8040"/>
        <w:spacing w:after="0" w:line="306" w:lineRule="auto"/>
        <w:rPr>
          <w:rFonts w:ascii="Arial" w:cs="Arial" w:eastAsia="Arial" w:hAnsi="Arial"/>
          <w:sz w:val="18"/>
          <w:szCs w:val="18"/>
          <w:color w:val="auto"/>
        </w:rPr>
      </w:pPr>
      <w:r>
        <w:rPr>
          <w:rFonts w:ascii="Arial" w:cs="Arial" w:eastAsia="Arial" w:hAnsi="Arial"/>
          <w:sz w:val="16"/>
          <w:szCs w:val="16"/>
          <w:color w:val="auto"/>
        </w:rPr>
        <w:t>Comptroller of the Currency Treasury Department Washington, D.C.</w:t>
      </w:r>
    </w:p>
    <w:p>
      <w:pPr>
        <w:spacing w:after="0" w:line="160" w:lineRule="exact"/>
        <w:rPr>
          <w:rFonts w:ascii="Arial" w:cs="Arial" w:eastAsia="Arial" w:hAnsi="Arial"/>
          <w:sz w:val="18"/>
          <w:szCs w:val="18"/>
          <w:color w:val="auto"/>
        </w:rPr>
      </w:pPr>
    </w:p>
    <w:p>
      <w:pPr>
        <w:ind w:left="1080" w:right="7320"/>
        <w:spacing w:after="0" w:line="268" w:lineRule="auto"/>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185" w:lineRule="exact"/>
        <w:rPr>
          <w:rFonts w:ascii="Arial" w:cs="Arial" w:eastAsia="Arial" w:hAnsi="Arial"/>
          <w:sz w:val="18"/>
          <w:szCs w:val="18"/>
          <w:color w:val="auto"/>
        </w:rPr>
      </w:pPr>
    </w:p>
    <w:p>
      <w:pPr>
        <w:ind w:left="1080" w:right="7280"/>
        <w:spacing w:after="0" w:line="370" w:lineRule="auto"/>
        <w:rPr>
          <w:rFonts w:ascii="Arial" w:cs="Arial" w:eastAsia="Arial" w:hAnsi="Arial"/>
          <w:sz w:val="18"/>
          <w:szCs w:val="18"/>
          <w:color w:val="auto"/>
        </w:rPr>
      </w:pPr>
      <w:r>
        <w:rPr>
          <w:rFonts w:ascii="Arial" w:cs="Arial" w:eastAsia="Arial" w:hAnsi="Arial"/>
          <w:sz w:val="15"/>
          <w:szCs w:val="15"/>
          <w:color w:val="auto"/>
        </w:rPr>
        <w:t>Federal Reserve Bank of San Francisco San Francisco, California 94120</w:t>
      </w:r>
    </w:p>
    <w:p>
      <w:pPr>
        <w:spacing w:after="0" w:line="143"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trustee is authorized to exercise corporate trust powers.</w:t>
      </w:r>
    </w:p>
    <w:p>
      <w:pPr>
        <w:spacing w:after="0" w:line="225" w:lineRule="exact"/>
        <w:rPr>
          <w:sz w:val="20"/>
          <w:szCs w:val="20"/>
          <w:color w:val="auto"/>
        </w:rPr>
      </w:pPr>
    </w:p>
    <w:p>
      <w:pPr>
        <w:spacing w:after="0"/>
        <w:tabs>
          <w:tab w:leader="none" w:pos="660" w:val="left"/>
          <w:tab w:leader="none" w:pos="2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i w:val="1"/>
          <w:iCs w:val="1"/>
          <w:color w:val="auto"/>
        </w:rPr>
        <w:t>Affiliations with Obligor.</w:t>
      </w:r>
      <w:r>
        <w:rPr>
          <w:sz w:val="20"/>
          <w:szCs w:val="20"/>
          <w:color w:val="auto"/>
        </w:rPr>
        <w:tab/>
      </w:r>
      <w:r>
        <w:rPr>
          <w:rFonts w:ascii="Arial" w:cs="Arial" w:eastAsia="Arial" w:hAnsi="Arial"/>
          <w:sz w:val="16"/>
          <w:szCs w:val="16"/>
          <w:color w:val="auto"/>
        </w:rPr>
        <w:t>If the obligor is an affiliate of the trustee, describe each such affiliation.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 responses are included for Items 3-14 of this Form T-1 because the obligor is not in default as provided under Item 13.</w:t>
      </w:r>
    </w:p>
    <w:p>
      <w:pPr>
        <w:spacing w:after="0" w:line="260" w:lineRule="exact"/>
        <w:rPr>
          <w:sz w:val="20"/>
          <w:szCs w:val="20"/>
          <w:color w:val="auto"/>
        </w:rPr>
      </w:pPr>
    </w:p>
    <w:p>
      <w:pPr>
        <w:spacing w:after="0"/>
        <w:tabs>
          <w:tab w:leader="none" w:pos="740" w:val="left"/>
          <w:tab w:leader="none" w:pos="208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8"/>
          <w:szCs w:val="18"/>
          <w:i w:val="1"/>
          <w:iCs w:val="1"/>
          <w:color w:val="auto"/>
        </w:rPr>
        <w:t>Foreign Trustee.</w:t>
      </w:r>
      <w:r>
        <w:rPr>
          <w:sz w:val="20"/>
          <w:szCs w:val="20"/>
          <w:color w:val="auto"/>
        </w:rPr>
        <w:tab/>
      </w:r>
      <w:r>
        <w:rPr>
          <w:rFonts w:ascii="Arial" w:cs="Arial" w:eastAsia="Arial" w:hAnsi="Arial"/>
          <w:sz w:val="16"/>
          <w:szCs w:val="16"/>
          <w:color w:val="auto"/>
        </w:rPr>
        <w:t>Not applicable.</w:t>
      </w:r>
    </w:p>
    <w:p>
      <w:pPr>
        <w:spacing w:after="0" w:line="225" w:lineRule="exact"/>
        <w:rPr>
          <w:sz w:val="20"/>
          <w:szCs w:val="20"/>
          <w:color w:val="auto"/>
        </w:rPr>
      </w:pPr>
    </w:p>
    <w:p>
      <w:pPr>
        <w:spacing w:after="0"/>
        <w:tabs>
          <w:tab w:leader="none" w:pos="740" w:val="left"/>
          <w:tab w:leader="none" w:pos="204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8"/>
          <w:szCs w:val="18"/>
          <w:i w:val="1"/>
          <w:iCs w:val="1"/>
          <w:color w:val="auto"/>
        </w:rPr>
        <w:t>List of Exhibits.</w:t>
      </w:r>
      <w:r>
        <w:rPr>
          <w:sz w:val="20"/>
          <w:szCs w:val="20"/>
          <w:color w:val="auto"/>
        </w:rPr>
        <w:tab/>
      </w:r>
      <w:r>
        <w:rPr>
          <w:rFonts w:ascii="Arial" w:cs="Arial" w:eastAsia="Arial" w:hAnsi="Arial"/>
          <w:sz w:val="16"/>
          <w:szCs w:val="16"/>
          <w:color w:val="auto"/>
        </w:rPr>
        <w:t>List below all exhibits filed as a part of this Statement of Eligibility.</w:t>
      </w:r>
    </w:p>
    <w:p>
      <w:pPr>
        <w:sectPr>
          <w:pgSz w:w="11900" w:h="16838" w:orient="portrait"/>
          <w:cols w:equalWidth="0" w:num="1">
            <w:col w:w="11140"/>
          </w:cols>
          <w:pgMar w:left="240" w:top="131" w:right="519" w:bottom="1440" w:gutter="0" w:footer="0" w:header="0"/>
        </w:sectPr>
      </w:pP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 copy of the Articles of Association of the trustee now in effect.*</w:t>
      </w:r>
    </w:p>
    <w:p>
      <w:pPr>
        <w:spacing w:after="0" w:line="200"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700"/>
        <w:spacing w:after="0" w:line="332" w:lineRule="auto"/>
        <w:rPr>
          <w:sz w:val="20"/>
          <w:szCs w:val="20"/>
          <w:color w:val="auto"/>
        </w:rPr>
      </w:pPr>
      <w:r>
        <w:rPr>
          <w:rFonts w:ascii="Arial" w:cs="Arial" w:eastAsia="Arial" w:hAnsi="Arial"/>
          <w:sz w:val="16"/>
          <w:szCs w:val="16"/>
          <w:color w:val="auto"/>
        </w:rPr>
        <w:t>A copy of the Comptroller of the Currency Certificate of Corporate Existence and Fiduciary Powers for Wells Fargo Bank, National Association, dated February 4, 2004.**</w:t>
      </w:r>
    </w:p>
    <w:p>
      <w:pPr>
        <w:spacing w:after="0" w:line="139"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Exhibit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Exhibit 2</w:t>
      </w:r>
    </w:p>
    <w:p>
      <w:pPr>
        <w:spacing w:after="0" w:line="200"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Copy of By-laws of the trustee as now in effect.***</w:t>
      </w:r>
    </w:p>
    <w:p>
      <w:pPr>
        <w:spacing w:after="0" w:line="200"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5.</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6.</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consent of the trustee required by Section 321(b) of the Act.</w:t>
      </w:r>
    </w:p>
    <w:p>
      <w:pPr>
        <w:spacing w:after="0" w:line="211"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180"/>
        <w:spacing w:after="0" w:line="268" w:lineRule="auto"/>
        <w:rPr>
          <w:sz w:val="20"/>
          <w:szCs w:val="20"/>
          <w:color w:val="auto"/>
        </w:rPr>
      </w:pPr>
      <w:r>
        <w:rPr>
          <w:rFonts w:ascii="Arial" w:cs="Arial" w:eastAsia="Arial" w:hAnsi="Arial"/>
          <w:sz w:val="18"/>
          <w:szCs w:val="18"/>
          <w:color w:val="auto"/>
        </w:rPr>
        <w:t>A copy of the latest report of condition of the trustee published pursuant to law or the requirements of its supervising or examining authority.</w:t>
      </w:r>
    </w:p>
    <w:p>
      <w:pPr>
        <w:spacing w:after="0" w:line="186"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Exhibit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Exhibit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05029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2360" w:space="600"/>
            <w:col w:w="8180"/>
          </w:cols>
          <w:pgMar w:left="240" w:top="131" w:right="519" w:bottom="1440" w:gutter="0" w:footer="0" w:header="0"/>
          <w:type w:val="continuous"/>
        </w:sectPr>
      </w:pPr>
    </w:p>
    <w:p>
      <w:pPr>
        <w:spacing w:after="0" w:line="197" w:lineRule="exact"/>
        <w:rPr>
          <w:sz w:val="20"/>
          <w:szCs w:val="20"/>
          <w:color w:val="auto"/>
        </w:rPr>
      </w:pPr>
    </w:p>
    <w:p>
      <w:pPr>
        <w:ind w:left="540" w:right="120" w:hanging="532"/>
        <w:spacing w:after="0" w:line="268"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December 30, 2005 of Hornbeck Offshore Services LLC file number 333-130784-06.</w:t>
      </w:r>
    </w:p>
    <w:p>
      <w:pPr>
        <w:spacing w:after="0" w:line="199" w:lineRule="exact"/>
        <w:rPr>
          <w:sz w:val="20"/>
          <w:szCs w:val="20"/>
          <w:color w:val="auto"/>
        </w:rPr>
      </w:pPr>
    </w:p>
    <w:p>
      <w:pPr>
        <w:ind w:left="540" w:hanging="532"/>
        <w:spacing w:after="0" w:line="268"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T-3 dated March 3, 2004 of Trans-Lux Corporation file number 022-28721.</w:t>
      </w:r>
    </w:p>
    <w:p>
      <w:pPr>
        <w:spacing w:after="0" w:line="21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Penn National Gaming Inc. file number 333-125274.</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160" w:name="page161"/>
    <w:bookmarkEnd w:id="160"/>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May 2007.</w:t>
      </w:r>
    </w:p>
    <w:p>
      <w:pPr>
        <w:spacing w:after="0" w:line="26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Jane Y. Schweiger</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color w:val="auto"/>
        </w:rPr>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Jane Y. Schweiger</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December 31, 2006, filed in accordance with 12 U.S.C. §161 for National Banks.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13"/>
              <w:spacing w:after="0"/>
              <w:rPr>
                <w:sz w:val="20"/>
                <w:szCs w:val="20"/>
                <w:color w:val="auto"/>
              </w:rPr>
            </w:pPr>
            <w:r>
              <w:rPr>
                <w:rFonts w:ascii="Arial" w:cs="Arial" w:eastAsia="Arial" w:hAnsi="Arial"/>
                <w:sz w:val="14"/>
                <w:szCs w:val="14"/>
                <w:b w:val="1"/>
                <w:bCs w:val="1"/>
                <w:color w:val="auto"/>
              </w:rPr>
              <w:t>Dollar Amounts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453"/>
              <w:spacing w:after="0"/>
              <w:rPr>
                <w:sz w:val="20"/>
                <w:szCs w:val="20"/>
                <w:color w:val="auto"/>
              </w:rPr>
            </w:pPr>
            <w:r>
              <w:rPr>
                <w:rFonts w:ascii="Arial" w:cs="Arial" w:eastAsia="Arial" w:hAnsi="Arial"/>
                <w:sz w:val="14"/>
                <w:szCs w:val="14"/>
                <w:b w:val="1"/>
                <w:bCs w:val="1"/>
                <w:color w:val="auto"/>
              </w:rPr>
              <w:t>In Millions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Interest-bearing balances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 funds sold in domestic offices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Securities purchased under agreements to resell</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252,936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250,848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Trading Assets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3,060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18,458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398,671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6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76,347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39,196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39,184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4,271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Trading liabilities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Other borrowed money (includes mortgage indebtedness and obligations under capitalized leases)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10,164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358,340</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 in consolidated subsidiaries</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660" w:type="dxa"/>
            <w:vAlign w:val="bottom"/>
            <w:gridSpan w:val="2"/>
          </w:tcPr>
          <w:p>
            <w:pPr>
              <w:spacing w:after="0"/>
              <w:rPr>
                <w:sz w:val="20"/>
                <w:szCs w:val="20"/>
                <w:color w:val="auto"/>
              </w:rPr>
            </w:pPr>
            <w:r>
              <w:rPr>
                <w:rFonts w:ascii="Arial" w:cs="Arial" w:eastAsia="Arial" w:hAnsi="Arial"/>
                <w:sz w:val="18"/>
                <w:szCs w:val="18"/>
                <w:color w:val="auto"/>
              </w:rPr>
              <w:t>EQUITY CAPITAL</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14,549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2"/>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398,671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-8384540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-8384540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-5074285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-5074285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-2415540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-2415540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-751840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-751840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-460375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-460375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-168910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-168910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572" w:gutter="0" w:footer="0" w:header="0"/>
        </w:sectPr>
      </w:pPr>
    </w:p>
    <w:bookmarkStart w:id="163" w:name="page164"/>
    <w:bookmarkEnd w:id="163"/>
    <w:p>
      <w:pPr>
        <w:ind w:right="380" w:firstLine="351"/>
        <w:spacing w:after="0" w:line="332" w:lineRule="auto"/>
        <w:rPr>
          <w:sz w:val="20"/>
          <w:szCs w:val="20"/>
          <w:color w:val="auto"/>
        </w:rPr>
      </w:pPr>
      <w:r>
        <w:rPr>
          <w:rFonts w:ascii="Arial" w:cs="Arial" w:eastAsia="Arial" w:hAnsi="Arial"/>
          <w:sz w:val="16"/>
          <w:szCs w:val="16"/>
          <w:color w:val="auto"/>
        </w:rPr>
        <w:t>I, Karen B. Nelson, Vice President of the above-named bank do hereby declare that this Report of Condition has been prepared in conformance with the instructions issued by the appropriate Federal regulatory authority and is true to the best of my knowledge and belief.</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Karen B. Nelson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ind w:right="500" w:firstLine="348"/>
        <w:spacing w:after="0" w:line="370" w:lineRule="auto"/>
        <w:rPr>
          <w:sz w:val="20"/>
          <w:szCs w:val="20"/>
          <w:color w:val="auto"/>
        </w:rPr>
      </w:pPr>
      <w:r>
        <w:rPr>
          <w:rFonts w:ascii="Arial" w:cs="Arial" w:eastAsia="Arial" w:hAnsi="Arial"/>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Avid Modijtabai</w:t>
      </w:r>
    </w:p>
    <w:p>
      <w:pPr>
        <w:spacing w:after="0" w:line="15"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John Stumpf</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Tolstedt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QuickLinks</w:t>
      </w:r>
    </w:p>
    <w:p>
      <w:pPr>
        <w:spacing w:after="0" w:line="254" w:lineRule="exact"/>
        <w:rPr>
          <w:sz w:val="20"/>
          <w:szCs w:val="20"/>
          <w:color w:val="auto"/>
        </w:rPr>
      </w:pPr>
    </w:p>
    <w:p>
      <w:pPr>
        <w:spacing w:after="0"/>
        <w:rPr>
          <w:rFonts w:ascii="Arial" w:cs="Arial" w:eastAsia="Arial" w:hAnsi="Arial"/>
          <w:sz w:val="16"/>
          <w:szCs w:val="16"/>
          <w:u w:val="single" w:color="auto"/>
          <w:color w:val="0000EE"/>
        </w:rPr>
      </w:pPr>
      <w:hyperlink w:anchor="page161">
        <w:r>
          <w:rPr>
            <w:rFonts w:ascii="Arial" w:cs="Arial" w:eastAsia="Arial" w:hAnsi="Arial"/>
            <w:sz w:val="16"/>
            <w:szCs w:val="16"/>
            <w:u w:val="single" w:color="auto"/>
            <w:color w:val="0000EE"/>
          </w:rPr>
          <w:t>SIGNATURE</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decimal"/>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1)"/>
      <w:numFmt w:val="decimal"/>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1)"/>
      <w:numFmt w:val="decimal"/>
      <w:start w:val="1"/>
    </w:lvl>
    <w:lvl w:ilvl="1">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1)"/>
      <w:numFmt w:val="lowerRoman"/>
      <w:start w:val="1"/>
    </w:lvl>
  </w:abstractNum>
  <w:abstractNum w:abstractNumId="24">
    <w:nsid w:val="5FB8011C"/>
    <w:multiLevelType w:val="hybridMultilevel"/>
    <w:lvl w:ilvl="0">
      <w:lvlJc w:val="left"/>
      <w:lvlText w:val="•"/>
      <w:numFmt w:val="bullet"/>
      <w:start w:val="1"/>
    </w:lvl>
    <w:lvl w:ilvl="1">
      <w:lvlJc w:val="left"/>
      <w:lvlText w:val="(%2)"/>
      <w:numFmt w:val="lowerRoman"/>
      <w:start w:val="2"/>
    </w:lvl>
  </w:abstractNum>
  <w:abstractNum w:abstractNumId="25">
    <w:nsid w:val="6AA78F7F"/>
    <w:multiLevelType w:val="hybridMultilevel"/>
    <w:lvl w:ilvl="0">
      <w:lvlJc w:val="left"/>
      <w:lvlText w:val="%1"/>
      <w:numFmt w:val="decimal"/>
      <w:start w:val="1"/>
    </w:lvl>
    <w:lvl w:ilvl="1">
      <w:lvlJc w:val="left"/>
      <w:lvlText w:val="(%2)"/>
      <w:numFmt w:val="lowerRoman"/>
      <w:start w:val="5"/>
    </w:lvl>
    <w:lvl w:ilvl="2">
      <w:lvlJc w:val="left"/>
      <w:lvlText w:val="•"/>
      <w:numFmt w:val="bullet"/>
      <w:start w:val="1"/>
    </w:lvl>
  </w:abstractNum>
  <w:abstractNum w:abstractNumId="26">
    <w:nsid w:val="7672BD23"/>
    <w:multiLevelType w:val="hybridMultilevel"/>
    <w:lvl w:ilvl="0">
      <w:lvlJc w:val="left"/>
      <w:lvlText w:val="(%1)"/>
      <w:numFmt w:val="decimal"/>
      <w:start w:val="1"/>
    </w:lvl>
    <w:lvl w:ilvl="1">
      <w:lvlJc w:val="left"/>
      <w:lvlText w:val="(%2)"/>
      <w:numFmt w:val="lowerRoman"/>
      <w:start w:val="5"/>
    </w:lvl>
    <w:lvl w:ilvl="2">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decimal"/>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1)"/>
      <w:numFmt w:val="decimal"/>
      <w:start w:val="3"/>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lowerLetter"/>
      <w:start w:val="2"/>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9">
    <w:nsid w:val="78DF6A55"/>
    <w:multiLevelType w:val="hybridMultilevel"/>
    <w:lvl w:ilvl="0">
      <w:lvlJc w:val="left"/>
      <w:lvlText w:val="(%1)"/>
      <w:numFmt w:val="upperLetter"/>
      <w:start w:val="1"/>
    </w:lvl>
  </w:abstractNum>
  <w:abstractNum w:abstractNumId="60">
    <w:nsid w:val="39B7AAA2"/>
    <w:multiLevelType w:val="hybridMultilevel"/>
    <w:lvl w:ilvl="0">
      <w:lvlJc w:val="left"/>
      <w:lvlText w:val="(%1)"/>
      <w:numFmt w:val="decimal"/>
      <w:start w:val="2"/>
    </w:lvl>
  </w:abstractNum>
  <w:abstractNum w:abstractNumId="61">
    <w:nsid w:val="2B0D8DBE"/>
    <w:multiLevelType w:val="hybridMultilevel"/>
    <w:lvl w:ilvl="0">
      <w:lvlJc w:val="left"/>
      <w:lvlText w:val="(%1)"/>
      <w:numFmt w:val="decimal"/>
      <w:start w:val="3"/>
    </w:lvl>
    <w:lvl w:ilvl="1">
      <w:lvlJc w:val="left"/>
      <w:lvlText w:val="(%2)"/>
      <w:numFmt w:val="upperLetter"/>
      <w:start w:val="1"/>
    </w:lvl>
  </w:abstractNum>
  <w:abstractNum w:abstractNumId="62">
    <w:nsid w:val="6C80EC70"/>
    <w:multiLevelType w:val="hybridMultilevel"/>
    <w:lvl w:ilvl="0">
      <w:lvlJc w:val="left"/>
      <w:lvlText w:val="(%1)"/>
      <w:numFmt w:val="decimal"/>
      <w:start w:val="5"/>
    </w:lvl>
  </w:abstractNum>
  <w:abstractNum w:abstractNumId="63">
    <w:nsid w:val="379E21B5"/>
    <w:multiLevelType w:val="hybridMultilevel"/>
    <w:lvl w:ilvl="0">
      <w:lvlJc w:val="left"/>
      <w:lvlText w:val="%1"/>
      <w:numFmt w:val="lowerLetter"/>
      <w:start w:val="1"/>
    </w:lvl>
    <w:lvl w:ilvl="1">
      <w:lvlJc w:val="left"/>
      <w:lvlText w:val="(%2)"/>
      <w:numFmt w:val="lowerRoman"/>
      <w:start w:val="1"/>
    </w:lvl>
  </w:abstractNum>
  <w:abstractNum w:abstractNumId="64">
    <w:nsid w:val="69E373"/>
    <w:multiLevelType w:val="hybridMultilevel"/>
    <w:lvl w:ilvl="0">
      <w:lvlJc w:val="left"/>
      <w:lvlText w:val="(%1)"/>
      <w:numFmt w:val="lowerLetter"/>
      <w:start w:val="2"/>
    </w:lvl>
    <w:lvl w:ilvl="1">
      <w:lvlJc w:val="left"/>
      <w:lvlText w:val="%2"/>
      <w:numFmt w:val="lowerRoman"/>
      <w:start w:val="1"/>
    </w:lvl>
  </w:abstractNum>
  <w:abstractNum w:abstractNumId="65">
    <w:nsid w:val="2C27173B"/>
    <w:multiLevelType w:val="hybridMultilevel"/>
    <w:lvl w:ilvl="0">
      <w:lvlJc w:val="left"/>
      <w:lvlText w:val="(%1)"/>
      <w:numFmt w:val="lowerLetter"/>
      <w:start w:val="3"/>
    </w:lvl>
    <w:lvl w:ilvl="1">
      <w:lvlJc w:val="left"/>
      <w:lvlText w:val="(%2)"/>
      <w:numFmt w:val="decimal"/>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Letter"/>
      <w:start w:val="1"/>
    </w:lvl>
  </w:abstractNum>
  <w:abstractNum w:abstractNumId="70">
    <w:nsid w:val="3DD15094"/>
    <w:multiLevelType w:val="hybridMultilevel"/>
    <w:lvl w:ilvl="0">
      <w:lvlJc w:val="left"/>
      <w:lvlText w:val="(%1)"/>
      <w:numFmt w:val="lowerLetter"/>
      <w:start w:val="35"/>
    </w:lvl>
    <w:lvl w:ilvl="1">
      <w:lvlJc w:val="left"/>
      <w:lvlText w:val="(%2)"/>
      <w:numFmt w:val="lowerLetter"/>
      <w:start w:val="3"/>
    </w:lvl>
  </w:abstractNum>
  <w:abstractNum w:abstractNumId="71">
    <w:nsid w:val="3DB012B3"/>
    <w:multiLevelType w:val="hybridMultilevel"/>
    <w:lvl w:ilvl="0">
      <w:lvlJc w:val="left"/>
      <w:lvlText w:val="(%1)"/>
      <w:numFmt w:val="lowerLetter"/>
      <w:start w:val="2"/>
    </w:lvl>
  </w:abstractNum>
  <w:abstractNum w:abstractNumId="72">
    <w:nsid w:val="2708C9AF"/>
    <w:multiLevelType w:val="hybridMultilevel"/>
    <w:lvl w:ilvl="0">
      <w:lvlJc w:val="left"/>
      <w:lvlText w:val="(%1)"/>
      <w:numFmt w:val="lowerRoman"/>
      <w:start w:val="1"/>
    </w:lvl>
  </w:abstractNum>
  <w:abstractNum w:abstractNumId="73">
    <w:nsid w:val="5B25ACE2"/>
    <w:multiLevelType w:val="hybridMultilevel"/>
    <w:lvl w:ilvl="0">
      <w:lvlJc w:val="left"/>
      <w:lvlText w:val="%1"/>
      <w:numFmt w:val="decimal"/>
      <w:start w:val="1"/>
    </w:lvl>
    <w:lvl w:ilvl="1">
      <w:lvlJc w:val="left"/>
      <w:lvlText w:val="(%2)"/>
      <w:numFmt w:val="upperLetter"/>
      <w:start w:val="1"/>
    </w:lvl>
  </w:abstractNum>
  <w:abstractNum w:abstractNumId="74">
    <w:nsid w:val="175DFCF0"/>
    <w:multiLevelType w:val="hybridMultilevel"/>
    <w:lvl w:ilvl="0">
      <w:lvlJc w:val="left"/>
      <w:lvlText w:val="(%1)"/>
      <w:numFmt w:val="decimal"/>
      <w:start w:val="1"/>
    </w:lvl>
    <w:lvl w:ilvl="1">
      <w:lvlJc w:val="left"/>
      <w:lvlText w:val="(%2)"/>
      <w:numFmt w:val="upperLetter"/>
      <w:start w:val="3"/>
    </w:lvl>
  </w:abstractNum>
  <w:abstractNum w:abstractNumId="75">
    <w:nsid w:val="4F97E3E4"/>
    <w:multiLevelType w:val="hybridMultilevel"/>
    <w:lvl w:ilvl="0">
      <w:lvlJc w:val="left"/>
      <w:lvlText w:val="(%1)"/>
      <w:numFmt w:val="lowerLetter"/>
      <w:start w:val="2"/>
    </w:lvl>
    <w:lvl w:ilvl="1">
      <w:lvlJc w:val="left"/>
      <w:lvlText w:val="(%2)"/>
      <w:numFmt w:val="lowerRoman"/>
      <w:start w:val="1"/>
    </w:lvl>
  </w:abstractNum>
  <w:abstractNum w:abstractNumId="76">
    <w:nsid w:val="53B0A9E"/>
    <w:multiLevelType w:val="hybridMultilevel"/>
    <w:lvl w:ilvl="0">
      <w:lvlJc w:val="left"/>
      <w:lvlText w:val="(%1)"/>
      <w:numFmt w:val="lowerRoman"/>
      <w:start w:val="3"/>
    </w:lvl>
  </w:abstractNum>
  <w:abstractNum w:abstractNumId="77">
    <w:nsid w:val="34FD6B4F"/>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8"/>
    </w:lvl>
  </w:abstractNum>
  <w:abstractNum w:abstractNumId="78">
    <w:nsid w:val="5915FF3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79">
    <w:nsid w:val="56438D15"/>
    <w:multiLevelType w:val="hybridMultilevel"/>
    <w:lvl w:ilvl="0">
      <w:lvlJc w:val="left"/>
      <w:lvlText w:val="(%1)"/>
      <w:numFmt w:val="lowerLetter"/>
      <w:start w:val="2"/>
    </w:lvl>
    <w:lvl w:ilvl="1">
      <w:lvlJc w:val="left"/>
      <w:lvlText w:val="(%2)"/>
      <w:numFmt w:val="lowerRoman"/>
      <w:start w:val="1"/>
    </w:lvl>
  </w:abstractNum>
  <w:abstractNum w:abstractNumId="80">
    <w:nsid w:val="519E3149"/>
    <w:multiLevelType w:val="hybridMultilevel"/>
    <w:lvl w:ilvl="0">
      <w:lvlJc w:val="left"/>
      <w:lvlText w:val="(%1)"/>
      <w:numFmt w:val="lowerLetter"/>
      <w:start w:val="1"/>
    </w:lvl>
  </w:abstractNum>
  <w:abstractNum w:abstractNumId="81">
    <w:nsid w:val="2C6E4AFD"/>
    <w:multiLevelType w:val="hybridMultilevel"/>
    <w:lvl w:ilvl="0">
      <w:lvlJc w:val="left"/>
      <w:lvlText w:val="(%1)"/>
      <w:numFmt w:val="lowerLetter"/>
      <w:start w:val="2"/>
    </w:lvl>
  </w:abstractNum>
  <w:abstractNum w:abstractNumId="82">
    <w:nsid w:val="17A1B582"/>
    <w:multiLevelType w:val="hybridMultilevel"/>
    <w:lvl w:ilvl="0">
      <w:lvlJc w:val="left"/>
      <w:lvlText w:val="(%1)"/>
      <w:numFmt w:val="lowerLetter"/>
      <w:start w:val="1"/>
    </w:lvl>
  </w:abstractNum>
  <w:abstractNum w:abstractNumId="83">
    <w:nsid w:val="4DF72E4E"/>
    <w:multiLevelType w:val="hybridMultilevel"/>
    <w:lvl w:ilvl="0">
      <w:lvlJc w:val="left"/>
      <w:lvlText w:val="(%1)"/>
      <w:numFmt w:val="lowerRoman"/>
      <w:start w:val="1"/>
    </w:lvl>
  </w:abstractNum>
  <w:abstractNum w:abstractNumId="84">
    <w:nsid w:val="5046B5A9"/>
    <w:multiLevelType w:val="hybridMultilevel"/>
    <w:lvl w:ilvl="0">
      <w:lvlJc w:val="left"/>
      <w:lvlText w:val="%1"/>
      <w:numFmt w:val="lowerLetter"/>
      <w:start w:val="1"/>
    </w:lvl>
    <w:lvl w:ilvl="1">
      <w:lvlJc w:val="left"/>
      <w:lvlText w:val="(%2)"/>
      <w:numFmt w:val="lowerRoman"/>
      <w:start w:val="2"/>
    </w:lvl>
  </w:abstractNum>
  <w:abstractNum w:abstractNumId="85">
    <w:nsid w:val="5D888A08"/>
    <w:multiLevelType w:val="hybridMultilevel"/>
    <w:lvl w:ilvl="0">
      <w:lvlJc w:val="left"/>
      <w:lvlText w:val="(%1)"/>
      <w:numFmt w:val="lowerLetter"/>
      <w:start w:val="2"/>
    </w:lvl>
    <w:lvl w:ilvl="1">
      <w:lvlJc w:val="left"/>
      <w:lvlText w:val="%2"/>
      <w:numFmt w:val="lowerRoman"/>
      <w:start w:val="1"/>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8"/>
    </w:lvl>
  </w:abstractNum>
  <w:abstractNum w:abstractNumId="88">
    <w:nsid w:val="19E21BB2"/>
    <w:multiLevelType w:val="hybridMultilevel"/>
    <w:lvl w:ilvl="0">
      <w:lvlJc w:val="left"/>
      <w:lvlText w:val="(%1)"/>
      <w:numFmt w:val="lowerRoman"/>
      <w:start w:val="1"/>
    </w:lvl>
  </w:abstractNum>
  <w:abstractNum w:abstractNumId="89">
    <w:nsid w:val="75E0858A"/>
    <w:multiLevelType w:val="hybridMultilevel"/>
    <w:lvl w:ilvl="0">
      <w:lvlJc w:val="left"/>
      <w:lvlText w:val="(%1)"/>
      <w:numFmt w:val="lowerRoman"/>
      <w:start w:val="1"/>
    </w:lvl>
  </w:abstractNum>
  <w:abstractNum w:abstractNumId="90">
    <w:nsid w:val="57A61A29"/>
    <w:multiLevelType w:val="hybridMultilevel"/>
    <w:lvl w:ilvl="0">
      <w:lvlJc w:val="left"/>
      <w:lvlText w:val="(%1)"/>
      <w:numFmt w:val="lowerLetter"/>
      <w:start w:val="1"/>
    </w:lvl>
  </w:abstractNum>
  <w:abstractNum w:abstractNumId="91">
    <w:nsid w:val="5399C654"/>
    <w:multiLevelType w:val="hybridMultilevel"/>
    <w:lvl w:ilvl="0">
      <w:lvlJc w:val="left"/>
      <w:lvlText w:val="(%1)"/>
      <w:numFmt w:val="lowerLetter"/>
      <w:start w:val="2"/>
    </w:lvl>
  </w:abstractNum>
  <w:abstractNum w:abstractNumId="92">
    <w:nsid w:val="20EE1348"/>
    <w:multiLevelType w:val="hybridMultilevel"/>
    <w:lvl w:ilvl="0">
      <w:lvlJc w:val="left"/>
      <w:lvlText w:val="(%1)"/>
      <w:numFmt w:val="lowerLetter"/>
      <w:start w:val="1"/>
    </w:lvl>
  </w:abstractNum>
  <w:abstractNum w:abstractNumId="93">
    <w:nsid w:val="4427069A"/>
    <w:multiLevelType w:val="hybridMultilevel"/>
    <w:lvl w:ilvl="0">
      <w:lvlJc w:val="left"/>
      <w:lvlText w:val="(%1)"/>
      <w:numFmt w:val="lowerLetter"/>
      <w:start w:val="2"/>
    </w:lvl>
  </w:abstractNum>
  <w:abstractNum w:abstractNumId="94">
    <w:nsid w:val="B37E80A"/>
    <w:multiLevelType w:val="hybridMultilevel"/>
    <w:lvl w:ilvl="0">
      <w:lvlJc w:val="left"/>
      <w:lvlText w:val="(%1)"/>
      <w:numFmt w:val="lowerLetter"/>
      <w:start w:val="25"/>
    </w:lvl>
  </w:abstractNum>
  <w:abstractNum w:abstractNumId="95">
    <w:nsid w:val="2157F6BC"/>
    <w:multiLevelType w:val="hybridMultilevel"/>
    <w:lvl w:ilvl="0">
      <w:lvlJc w:val="left"/>
      <w:lvlText w:val="(%1)"/>
      <w:numFmt w:val="lowerLetter"/>
      <w:start w:val="2"/>
    </w:lvl>
  </w:abstractNum>
  <w:abstractNum w:abstractNumId="96">
    <w:nsid w:val="704E1DD5"/>
    <w:multiLevelType w:val="hybridMultilevel"/>
    <w:lvl w:ilvl="0">
      <w:lvlJc w:val="left"/>
      <w:lvlText w:val="(%1)"/>
      <w:numFmt w:val="lowerRoman"/>
      <w:start w:val="2"/>
    </w:lvl>
  </w:abstractNum>
  <w:abstractNum w:abstractNumId="97">
    <w:nsid w:val="57D2F10E"/>
    <w:multiLevelType w:val="hybridMultilevel"/>
    <w:lvl w:ilvl="0">
      <w:lvlJc w:val="left"/>
      <w:lvlText w:val="(%1)"/>
      <w:numFmt w:val="lowerLetter"/>
      <w:start w:val="2"/>
    </w:lvl>
  </w:abstractNum>
  <w:abstractNum w:abstractNumId="98">
    <w:nsid w:val="BFFAE18"/>
    <w:multiLevelType w:val="hybridMultilevel"/>
    <w:lvl w:ilvl="0">
      <w:lvlJc w:val="left"/>
      <w:lvlText w:val="(%1)"/>
      <w:numFmt w:val="lowerLetter"/>
      <w:start w:val="2"/>
    </w:lvl>
    <w:lvl w:ilvl="1">
      <w:lvlJc w:val="left"/>
      <w:lvlText w:val="(%2)"/>
      <w:numFmt w:val="lowerRoman"/>
      <w:start w:val="1"/>
    </w:lvl>
  </w:abstractNum>
  <w:abstractNum w:abstractNumId="99">
    <w:nsid w:val="E3E47A8"/>
    <w:multiLevelType w:val="hybridMultilevel"/>
    <w:lvl w:ilvl="0">
      <w:lvlJc w:val="left"/>
      <w:lvlText w:val="(%1)"/>
      <w:numFmt w:val="lowerLetter"/>
      <w:start w:val="1"/>
    </w:lvl>
  </w:abstractNum>
  <w:abstractNum w:abstractNumId="100">
    <w:nsid w:val="2E48F044"/>
    <w:multiLevelType w:val="hybridMultilevel"/>
    <w:lvl w:ilvl="0">
      <w:lvlJc w:val="left"/>
      <w:lvlText w:val="(%1)"/>
      <w:numFmt w:val="lowerLetter"/>
      <w:start w:val="2"/>
    </w:lvl>
    <w:lvl w:ilvl="1">
      <w:lvlJc w:val="left"/>
      <w:lvlText w:val="(%2)"/>
      <w:numFmt w:val="lowerRoman"/>
      <w:start w:val="1"/>
    </w:lvl>
  </w:abstractNum>
  <w:abstractNum w:abstractNumId="101">
    <w:nsid w:val="49D0FEAC"/>
    <w:multiLevelType w:val="hybridMultilevel"/>
    <w:lvl w:ilvl="0">
      <w:lvlJc w:val="left"/>
      <w:lvlText w:val="(%1)"/>
      <w:numFmt w:val="lowerLetter"/>
      <w:start w:val="2"/>
    </w:lvl>
  </w:abstractNum>
  <w:abstractNum w:abstractNumId="102">
    <w:nsid w:val="4BEE5A5B"/>
    <w:multiLevelType w:val="hybridMultilevel"/>
    <w:lvl w:ilvl="0">
      <w:lvlJc w:val="left"/>
      <w:lvlText w:val="(%1)"/>
      <w:numFmt w:val="lowerLetter"/>
      <w:start w:val="2"/>
    </w:lvl>
    <w:lvl w:ilvl="1">
      <w:lvlJc w:val="left"/>
      <w:lvlText w:val="(%2)"/>
      <w:numFmt w:val="lowerLetter"/>
      <w:start w:val="24"/>
    </w:lvl>
    <w:lvl w:ilvl="2">
      <w:lvlJc w:val="left"/>
      <w:lvlText w:val="(%3)"/>
      <w:numFmt w:val="lowerRoman"/>
      <w:start w:val="1"/>
    </w:lvl>
  </w:abstractNum>
  <w:abstractNum w:abstractNumId="103">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4">
    <w:nsid w:val="24F6AB8E"/>
    <w:multiLevelType w:val="hybridMultilevel"/>
    <w:lvl w:ilvl="0">
      <w:lvlJc w:val="left"/>
      <w:lvlText w:val="(%1)"/>
      <w:numFmt w:val="lowerRoman"/>
      <w:start w:val="5"/>
    </w:lvl>
  </w:abstractNum>
  <w:abstractNum w:abstractNumId="105">
    <w:nsid w:val="634C574C"/>
    <w:multiLevelType w:val="hybridMultilevel"/>
    <w:lvl w:ilvl="0">
      <w:lvlJc w:val="left"/>
      <w:lvlText w:val="(%1)"/>
      <w:numFmt w:val="lowerLetter"/>
      <w:start w:val="4"/>
    </w:lvl>
  </w:abstractNum>
  <w:abstractNum w:abstractNumId="106">
    <w:nsid w:val="24E99DD7"/>
    <w:multiLevelType w:val="hybridMultilevel"/>
    <w:lvl w:ilvl="0">
      <w:lvlJc w:val="left"/>
      <w:lvlText w:val="(%1)"/>
      <w:numFmt w:val="lowerLetter"/>
      <w:start w:val="5"/>
    </w:lvl>
  </w:abstractNum>
  <w:abstractNum w:abstractNumId="107">
    <w:nsid w:val="2A31B62D"/>
    <w:multiLevelType w:val="hybridMultilevel"/>
    <w:lvl w:ilvl="0">
      <w:lvlJc w:val="left"/>
      <w:lvlText w:val="%1"/>
      <w:numFmt w:val="lowerLetter"/>
      <w:start w:val="1"/>
    </w:lvl>
    <w:lvl w:ilvl="1">
      <w:lvlJc w:val="left"/>
      <w:lvlText w:val="(%2)"/>
      <w:numFmt w:val="lowerLetter"/>
      <w:start w:val="6"/>
    </w:lvl>
  </w:abstractNum>
  <w:abstractNum w:abstractNumId="108">
    <w:nsid w:val="1849C29B"/>
    <w:multiLevelType w:val="hybridMultilevel"/>
    <w:lvl w:ilvl="0">
      <w:lvlJc w:val="left"/>
      <w:lvlText w:val="(%1)"/>
      <w:numFmt w:val="lowerLetter"/>
      <w:start w:val="35"/>
    </w:lvl>
    <w:lvl w:ilvl="1">
      <w:lvlJc w:val="left"/>
      <w:lvlText w:val="(%2)"/>
      <w:numFmt w:val="lowerLetter"/>
      <w:start w:val="7"/>
    </w:lvl>
  </w:abstractNum>
  <w:abstractNum w:abstractNumId="109">
    <w:nsid w:val="7DFF9D09"/>
    <w:multiLevelType w:val="hybridMultilevel"/>
    <w:lvl w:ilvl="0">
      <w:lvlJc w:val="left"/>
      <w:lvlText w:val="(%1)"/>
      <w:numFmt w:val="decimal"/>
      <w:start w:val="1"/>
    </w:lvl>
  </w:abstractNum>
  <w:abstractNum w:abstractNumId="110">
    <w:nsid w:val="754342"/>
    <w:multiLevelType w:val="hybridMultilevel"/>
    <w:lvl w:ilvl="0">
      <w:lvlJc w:val="left"/>
      <w:lvlText w:val="(%1)"/>
      <w:numFmt w:val="lowerLetter"/>
      <w:start w:val="2"/>
    </w:lvl>
  </w:abstractNum>
  <w:abstractNum w:abstractNumId="111">
    <w:nsid w:val="69E7F3E5"/>
    <w:multiLevelType w:val="hybridMultilevel"/>
    <w:lvl w:ilvl="0">
      <w:lvlJc w:val="left"/>
      <w:lvlText w:val="%1"/>
      <w:numFmt w:val="lowerRoman"/>
      <w:start w:val="1"/>
    </w:lvl>
    <w:lvl w:ilvl="1">
      <w:lvlJc w:val="left"/>
      <w:lvlText w:val="(%2)"/>
      <w:numFmt w:val="decimal"/>
      <w:start w:val="1"/>
    </w:lvl>
  </w:abstractNum>
  <w:abstractNum w:abstractNumId="112">
    <w:nsid w:val="2A6DE806"/>
    <w:multiLevelType w:val="hybridMultilevel"/>
    <w:lvl w:ilvl="0">
      <w:lvlJc w:val="left"/>
      <w:lvlText w:val="(%1)"/>
      <w:numFmt w:val="lowerRoman"/>
      <w:start w:val="2"/>
    </w:lvl>
    <w:lvl w:ilvl="1">
      <w:lvlJc w:val="left"/>
      <w:lvlText w:val="(%2)"/>
      <w:numFmt w:val="decimal"/>
      <w:start w:val="2"/>
    </w:lvl>
  </w:abstractNum>
  <w:abstractNum w:abstractNumId="113">
    <w:nsid w:val="1816F8C4"/>
    <w:multiLevelType w:val="hybridMultilevel"/>
    <w:lvl w:ilvl="0">
      <w:lvlJc w:val="left"/>
      <w:lvlText w:val="%1"/>
      <w:numFmt w:val="lowerLetter"/>
      <w:start w:val="1"/>
    </w:lvl>
    <w:lvl w:ilvl="1">
      <w:lvlJc w:val="left"/>
      <w:lvlText w:val="(%2)"/>
      <w:numFmt w:val="decimal"/>
      <w:start w:val="3"/>
    </w:lvl>
  </w:abstractNum>
  <w:abstractNum w:abstractNumId="114">
    <w:nsid w:val="37DF2233"/>
    <w:multiLevelType w:val="hybridMultilevel"/>
    <w:lvl w:ilvl="0">
      <w:lvlJc w:val="left"/>
      <w:lvlText w:val="(%1)"/>
      <w:numFmt w:val="lowerLetter"/>
      <w:start w:val="3"/>
    </w:lvl>
    <w:lvl w:ilvl="1">
      <w:lvlJc w:val="left"/>
      <w:lvlText w:val="%2"/>
      <w:numFmt w:val="decimal"/>
      <w:start w:val="1"/>
    </w:lvl>
  </w:abstractNum>
  <w:abstractNum w:abstractNumId="115">
    <w:nsid w:val="7AB49DAF"/>
    <w:multiLevelType w:val="hybridMultilevel"/>
    <w:lvl w:ilvl="0">
      <w:lvlJc w:val="left"/>
      <w:lvlText w:val="(%1)"/>
      <w:numFmt w:val="lowerLetter"/>
      <w:start w:val="6"/>
    </w:lvl>
  </w:abstractNum>
  <w:abstractNum w:abstractNumId="116">
    <w:nsid w:val="759F82CD"/>
    <w:multiLevelType w:val="hybridMultilevel"/>
    <w:lvl w:ilvl="0">
      <w:lvlJc w:val="left"/>
      <w:lvlText w:val="(%1)"/>
      <w:numFmt w:val="lowerLetter"/>
      <w:start w:val="7"/>
    </w:lvl>
  </w:abstractNum>
  <w:abstractNum w:abstractNumId="117">
    <w:nsid w:val="61E74EA3"/>
    <w:multiLevelType w:val="hybridMultilevel"/>
    <w:lvl w:ilvl="0">
      <w:lvlJc w:val="left"/>
      <w:lvlText w:val="(%1)"/>
      <w:numFmt w:val="lowerRoman"/>
      <w:start w:val="1"/>
    </w:lvl>
  </w:abstractNum>
  <w:abstractNum w:abstractNumId="118">
    <w:nsid w:val="597B4D84"/>
    <w:multiLevelType w:val="hybridMultilevel"/>
    <w:lvl w:ilvl="0">
      <w:lvlJc w:val="left"/>
      <w:lvlText w:val="(%1)"/>
      <w:numFmt w:val="lowerRoman"/>
      <w:start w:val="2"/>
    </w:lvl>
  </w:abstractNum>
  <w:abstractNum w:abstractNumId="119">
    <w:nsid w:val="F819E7F"/>
    <w:multiLevelType w:val="hybridMultilevel"/>
    <w:lvl w:ilvl="0">
      <w:lvlJc w:val="left"/>
      <w:lvlText w:val="(%1)"/>
      <w:numFmt w:val="lowerLetter"/>
      <w:start w:val="2"/>
    </w:lvl>
  </w:abstractNum>
  <w:abstractNum w:abstractNumId="120">
    <w:nsid w:val="57C7D42D"/>
    <w:multiLevelType w:val="hybridMultilevel"/>
    <w:lvl w:ilvl="0">
      <w:lvlJc w:val="left"/>
      <w:lvlText w:val="(%1)"/>
      <w:numFmt w:val="lowerLetter"/>
      <w:start w:val="24"/>
    </w:lvl>
  </w:abstractNum>
  <w:abstractNum w:abstractNumId="121">
    <w:nsid w:val="312167AD"/>
    <w:multiLevelType w:val="hybridMultilevel"/>
    <w:lvl w:ilvl="0">
      <w:lvlJc w:val="left"/>
      <w:lvlText w:val="(%1)"/>
      <w:numFmt w:val="lowerLetter"/>
      <w:start w:val="1"/>
    </w:lvl>
    <w:lvl w:ilvl="1">
      <w:lvlJc w:val="left"/>
      <w:lvlText w:val="(%2)"/>
      <w:numFmt w:val="lowerRoman"/>
      <w:start w:val="1"/>
    </w:lvl>
  </w:abstractNum>
  <w:abstractNum w:abstractNumId="122">
    <w:nsid w:val="631B64D4"/>
    <w:multiLevelType w:val="hybridMultilevel"/>
    <w:lvl w:ilvl="0">
      <w:lvlJc w:val="left"/>
      <w:lvlText w:val="(%1)"/>
      <w:numFmt w:val="lowerLetter"/>
      <w:start w:val="2"/>
    </w:lvl>
    <w:lvl w:ilvl="1">
      <w:lvlJc w:val="left"/>
      <w:lvlText w:val="(%2)"/>
      <w:numFmt w:val="lowerLetter"/>
      <w:start w:val="24"/>
    </w:lvl>
  </w:abstractNum>
  <w:abstractNum w:abstractNumId="123">
    <w:nsid w:val="78B5E776"/>
    <w:multiLevelType w:val="hybridMultilevel"/>
    <w:lvl w:ilvl="0">
      <w:lvlJc w:val="left"/>
      <w:lvlText w:val="(%1)"/>
      <w:numFmt w:val="lowerLetter"/>
      <w:start w:val="3"/>
    </w:lvl>
  </w:abstractNum>
  <w:abstractNum w:abstractNumId="124">
    <w:nsid w:val="75486E47"/>
    <w:multiLevelType w:val="hybridMultilevel"/>
    <w:lvl w:ilvl="0">
      <w:lvlJc w:val="left"/>
      <w:lvlText w:val="(%1)"/>
      <w:numFmt w:val="lowerLetter"/>
      <w:start w:val="24"/>
    </w:lvl>
  </w:abstractNum>
  <w:abstractNum w:abstractNumId="125">
    <w:nsid w:val="6E534CDE"/>
    <w:multiLevelType w:val="hybridMultilevel"/>
    <w:lvl w:ilvl="0">
      <w:lvlJc w:val="left"/>
      <w:lvlText w:val="(%1)"/>
      <w:numFmt w:val="lowerLetter"/>
      <w:start w:val="24"/>
    </w:lvl>
  </w:abstractNum>
  <w:abstractNum w:abstractNumId="126">
    <w:nsid w:val="1A0DDE32"/>
    <w:multiLevelType w:val="hybridMultilevel"/>
    <w:lvl w:ilvl="0">
      <w:lvlJc w:val="left"/>
      <w:lvlText w:val="(%1)"/>
      <w:numFmt w:val="lowerRoman"/>
      <w:start w:val="2"/>
    </w:lvl>
  </w:abstractNum>
  <w:abstractNum w:abstractNumId="127">
    <w:nsid w:val="65968C1C"/>
    <w:multiLevelType w:val="hybridMultilevel"/>
    <w:lvl w:ilvl="0">
      <w:lvlJc w:val="left"/>
      <w:lvlText w:val="(%1)"/>
      <w:numFmt w:val="lowerLetter"/>
      <w:start w:val="1"/>
    </w:lvl>
  </w:abstractNum>
  <w:abstractNum w:abstractNumId="128">
    <w:nsid w:val="46263DEC"/>
    <w:multiLevelType w:val="hybridMultilevel"/>
    <w:lvl w:ilvl="0">
      <w:lvlJc w:val="left"/>
      <w:lvlText w:val="(%1)"/>
      <w:numFmt w:val="lowerLetter"/>
      <w:start w:val="2"/>
    </w:lvl>
  </w:abstractNum>
  <w:abstractNum w:abstractNumId="129">
    <w:nsid w:val="260D8C4A"/>
    <w:multiLevelType w:val="hybridMultilevel"/>
    <w:lvl w:ilvl="0">
      <w:lvlJc w:val="left"/>
      <w:lvlText w:val="(%1)"/>
      <w:numFmt w:val="lowerLetter"/>
      <w:start w:val="4"/>
    </w:lvl>
  </w:abstractNum>
  <w:abstractNum w:abstractNumId="130">
    <w:nsid w:val="73D4D3C4"/>
    <w:multiLevelType w:val="hybridMultilevel"/>
    <w:lvl w:ilvl="0">
      <w:lvlJc w:val="left"/>
      <w:lvlText w:val="(%1)"/>
      <w:numFmt w:val="lowerLetter"/>
      <w:start w:val="5"/>
    </w:lvl>
  </w:abstractNum>
  <w:abstractNum w:abstractNumId="131">
    <w:nsid w:val="746F2E30"/>
    <w:multiLevelType w:val="hybridMultilevel"/>
    <w:lvl w:ilvl="0">
      <w:lvlJc w:val="left"/>
      <w:lvlText w:val="(%1)"/>
      <w:numFmt w:val="lowerLetter"/>
      <w:start w:val="2"/>
    </w:lvl>
  </w:abstractNum>
  <w:abstractNum w:abstractNumId="132">
    <w:nsid w:val="6FDE8AF6"/>
    <w:multiLevelType w:val="hybridMultilevel"/>
    <w:lvl w:ilvl="0">
      <w:lvlJc w:val="left"/>
      <w:lvlText w:val="(%1)"/>
      <w:numFmt w:val="lowerLetter"/>
      <w:start w:val="1"/>
    </w:lvl>
  </w:abstractNum>
  <w:abstractNum w:abstractNumId="133">
    <w:nsid w:val="3FC32E20"/>
    <w:multiLevelType w:val="hybridMultilevel"/>
    <w:lvl w:ilvl="0">
      <w:lvlJc w:val="left"/>
      <w:lvlText w:val="(%1)"/>
      <w:numFmt w:val="lowerRoman"/>
      <w:start w:val="1"/>
    </w:lvl>
  </w:abstractNum>
  <w:abstractNum w:abstractNumId="134">
    <w:nsid w:val="49C0E823"/>
    <w:multiLevelType w:val="hybridMultilevel"/>
    <w:lvl w:ilvl="0">
      <w:lvlJc w:val="left"/>
      <w:lvlText w:val="(%1)"/>
      <w:numFmt w:val="lowerLetter"/>
      <w:start w:val="1"/>
    </w:lvl>
  </w:abstractNum>
  <w:abstractNum w:abstractNumId="135">
    <w:nsid w:val="14D53685"/>
    <w:multiLevelType w:val="hybridMultilevel"/>
    <w:lvl w:ilvl="0">
      <w:lvlJc w:val="left"/>
      <w:lvlText w:val="(%1)"/>
      <w:numFmt w:val="lowerLetter"/>
      <w:start w:val="2"/>
    </w:lvl>
    <w:lvl w:ilvl="1">
      <w:lvlJc w:val="left"/>
      <w:lvlText w:val="(%2)"/>
      <w:numFmt w:val="lowerLetter"/>
      <w:start w:val="35"/>
    </w:lvl>
  </w:abstractNum>
  <w:abstractNum w:abstractNumId="136">
    <w:nsid w:val="230F856C"/>
    <w:multiLevelType w:val="hybridMultilevel"/>
    <w:lvl w:ilvl="0">
      <w:lvlJc w:val="left"/>
      <w:lvlText w:val="(%1)"/>
      <w:numFmt w:val="lowerLetter"/>
      <w:start w:val="2"/>
    </w:lvl>
  </w:abstractNum>
  <w:abstractNum w:abstractNumId="137">
    <w:nsid w:val="6EAA85FB"/>
    <w:multiLevelType w:val="hybridMultilevel"/>
    <w:lvl w:ilvl="0">
      <w:lvlJc w:val="left"/>
      <w:lvlText w:val="(%1)"/>
      <w:numFmt w:val="decimal"/>
      <w:start w:val="1"/>
    </w:lvl>
  </w:abstractNum>
  <w:abstractNum w:abstractNumId="138">
    <w:nsid w:val="3F06ECB2"/>
    <w:multiLevelType w:val="hybridMultilevel"/>
    <w:lvl w:ilvl="0">
      <w:lvlJc w:val="left"/>
      <w:lvlText w:val="(%1)"/>
      <w:numFmt w:val="decimal"/>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
      <w:numFmt w:val="bullet"/>
      <w:start w:val="1"/>
    </w:lvl>
  </w:abstractNum>
  <w:abstractNum w:abstractNumId="141">
    <w:nsid w:val="3F7C2FF4"/>
    <w:multiLevelType w:val="hybridMultilevel"/>
    <w:lvl w:ilvl="0">
      <w:lvlJc w:val="left"/>
      <w:lvlText w:val="["/>
      <w:numFmt w:val="bullet"/>
      <w:start w:val="1"/>
    </w:lvl>
  </w:abstractNum>
  <w:abstractNum w:abstractNumId="142">
    <w:nsid w:val="25413BEC"/>
    <w:multiLevelType w:val="hybridMultilevel"/>
    <w:lvl w:ilvl="0">
      <w:lvlJc w:val="left"/>
      <w:lvlText w:val="%1."/>
      <w:numFmt w:val="decimal"/>
      <w:start w:val="1"/>
    </w:lvl>
  </w:abstractNum>
  <w:abstractNum w:abstractNumId="143">
    <w:nsid w:val="17180B0B"/>
    <w:multiLevelType w:val="hybridMultilevel"/>
    <w:lvl w:ilvl="0">
      <w:lvlJc w:val="left"/>
      <w:lvlText w:val="%1."/>
      <w:numFmt w:val="decimal"/>
      <w:start w:val="2"/>
    </w:lvl>
  </w:abstractNum>
  <w:abstractNum w:abstractNumId="144">
    <w:nsid w:val="579328B9"/>
    <w:multiLevelType w:val="hybridMultilevel"/>
    <w:lvl w:ilvl="0">
      <w:lvlJc w:val="left"/>
      <w:lvlText w:val="%1."/>
      <w:numFmt w:val="decimal"/>
      <w:start w:val="3"/>
    </w:lvl>
  </w:abstractNum>
  <w:abstractNum w:abstractNumId="145">
    <w:nsid w:val="5D205E20"/>
    <w:multiLevelType w:val="hybridMultilevel"/>
    <w:lvl w:ilvl="0">
      <w:lvlJc w:val="left"/>
      <w:lvlText w:val="%1."/>
      <w:numFmt w:val="decimal"/>
      <w:start w:val="4"/>
    </w:lvl>
  </w:abstractNum>
  <w:abstractNum w:abstractNumId="146">
    <w:nsid w:val="11CCA8BA"/>
    <w:multiLevelType w:val="hybridMultilevel"/>
    <w:lvl w:ilvl="0">
      <w:lvlJc w:val="left"/>
      <w:lvlText w:val="%1."/>
      <w:numFmt w:val="decimal"/>
      <w:start w:val="5"/>
    </w:lvl>
  </w:abstractNum>
  <w:abstractNum w:abstractNumId="147">
    <w:nsid w:val="4D32AB86"/>
    <w:multiLevelType w:val="hybridMultilevel"/>
    <w:lvl w:ilvl="0">
      <w:lvlJc w:val="left"/>
      <w:lvlText w:val="%1."/>
      <w:numFmt w:val="decimal"/>
      <w:start w:val="6"/>
    </w:lvl>
  </w:abstractNum>
  <w:abstractNum w:abstractNumId="148">
    <w:nsid w:val="3F07ACC3"/>
    <w:multiLevelType w:val="hybridMultilevel"/>
    <w:lvl w:ilvl="0">
      <w:lvlJc w:val="left"/>
      <w:lvlText w:val="%1."/>
      <w:numFmt w:val="decimal"/>
      <w:start w:val="7"/>
    </w:lvl>
  </w:abstractNum>
  <w:abstractNum w:abstractNumId="149">
    <w:nsid w:val="6B47F63E"/>
    <w:multiLevelType w:val="hybridMultilevel"/>
    <w:lvl w:ilvl="0">
      <w:lvlJc w:val="left"/>
      <w:lvlText w:val="%1."/>
      <w:numFmt w:val="decimal"/>
      <w:start w:val="8"/>
    </w:lvl>
  </w:abstractNum>
  <w:abstractNum w:abstractNumId="150">
    <w:nsid w:val="5CB44A05"/>
    <w:multiLevelType w:val="hybridMultilevel"/>
    <w:lvl w:ilvl="0">
      <w:lvlJc w:val="left"/>
      <w:lvlText w:val="%1."/>
      <w:numFmt w:val="decimal"/>
      <w:start w:val="9"/>
    </w:lvl>
  </w:abstractNum>
  <w:abstractNum w:abstractNumId="151">
    <w:nsid w:val="16CF80F1"/>
    <w:multiLevelType w:val="hybridMultilevel"/>
    <w:lvl w:ilvl="0">
      <w:lvlJc w:val="left"/>
      <w:lvlText w:val="%1."/>
      <w:numFmt w:val="decimal"/>
      <w:start w:val="10"/>
    </w:lvl>
  </w:abstractNum>
  <w:abstractNum w:abstractNumId="152">
    <w:nsid w:val="1C695DEC"/>
    <w:multiLevelType w:val="hybridMultilevel"/>
    <w:lvl w:ilvl="0">
      <w:lvlJc w:val="left"/>
      <w:lvlText w:val="%1."/>
      <w:numFmt w:val="decimal"/>
      <w:start w:val="11"/>
    </w:lvl>
  </w:abstractNum>
  <w:abstractNum w:abstractNumId="153">
    <w:nsid w:val="3FCFAED9"/>
    <w:multiLevelType w:val="hybridMultilevel"/>
    <w:lvl w:ilvl="0">
      <w:lvlJc w:val="left"/>
      <w:lvlText w:val="%1."/>
      <w:numFmt w:val="decimal"/>
      <w:start w:val="12"/>
    </w:lvl>
  </w:abstractNum>
  <w:abstractNum w:abstractNumId="154">
    <w:nsid w:val="F856867"/>
    <w:multiLevelType w:val="hybridMultilevel"/>
    <w:lvl w:ilvl="0">
      <w:lvlJc w:val="left"/>
      <w:lvlText w:val="%1."/>
      <w:numFmt w:val="decimal"/>
      <w:start w:val="13"/>
    </w:lvl>
  </w:abstractNum>
  <w:abstractNum w:abstractNumId="155">
    <w:nsid w:val="11B1CC33"/>
    <w:multiLevelType w:val="hybridMultilevel"/>
    <w:lvl w:ilvl="0">
      <w:lvlJc w:val="left"/>
      <w:lvlText w:val="%1."/>
      <w:numFmt w:val="decimal"/>
      <w:start w:val="14"/>
    </w:lvl>
  </w:abstractNum>
  <w:abstractNum w:abstractNumId="156">
    <w:nsid w:val="2E22FBB7"/>
    <w:multiLevelType w:val="hybridMultilevel"/>
    <w:lvl w:ilvl="0">
      <w:lvlJc w:val="left"/>
      <w:lvlText w:val="%1."/>
      <w:numFmt w:val="decimal"/>
      <w:start w:val="15"/>
    </w:lvl>
  </w:abstractNum>
  <w:abstractNum w:abstractNumId="157">
    <w:nsid w:val="29934699"/>
    <w:multiLevelType w:val="hybridMultilevel"/>
    <w:lvl w:ilvl="0">
      <w:lvlJc w:val="left"/>
      <w:lvlText w:val="%1."/>
      <w:numFmt w:val="decimal"/>
      <w:start w:val="16"/>
    </w:lvl>
  </w:abstractNum>
  <w:abstractNum w:abstractNumId="158">
    <w:nsid w:val="77485850"/>
    <w:multiLevelType w:val="hybridMultilevel"/>
    <w:lvl w:ilvl="0">
      <w:lvlJc w:val="left"/>
      <w:lvlText w:val="%1."/>
      <w:numFmt w:val="decimal"/>
      <w:start w:val="17"/>
    </w:lvl>
  </w:abstractNum>
  <w:abstractNum w:abstractNumId="159">
    <w:nsid w:val="744939A3"/>
    <w:multiLevelType w:val="hybridMultilevel"/>
    <w:lvl w:ilvl="0">
      <w:lvlJc w:val="left"/>
      <w:lvlText w:val="*"/>
      <w:numFmt w:val="bullet"/>
      <w:start w:val="1"/>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
      <w:numFmt w:val="bullet"/>
      <w:start w:val="1"/>
    </w:lvl>
  </w:abstractNum>
  <w:abstractNum w:abstractNumId="162">
    <w:nsid w:val="68B867D3"/>
    <w:multiLevelType w:val="hybridMultilevel"/>
    <w:lvl w:ilvl="0">
      <w:lvlJc w:val="left"/>
      <w:lvlText w:val="%1."/>
      <w:numFmt w:val="decimal"/>
      <w:start w:val="1"/>
    </w:lvl>
  </w:abstractNum>
  <w:abstractNum w:abstractNumId="163">
    <w:nsid w:val="3F7F5DD9"/>
    <w:multiLevelType w:val="hybridMultilevel"/>
    <w:lvl w:ilvl="0">
      <w:lvlJc w:val="left"/>
      <w:lvlText w:val="(%1)"/>
      <w:numFmt w:val="lowerRoman"/>
      <w:start w:val="2"/>
    </w:lvl>
  </w:abstractNum>
  <w:abstractNum w:abstractNumId="164">
    <w:nsid w:val="2AE05A34"/>
    <w:multiLevelType w:val="hybridMultilevel"/>
    <w:lvl w:ilvl="0">
      <w:lvlJc w:val="left"/>
      <w:lvlText w:val="%1."/>
      <w:numFmt w:val="decimal"/>
      <w:start w:val="1"/>
    </w:lvl>
  </w:abstractNum>
  <w:abstractNum w:abstractNumId="165">
    <w:nsid w:val="32794FF7"/>
    <w:multiLevelType w:val="hybridMultilevel"/>
    <w:lvl w:ilvl="0">
      <w:lvlJc w:val="left"/>
      <w:lvlText w:val="(%1)"/>
      <w:numFmt w:val="decimal"/>
      <w:start w:val="1"/>
    </w:lvl>
  </w:abstractNum>
  <w:abstractNum w:abstractNumId="166">
    <w:nsid w:val="5454945E"/>
    <w:multiLevelType w:val="hybridMultilevel"/>
    <w:lvl w:ilvl="0">
      <w:lvlJc w:val="left"/>
      <w:lvlText w:val="o"/>
      <w:numFmt w:val="bullet"/>
      <w:start w:val="1"/>
    </w:lvl>
  </w:abstractNum>
  <w:abstractNum w:abstractNumId="167">
    <w:nsid w:val="4DEFDFA0"/>
    <w:multiLevelType w:val="hybridMultilevel"/>
    <w:lvl w:ilvl="0">
      <w:lvlJc w:val="left"/>
      <w:lvlText w:val="(%1)"/>
      <w:numFmt w:val="lowerLetter"/>
      <w:start w:val="1"/>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
      <w:numFmt w:val="bullet"/>
      <w:start w:val="1"/>
    </w:lvl>
  </w:abstractNum>
  <w:abstractNum w:abstractNumId="170">
    <w:nsid w:val="94927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2019-12-13T13:01:15Z</dcterms:created>
  <dcterms:modified xsi:type="dcterms:W3CDTF">2019-12-13T13:01:15Z</dcterms:modified>
</cp:coreProperties>
</file>