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020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2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LEWIS RODERIC 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 xml:space="preserve">VP Legal Affairs, Gen Counsel </w:t>
      </w:r>
      <w:r>
        <w:rPr>
          <w:rFonts w:ascii="Arial" w:cs="Arial" w:eastAsia="Arial" w:hAnsi="Arial"/>
          <w:sz w:val="18"/>
          <w:szCs w:val="18"/>
          <w:color w:val="000000"/>
        </w:rPr>
        <w:t>/</w:t>
      </w:r>
      <w:r>
        <w:rPr>
          <w:rFonts w:ascii="Arial" w:cs="Arial" w:eastAsia="Arial" w:hAnsi="Arial"/>
          <w:sz w:val="15"/>
          <w:szCs w:val="15"/>
          <w:color w:val="0000FF"/>
        </w:rPr>
        <w:t xml:space="preserve"> &amp; Corporate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434,964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538,964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10/03/2014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379,000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 Reid Attorney-in-fact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10/03/2008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2019-12-16T03:50:55Z</dcterms:created>
  <dcterms:modified xsi:type="dcterms:W3CDTF">2019-12-16T03:50:55Z</dcterms:modified>
</cp:coreProperties>
</file>