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13, 2013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1"/>
              </w:rPr>
              <w:t>Delaware</w:t>
            </w:r>
          </w:p>
        </w:tc>
        <w:tc>
          <w:tcPr>
            <w:tcW w:w="410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2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90"/>
              <w:spacing w:after="0"/>
              <w:rPr>
                <w:sz w:val="20"/>
                <w:szCs w:val="20"/>
                <w:color w:val="auto"/>
              </w:rPr>
            </w:pPr>
            <w:r>
              <w:rPr>
                <w:rFonts w:ascii="Arial" w:cs="Arial" w:eastAsia="Arial" w:hAnsi="Arial"/>
                <w:sz w:val="18"/>
                <w:szCs w:val="18"/>
                <w:color w:val="auto"/>
                <w:w w:val="92"/>
              </w:rPr>
              <w:t>(State or other jurisdiction of incorporation)</w:t>
            </w:r>
          </w:p>
        </w:tc>
        <w:tc>
          <w:tcPr>
            <w:tcW w:w="4100" w:type="dxa"/>
            <w:vAlign w:val="bottom"/>
          </w:tcPr>
          <w:p>
            <w:pPr>
              <w:jc w:val="center"/>
              <w:ind w:left="210"/>
              <w:spacing w:after="0"/>
              <w:rPr>
                <w:sz w:val="20"/>
                <w:szCs w:val="20"/>
                <w:color w:val="auto"/>
              </w:rPr>
            </w:pPr>
            <w:r>
              <w:rPr>
                <w:rFonts w:ascii="Arial" w:cs="Arial" w:eastAsia="Arial" w:hAnsi="Arial"/>
                <w:sz w:val="18"/>
                <w:szCs w:val="18"/>
                <w:color w:val="auto"/>
                <w:w w:val="93"/>
              </w:rPr>
              <w:t>(Commission File Number)</w:t>
            </w:r>
          </w:p>
        </w:tc>
        <w:tc>
          <w:tcPr>
            <w:tcW w:w="3520" w:type="dxa"/>
            <w:vAlign w:val="bottom"/>
          </w:tcPr>
          <w:p>
            <w:pPr>
              <w:jc w:val="right"/>
              <w:ind w:right="37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91"/>
              </w:rPr>
              <w:t>8000 South Federal Way</w:t>
            </w:r>
          </w:p>
        </w:tc>
        <w:tc>
          <w:tcPr>
            <w:tcW w:w="352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Boise, Idaho 83716-9632</w:t>
            </w:r>
          </w:p>
        </w:tc>
        <w:tc>
          <w:tcPr>
            <w:tcW w:w="352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20" w:type="dxa"/>
            <w:vAlign w:val="bottom"/>
          </w:tcPr>
          <w:p>
            <w:pPr>
              <w:spacing w:after="0"/>
              <w:rPr>
                <w:sz w:val="20"/>
                <w:szCs w:val="20"/>
                <w:color w:val="auto"/>
              </w:rPr>
            </w:pPr>
          </w:p>
        </w:tc>
      </w:tr>
    </w:tbl>
    <w:p>
      <w:pPr>
        <w:spacing w:after="0" w:line="210" w:lineRule="exact"/>
        <w:rPr>
          <w:sz w:val="24"/>
          <w:szCs w:val="24"/>
          <w:color w:val="auto"/>
        </w:rPr>
      </w:pPr>
    </w:p>
    <w:p>
      <w:pPr>
        <w:jc w:val="center"/>
        <w:ind w:left="58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2140585</wp:posOffset>
            </wp:positionH>
            <wp:positionV relativeFrom="paragraph">
              <wp:posOffset>17145</wp:posOffset>
            </wp:positionV>
            <wp:extent cx="33445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4545" cy="17145"/>
                    </a:xfrm>
                    <a:prstGeom prst="rect">
                      <a:avLst/>
                    </a:prstGeom>
                    <a:noFill/>
                  </pic:spPr>
                </pic:pic>
              </a:graphicData>
            </a:graphic>
          </wp:anchor>
        </w:drawing>
      </w:r>
    </w:p>
    <w:p>
      <w:pPr>
        <w:spacing w:after="0" w:line="20" w:lineRule="exact"/>
        <w:rPr>
          <w:sz w:val="24"/>
          <w:szCs w:val="24"/>
          <w:color w:val="auto"/>
        </w:rPr>
      </w:pPr>
    </w:p>
    <w:p>
      <w:pPr>
        <w:jc w:val="center"/>
        <w:ind w:left="58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February 13, 2013, Mercedes Johnson, a member of the Company’s Board of Directors, adopted a prearranged trading plan under Rule 10b5-1 of the Securities and Exchange Act of 1934. Rule 10b5-1 permits officers and directors of public companies to adopt predetermined plans for selling specified amounts of stock. Ms. Johnson’s trading plan provides for the sale of up to 44,500 shares of the Company’s stock over a 12-month period beginning on April 9, 2013.</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56" w:right="299" w:bottom="1440" w:gutter="0" w:footer="0" w:header="0"/>
        </w:sectPr>
      </w:pPr>
    </w:p>
    <w:bookmarkStart w:id="2" w:name="page3"/>
    <w:bookmarkEnd w:id="2"/>
    <w:p>
      <w:pPr>
        <w:jc w:val="center"/>
        <w:ind w:right="-7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5380" w:type="dxa"/>
            <w:vAlign w:val="bottom"/>
            <w:gridSpan w:val="2"/>
          </w:tcPr>
          <w:p>
            <w:pPr>
              <w:ind w:left="188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3860" w:type="dxa"/>
            <w:vAlign w:val="bottom"/>
          </w:tcPr>
          <w:p>
            <w:pPr>
              <w:spacing w:after="0"/>
              <w:rPr>
                <w:sz w:val="20"/>
                <w:szCs w:val="20"/>
                <w:color w:val="auto"/>
              </w:rPr>
            </w:pPr>
            <w:r>
              <w:rPr>
                <w:rFonts w:ascii="Arial" w:cs="Arial" w:eastAsia="Arial" w:hAnsi="Arial"/>
                <w:sz w:val="18"/>
                <w:szCs w:val="18"/>
                <w:color w:val="auto"/>
              </w:rPr>
              <w:t>Date:   February 20, 2013</w:t>
            </w:r>
          </w:p>
        </w:tc>
        <w:tc>
          <w:tcPr>
            <w:tcW w:w="2500" w:type="dxa"/>
            <w:vAlign w:val="bottom"/>
          </w:tcPr>
          <w:p>
            <w:pPr>
              <w:ind w:left="1880"/>
              <w:spacing w:after="0"/>
              <w:rPr>
                <w:sz w:val="20"/>
                <w:szCs w:val="20"/>
                <w:color w:val="auto"/>
              </w:rPr>
            </w:pPr>
            <w:r>
              <w:rPr>
                <w:rFonts w:ascii="Arial" w:cs="Arial" w:eastAsia="Arial" w:hAnsi="Arial"/>
                <w:sz w:val="18"/>
                <w:szCs w:val="18"/>
                <w:color w:val="auto"/>
              </w:rPr>
              <w:t>By:</w:t>
            </w: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 Mark Durcan</w:t>
            </w:r>
          </w:p>
        </w:tc>
      </w:tr>
      <w:tr>
        <w:trPr>
          <w:trHeight w:val="202"/>
        </w:trPr>
        <w:tc>
          <w:tcPr>
            <w:tcW w:w="3860" w:type="dxa"/>
            <w:vAlign w:val="bottom"/>
          </w:tcPr>
          <w:p>
            <w:pPr>
              <w:spacing w:after="0"/>
              <w:rPr>
                <w:sz w:val="17"/>
                <w:szCs w:val="17"/>
                <w:color w:val="auto"/>
              </w:rPr>
            </w:pPr>
          </w:p>
        </w:tc>
        <w:tc>
          <w:tcPr>
            <w:tcW w:w="2500" w:type="dxa"/>
            <w:vAlign w:val="bottom"/>
          </w:tcPr>
          <w:p>
            <w:pPr>
              <w:ind w:left="1880"/>
              <w:spacing w:after="0" w:line="201" w:lineRule="exact"/>
              <w:rPr>
                <w:sz w:val="20"/>
                <w:szCs w:val="20"/>
                <w:color w:val="auto"/>
              </w:rPr>
            </w:pPr>
            <w:r>
              <w:rPr>
                <w:rFonts w:ascii="Arial" w:cs="Arial" w:eastAsia="Arial" w:hAnsi="Arial"/>
                <w:sz w:val="18"/>
                <w:szCs w:val="18"/>
                <w:color w:val="auto"/>
              </w:rPr>
              <w:t>Name:</w:t>
            </w:r>
          </w:p>
        </w:tc>
        <w:tc>
          <w:tcPr>
            <w:tcW w:w="2880" w:type="dxa"/>
            <w:vAlign w:val="bottom"/>
          </w:tcPr>
          <w:p>
            <w:pPr>
              <w:spacing w:after="0" w:line="201" w:lineRule="exact"/>
              <w:rPr>
                <w:sz w:val="20"/>
                <w:szCs w:val="20"/>
                <w:color w:val="auto"/>
              </w:rPr>
            </w:pPr>
            <w:r>
              <w:rPr>
                <w:rFonts w:ascii="Arial" w:cs="Arial" w:eastAsia="Arial" w:hAnsi="Arial"/>
                <w:sz w:val="18"/>
                <w:szCs w:val="18"/>
                <w:color w:val="auto"/>
              </w:rPr>
              <w:t>D. Mark Durcan</w:t>
            </w:r>
          </w:p>
        </w:tc>
      </w:tr>
      <w:tr>
        <w:trPr>
          <w:trHeight w:val="230"/>
        </w:trPr>
        <w:tc>
          <w:tcPr>
            <w:tcW w:w="3860" w:type="dxa"/>
            <w:vAlign w:val="bottom"/>
          </w:tcPr>
          <w:p>
            <w:pPr>
              <w:spacing w:after="0"/>
              <w:rPr>
                <w:sz w:val="20"/>
                <w:szCs w:val="20"/>
                <w:color w:val="auto"/>
              </w:rPr>
            </w:pPr>
          </w:p>
        </w:tc>
        <w:tc>
          <w:tcPr>
            <w:tcW w:w="2500" w:type="dxa"/>
            <w:vAlign w:val="bottom"/>
          </w:tcPr>
          <w:p>
            <w:pPr>
              <w:ind w:left="1880"/>
              <w:spacing w:after="0"/>
              <w:rPr>
                <w:sz w:val="20"/>
                <w:szCs w:val="20"/>
                <w:color w:val="auto"/>
              </w:rPr>
            </w:pPr>
            <w:r>
              <w:rPr>
                <w:rFonts w:ascii="Arial" w:cs="Arial" w:eastAsia="Arial" w:hAnsi="Arial"/>
                <w:sz w:val="18"/>
                <w:szCs w:val="18"/>
                <w:color w:val="auto"/>
              </w:rPr>
              <w:t>Title:</w:t>
            </w:r>
          </w:p>
        </w:tc>
        <w:tc>
          <w:tcPr>
            <w:tcW w:w="28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0660"/>
      </w:cols>
      <w:pgMar w:left="240" w:top="513"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2019-12-05T20:21:23Z</dcterms:created>
  <dcterms:modified xsi:type="dcterms:W3CDTF">2019-12-05T20:21:23Z</dcterms:modified>
</cp:coreProperties>
</file>