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81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81775"/>
                    </a:xfrm>
                    <a:prstGeom prst="rect">
                      <a:avLst/>
                    </a:prstGeom>
                    <a:noFill/>
                  </pic:spPr>
                </pic:pic>
              </a:graphicData>
            </a:graphic>
          </wp:anchor>
        </w:drawing>
      </w:r>
    </w:p>
    <w:p>
      <w:pPr>
        <w:sectPr>
          <w:pgSz w:w="11900" w:h="16846"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Beard Robert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80" w:type="dxa"/>
            <w:vAlign w:val="bottom"/>
            <w:tcBorders>
              <w:top w:val="single" w:sz="8" w:color="0000EE"/>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MICRON TECHNOLOGY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MU</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46"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4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4"/>
        </w:trPr>
        <w:tc>
          <w:tcPr>
            <w:tcW w:w="2060" w:type="dxa"/>
            <w:vAlign w:val="bottom"/>
            <w:gridSpan w:val="2"/>
          </w:tcPr>
          <w:p>
            <w:pPr>
              <w:ind w:left="40"/>
              <w:spacing w:after="0"/>
              <w:rPr>
                <w:sz w:val="20"/>
                <w:szCs w:val="20"/>
                <w:color w:val="auto"/>
              </w:rPr>
            </w:pPr>
            <w:r>
              <w:rPr>
                <w:rFonts w:ascii="Arial" w:cs="Arial" w:eastAsia="Arial" w:hAnsi="Arial"/>
                <w:sz w:val="20"/>
                <w:szCs w:val="20"/>
                <w:color w:val="0000FF"/>
                <w:w w:val="91"/>
              </w:rPr>
              <w:t>8000 S. FEDERAL WAY</w:t>
            </w:r>
          </w:p>
        </w:tc>
        <w:tc>
          <w:tcPr>
            <w:tcW w:w="1040" w:type="dxa"/>
            <w:vAlign w:val="bottom"/>
          </w:tcPr>
          <w:p>
            <w:pPr>
              <w:spacing w:after="0"/>
              <w:rPr>
                <w:sz w:val="24"/>
                <w:szCs w:val="24"/>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9"/>
        </w:trPr>
        <w:tc>
          <w:tcPr>
            <w:tcW w:w="820" w:type="dxa"/>
            <w:vAlign w:val="bottom"/>
          </w:tcPr>
          <w:p>
            <w:pPr>
              <w:ind w:left="40"/>
              <w:spacing w:after="0"/>
              <w:rPr>
                <w:sz w:val="20"/>
                <w:szCs w:val="20"/>
                <w:color w:val="auto"/>
              </w:rPr>
            </w:pPr>
            <w:r>
              <w:rPr>
                <w:rFonts w:ascii="Arial" w:cs="Arial" w:eastAsia="Arial" w:hAnsi="Arial"/>
                <w:sz w:val="20"/>
                <w:szCs w:val="20"/>
                <w:color w:val="0000FF"/>
              </w:rPr>
              <w:t>BOISE</w:t>
            </w:r>
          </w:p>
        </w:tc>
        <w:tc>
          <w:tcPr>
            <w:tcW w:w="1240" w:type="dxa"/>
            <w:vAlign w:val="bottom"/>
          </w:tcPr>
          <w:p>
            <w:pPr>
              <w:ind w:left="240"/>
              <w:spacing w:after="0"/>
              <w:rPr>
                <w:sz w:val="20"/>
                <w:szCs w:val="20"/>
                <w:color w:val="auto"/>
              </w:rPr>
            </w:pPr>
            <w:r>
              <w:rPr>
                <w:rFonts w:ascii="Arial" w:cs="Arial" w:eastAsia="Arial" w:hAnsi="Arial"/>
                <w:sz w:val="20"/>
                <w:szCs w:val="20"/>
                <w:color w:val="0000FF"/>
              </w:rPr>
              <w:t>ID</w:t>
            </w:r>
          </w:p>
        </w:tc>
        <w:tc>
          <w:tcPr>
            <w:tcW w:w="1040" w:type="dxa"/>
            <w:vAlign w:val="bottom"/>
          </w:tcPr>
          <w:p>
            <w:pPr>
              <w:ind w:left="40"/>
              <w:spacing w:after="0"/>
              <w:rPr>
                <w:sz w:val="20"/>
                <w:szCs w:val="20"/>
                <w:color w:val="auto"/>
              </w:rPr>
            </w:pPr>
            <w:r>
              <w:rPr>
                <w:rFonts w:ascii="Arial" w:cs="Arial" w:eastAsia="Arial" w:hAnsi="Arial"/>
                <w:sz w:val="20"/>
                <w:szCs w:val="20"/>
                <w:color w:val="0000FF"/>
              </w:rPr>
              <w:t>83716</w:t>
            </w:r>
          </w:p>
        </w:tc>
      </w:tr>
      <w:tr>
        <w:trPr>
          <w:trHeight w:val="177"/>
        </w:trPr>
        <w:tc>
          <w:tcPr>
            <w:tcW w:w="8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4"/>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4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243"/>
        <w:spacing w:after="0"/>
        <w:rPr>
          <w:sz w:val="20"/>
          <w:szCs w:val="20"/>
          <w:color w:val="auto"/>
        </w:rPr>
      </w:pPr>
      <w:r>
        <w:rPr>
          <w:rFonts w:ascii="Arial" w:cs="Arial" w:eastAsia="Arial" w:hAnsi="Arial"/>
          <w:sz w:val="18"/>
          <w:szCs w:val="18"/>
          <w:color w:val="0000FF"/>
        </w:rPr>
        <w:t>SVP, General Counsel&amp;Secretary</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46"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ind w:left="680"/>
              <w:spacing w:after="0"/>
              <w:rPr>
                <w:sz w:val="20"/>
                <w:szCs w:val="20"/>
                <w:color w:val="auto"/>
              </w:rPr>
            </w:pPr>
            <w:r>
              <w:rPr>
                <w:rFonts w:ascii="Arial" w:cs="Arial" w:eastAsia="Arial" w:hAnsi="Arial"/>
                <w:sz w:val="20"/>
                <w:szCs w:val="20"/>
                <w:color w:val="0000FF"/>
              </w:rPr>
              <w:t>1,652</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jc w:val="right"/>
              <w:ind w:right="271"/>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Non-Qualified Stock Option</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12/08/2025</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0"/>
              <w:spacing w:after="0"/>
              <w:rPr>
                <w:sz w:val="20"/>
                <w:szCs w:val="20"/>
                <w:color w:val="auto"/>
              </w:rPr>
            </w:pPr>
            <w:r>
              <w:rPr>
                <w:rFonts w:ascii="Arial" w:cs="Arial" w:eastAsia="Arial" w:hAnsi="Arial"/>
                <w:sz w:val="20"/>
                <w:szCs w:val="20"/>
                <w:color w:val="0000FF"/>
                <w:w w:val="89"/>
              </w:rPr>
              <w:t>244</w:t>
            </w:r>
          </w:p>
        </w:tc>
        <w:tc>
          <w:tcPr>
            <w:tcW w:w="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20"/>
                <w:szCs w:val="20"/>
                <w:color w:val="0000FF"/>
              </w:rPr>
              <w:t>43.2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0"/>
              <w:spacing w:after="0"/>
              <w:rPr>
                <w:sz w:val="20"/>
                <w:szCs w:val="20"/>
                <w:color w:val="auto"/>
              </w:rPr>
            </w:pPr>
            <w:r>
              <w:rPr>
                <w:rFonts w:ascii="Arial" w:cs="Arial" w:eastAsia="Arial" w:hAnsi="Arial"/>
                <w:sz w:val="20"/>
                <w:szCs w:val="20"/>
                <w:color w:val="0000FF"/>
                <w:w w:val="89"/>
              </w:rPr>
              <w:t>431</w:t>
            </w:r>
          </w:p>
        </w:tc>
        <w:tc>
          <w:tcPr>
            <w:tcW w:w="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20"/>
                <w:szCs w:val="20"/>
                <w:color w:val="0000FF"/>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(3)</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30"/>
              <w:spacing w:after="0"/>
              <w:rPr>
                <w:sz w:val="20"/>
                <w:szCs w:val="20"/>
                <w:color w:val="auto"/>
              </w:rPr>
            </w:pPr>
            <w:r>
              <w:rPr>
                <w:rFonts w:ascii="Arial" w:cs="Arial" w:eastAsia="Arial" w:hAnsi="Arial"/>
                <w:sz w:val="20"/>
                <w:szCs w:val="20"/>
                <w:color w:val="0000FF"/>
                <w:w w:val="89"/>
              </w:rPr>
              <w:t>81</w:t>
            </w:r>
          </w:p>
        </w:tc>
        <w:tc>
          <w:tcPr>
            <w:tcW w:w="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20"/>
                <w:szCs w:val="20"/>
                <w:color w:val="0000FF"/>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(4)</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30"/>
              <w:spacing w:after="0"/>
              <w:rPr>
                <w:sz w:val="20"/>
                <w:szCs w:val="20"/>
                <w:color w:val="auto"/>
              </w:rPr>
            </w:pPr>
            <w:r>
              <w:rPr>
                <w:rFonts w:ascii="Arial" w:cs="Arial" w:eastAsia="Arial" w:hAnsi="Arial"/>
                <w:sz w:val="20"/>
                <w:szCs w:val="20"/>
                <w:color w:val="0000FF"/>
                <w:w w:val="87"/>
              </w:rPr>
              <w:t>1,840</w:t>
            </w:r>
          </w:p>
        </w:tc>
        <w:tc>
          <w:tcPr>
            <w:tcW w:w="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20"/>
                <w:szCs w:val="20"/>
                <w:color w:val="0000FF"/>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(5)</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30"/>
              <w:spacing w:after="0"/>
              <w:rPr>
                <w:sz w:val="20"/>
                <w:szCs w:val="20"/>
                <w:color w:val="auto"/>
              </w:rPr>
            </w:pPr>
            <w:r>
              <w:rPr>
                <w:rFonts w:ascii="Arial" w:cs="Arial" w:eastAsia="Arial" w:hAnsi="Arial"/>
                <w:sz w:val="20"/>
                <w:szCs w:val="20"/>
                <w:color w:val="0000FF"/>
                <w:w w:val="87"/>
              </w:rPr>
              <w:t>1,745</w:t>
            </w:r>
          </w:p>
        </w:tc>
        <w:tc>
          <w:tcPr>
            <w:tcW w:w="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20"/>
                <w:szCs w:val="20"/>
                <w:color w:val="0000FF"/>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(6)</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0"/>
              <w:spacing w:after="0"/>
              <w:rPr>
                <w:sz w:val="20"/>
                <w:szCs w:val="20"/>
                <w:color w:val="auto"/>
              </w:rPr>
            </w:pPr>
            <w:r>
              <w:rPr>
                <w:rFonts w:ascii="Arial" w:cs="Arial" w:eastAsia="Arial" w:hAnsi="Arial"/>
                <w:sz w:val="20"/>
                <w:szCs w:val="20"/>
                <w:color w:val="0000FF"/>
                <w:w w:val="89"/>
              </w:rPr>
              <w:t>202</w:t>
            </w:r>
          </w:p>
        </w:tc>
        <w:tc>
          <w:tcPr>
            <w:tcW w:w="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20"/>
                <w:szCs w:val="20"/>
                <w:color w:val="0000FF"/>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30"/>
              <w:spacing w:after="0"/>
              <w:rPr>
                <w:sz w:val="20"/>
                <w:szCs w:val="20"/>
                <w:color w:val="auto"/>
              </w:rPr>
            </w:pPr>
            <w:r>
              <w:rPr>
                <w:rFonts w:ascii="Arial" w:cs="Arial" w:eastAsia="Arial" w:hAnsi="Arial"/>
                <w:sz w:val="20"/>
                <w:szCs w:val="20"/>
                <w:color w:val="0000FF"/>
                <w:w w:val="87"/>
              </w:rPr>
              <w:t>3,321</w:t>
            </w:r>
          </w:p>
        </w:tc>
        <w:tc>
          <w:tcPr>
            <w:tcW w:w="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20"/>
                <w:szCs w:val="20"/>
                <w:color w:val="0000FF"/>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(8)</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30"/>
              <w:spacing w:after="0"/>
              <w:rPr>
                <w:sz w:val="20"/>
                <w:szCs w:val="20"/>
                <w:color w:val="auto"/>
              </w:rPr>
            </w:pPr>
            <w:r>
              <w:rPr>
                <w:rFonts w:ascii="Arial" w:cs="Arial" w:eastAsia="Arial" w:hAnsi="Arial"/>
                <w:sz w:val="20"/>
                <w:szCs w:val="20"/>
                <w:color w:val="0000FF"/>
                <w:w w:val="87"/>
              </w:rPr>
              <w:t>4,871</w:t>
            </w:r>
          </w:p>
        </w:tc>
        <w:tc>
          <w:tcPr>
            <w:tcW w:w="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20"/>
                <w:szCs w:val="20"/>
                <w:color w:val="0000FF"/>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Restricted Stock Unit</w:t>
            </w:r>
          </w:p>
        </w:tc>
        <w:tc>
          <w:tcPr>
            <w:tcW w:w="1300" w:type="dxa"/>
            <w:vAlign w:val="bottom"/>
            <w:gridSpan w:val="2"/>
          </w:tcPr>
          <w:p>
            <w:pPr>
              <w:jc w:val="right"/>
              <w:ind w:right="341"/>
              <w:spacing w:after="0"/>
              <w:rPr>
                <w:sz w:val="20"/>
                <w:szCs w:val="20"/>
                <w:color w:val="auto"/>
              </w:rPr>
            </w:pPr>
            <w:r>
              <w:rPr>
                <w:rFonts w:ascii="Arial" w:cs="Arial" w:eastAsia="Arial" w:hAnsi="Arial"/>
                <w:sz w:val="13"/>
                <w:szCs w:val="13"/>
                <w:color w:val="008000"/>
              </w:rPr>
              <w:t>(9)</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0"/>
              <w:spacing w:after="0"/>
              <w:rPr>
                <w:sz w:val="20"/>
                <w:szCs w:val="20"/>
                <w:color w:val="auto"/>
              </w:rPr>
            </w:pPr>
            <w:r>
              <w:rPr>
                <w:rFonts w:ascii="Arial" w:cs="Arial" w:eastAsia="Arial" w:hAnsi="Arial"/>
                <w:sz w:val="20"/>
                <w:szCs w:val="20"/>
                <w:color w:val="0000FF"/>
                <w:w w:val="88"/>
              </w:rPr>
              <w:t>13,252</w:t>
            </w:r>
          </w:p>
        </w:tc>
        <w:tc>
          <w:tcPr>
            <w:tcW w:w="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20"/>
                <w:szCs w:val="20"/>
                <w:color w:val="0000FF"/>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Stock options vested on December 8,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will vest on November 1, 2022.</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will vest on July 26, 2022.</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will vest in two equal installments on November 1, 2022 and 2023.</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will vest in three equal installments on March 15, 2022, 2023, and 2024.</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will vest in two equal installments on October 1, 2022 and 2023.</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will vest in three equal installments on October 16, 2022, 2023, and 2024.</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will vest in four equal installments on October 13, 2022, 2023, 2024, and 2025.</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Restricted stock units will vest in four equal installments on November 18, 2022, 2023, 2024, and 2025.</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ind w:left="6580"/>
        <w:spacing w:after="0" w:line="220" w:lineRule="auto"/>
        <w:rPr>
          <w:sz w:val="20"/>
          <w:szCs w:val="20"/>
          <w:color w:val="auto"/>
        </w:rPr>
      </w:pPr>
      <w:r>
        <w:rPr>
          <w:rFonts w:ascii="Arial" w:cs="Arial" w:eastAsia="Arial" w:hAnsi="Arial"/>
          <w:sz w:val="20"/>
          <w:szCs w:val="20"/>
          <w:color w:val="0000FF"/>
        </w:rPr>
        <w:t xml:space="preserve">Mai Lan Bui, Attorney-in- </w:t>
      </w:r>
      <w:r>
        <w:rPr>
          <w:rFonts w:ascii="Arial" w:cs="Arial" w:eastAsia="Arial" w:hAnsi="Arial"/>
          <w:sz w:val="39"/>
          <w:szCs w:val="39"/>
          <w:color w:val="0000FF"/>
          <w:vertAlign w:val="subscript"/>
        </w:rPr>
        <w:t>12/30/2021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144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1854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542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46" w:orient="portrait"/>
          <w:cols w:equalWidth="0" w:num="1">
            <w:col w:w="10940"/>
          </w:cols>
          <w:pgMar w:left="480" w:top="236" w:right="479" w:bottom="0" w:gutter="0" w:footer="0" w:header="0"/>
          <w:type w:val="continuous"/>
        </w:sectPr>
      </w:pP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9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46"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1899" w:firstLine="585"/>
        <w:spacing w:after="0" w:line="264" w:lineRule="auto"/>
        <w:rPr>
          <w:sz w:val="20"/>
          <w:szCs w:val="20"/>
          <w:color w:val="auto"/>
        </w:rPr>
      </w:pPr>
      <w:r>
        <w:rPr>
          <w:rFonts w:ascii="Courier New" w:cs="Courier New" w:eastAsia="Courier New" w:hAnsi="Courier New"/>
          <w:sz w:val="18"/>
          <w:szCs w:val="18"/>
          <w:color w:val="auto"/>
        </w:rPr>
        <w:t>The undersigned, as an officer and/or director of Micron Technology, Inc. (the "Company") who is subject to the ownership reporting requirements of Section 16 of the U.S. Securities Exchange Act of 1934, as amended ("Section 16"), hereby constitutes and appoints Brian Bishop, Mai Lan Bui, and Matthew Hendley, and each of them, the undersigned's true and lawful attorney-in-fact to:</w:t>
      </w:r>
    </w:p>
    <w:p>
      <w:pPr>
        <w:spacing w:after="0" w:line="5" w:lineRule="exact"/>
        <w:rPr>
          <w:sz w:val="20"/>
          <w:szCs w:val="20"/>
          <w:color w:val="auto"/>
        </w:rPr>
      </w:pPr>
    </w:p>
    <w:p>
      <w:pPr>
        <w:ind w:right="213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Forms 3, 4 and 5 and such other forms, and any and all amendments thereto, as such attorney-in-fact shall in his discretion determine to be required or advisable pursuant to Section 16, and the rules and regulations promulgated thereunder, or any successor laws and regulations thereto (collectively, the "Exchange Act Rules"), as a consequence of</w:t>
      </w:r>
    </w:p>
    <w:p>
      <w:pPr>
        <w:spacing w:after="0" w:line="9" w:lineRule="exact"/>
        <w:rPr>
          <w:rFonts w:ascii="Courier New" w:cs="Courier New" w:eastAsia="Courier New" w:hAnsi="Courier New"/>
          <w:sz w:val="20"/>
          <w:szCs w:val="20"/>
          <w:color w:val="auto"/>
        </w:rPr>
      </w:pPr>
    </w:p>
    <w:p>
      <w:pPr>
        <w:ind w:right="3199"/>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undersigned's ownership, acquisition or disposition of securities of the Company; and</w:t>
      </w:r>
    </w:p>
    <w:p>
      <w:pPr>
        <w:spacing w:after="0" w:line="4" w:lineRule="exact"/>
        <w:rPr>
          <w:rFonts w:ascii="Courier New" w:cs="Courier New" w:eastAsia="Courier New" w:hAnsi="Courier New"/>
          <w:sz w:val="20"/>
          <w:szCs w:val="20"/>
          <w:color w:val="auto"/>
        </w:rPr>
      </w:pPr>
    </w:p>
    <w:p>
      <w:pPr>
        <w:ind w:right="2479"/>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Act Rules and any other applicable laws.</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undersigned hereby ratifies and confirms all that said</w:t>
      </w:r>
    </w:p>
    <w:p>
      <w:pPr>
        <w:spacing w:after="0" w:line="5" w:lineRule="exact"/>
        <w:rPr>
          <w:rFonts w:ascii="Courier New" w:cs="Courier New" w:eastAsia="Courier New" w:hAnsi="Courier New"/>
          <w:sz w:val="18"/>
          <w:szCs w:val="18"/>
          <w:color w:val="auto"/>
        </w:rPr>
      </w:pPr>
    </w:p>
    <w:p>
      <w:pPr>
        <w:ind w:right="201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 w:lineRule="exact"/>
        <w:rPr>
          <w:rFonts w:ascii="Courier New" w:cs="Courier New" w:eastAsia="Courier New" w:hAnsi="Courier New"/>
          <w:sz w:val="18"/>
          <w:szCs w:val="18"/>
          <w:color w:val="auto"/>
        </w:rPr>
      </w:pPr>
    </w:p>
    <w:p>
      <w:pPr>
        <w:ind w:right="1779" w:firstLine="585"/>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5" w:lineRule="exact"/>
        <w:rPr>
          <w:rFonts w:ascii="Courier New" w:cs="Courier New" w:eastAsia="Courier New" w:hAnsi="Courier New"/>
          <w:sz w:val="18"/>
          <w:szCs w:val="18"/>
          <w:color w:val="auto"/>
        </w:rPr>
      </w:pPr>
    </w:p>
    <w:p>
      <w:pPr>
        <w:ind w:right="1779" w:firstLine="585"/>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11" w:lineRule="exact"/>
        <w:rPr>
          <w:rFonts w:ascii="Courier New" w:cs="Courier New" w:eastAsia="Courier New" w:hAnsi="Courier New"/>
          <w:sz w:val="18"/>
          <w:szCs w:val="18"/>
          <w:color w:val="auto"/>
        </w:rPr>
      </w:pPr>
    </w:p>
    <w:p>
      <w:pPr>
        <w:ind w:right="2379" w:firstLine="585"/>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WITNESS WHEREOF, the undersigned has caused this Power of Attorney to be executed as of this 29th day of December, 2021. Signature: /s/ Rob Beard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Print Name:  Rob Beard</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02257" TargetMode="External"/><Relationship Id="rId11"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2021-12-30T15:57:19Z</dcterms:created>
  <dcterms:modified xsi:type="dcterms:W3CDTF">2021-12-30T15:57:19Z</dcterms:modified>
</cp:coreProperties>
</file>