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38" w:lineRule="auto"/>
        <w:rPr>
          <w:sz w:val="20"/>
          <w:szCs w:val="20"/>
          <w:color w:val="auto"/>
        </w:rPr>
      </w:pPr>
      <w:r>
        <w:rPr>
          <w:rFonts w:ascii="Courier New" w:cs="Courier New" w:eastAsia="Courier New" w:hAnsi="Courier New"/>
          <w:sz w:val="18"/>
          <w:szCs w:val="18"/>
          <w:color w:val="auto"/>
        </w:rPr>
        <w:t>Micron Technology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#595112103</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1,383,510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149,963,809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149,963,809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14.996%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#595112103</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149,963,809</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149,963,809</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14.996%</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8000 South Federal Way</w:t>
      </w:r>
    </w:p>
    <w:p>
      <w:pPr>
        <w:ind w:left="1700"/>
        <w:spacing w:after="0" w:line="238" w:lineRule="auto"/>
        <w:rPr>
          <w:sz w:val="20"/>
          <w:szCs w:val="20"/>
          <w:color w:val="auto"/>
        </w:rPr>
      </w:pPr>
      <w:r>
        <w:rPr>
          <w:rFonts w:ascii="Courier New" w:cs="Courier New" w:eastAsia="Courier New" w:hAnsi="Courier New"/>
          <w:sz w:val="18"/>
          <w:szCs w:val="18"/>
          <w:color w:val="auto"/>
        </w:rPr>
        <w:t>P.O. Box 6</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83716-9632</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149,963,809</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14.996%</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1,383,510</w:t>
      </w:r>
    </w:p>
    <w:p>
      <w:pPr>
        <w:spacing w:after="0" w:line="200" w:lineRule="exact"/>
        <w:rPr>
          <w:sz w:val="20"/>
          <w:szCs w:val="20"/>
          <w:color w:val="auto"/>
        </w:rPr>
      </w:pPr>
    </w:p>
    <w:p>
      <w:pPr>
        <w:sectPr>
          <w:pgSz w:w="11900" w:h="16838" w:orient="portrait"/>
          <w:cols w:equalWidth="0" w:num="2">
            <w:col w:w="1160" w:space="540"/>
            <w:col w:w="8519"/>
          </w:cols>
          <w:pgMar w:left="240" w:top="339"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149,963,809</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Micron Technology</w:t>
      </w:r>
    </w:p>
    <w:p>
      <w:pPr>
        <w:spacing w:after="0" w:line="6" w:lineRule="exact"/>
        <w:rPr>
          <w:sz w:val="20"/>
          <w:szCs w:val="20"/>
          <w:color w:val="auto"/>
        </w:rPr>
      </w:pPr>
    </w:p>
    <w:p>
      <w:pPr>
        <w:jc w:val="both"/>
        <w:ind w:right="3999"/>
        <w:spacing w:after="0" w:line="236" w:lineRule="auto"/>
        <w:rPr>
          <w:sz w:val="20"/>
          <w:szCs w:val="20"/>
          <w:color w:val="auto"/>
        </w:rPr>
      </w:pPr>
      <w:r>
        <w:rPr>
          <w:rFonts w:ascii="Courier New" w:cs="Courier New" w:eastAsia="Courier New" w:hAnsi="Courier New"/>
          <w:sz w:val="18"/>
          <w:szCs w:val="18"/>
          <w:color w:val="auto"/>
        </w:rPr>
        <w:t>Incorporated. No one person's interest in the Common Stock of Micron Technology Incorporated is more than five percent of the total outstanding Common Stock.</w:t>
      </w:r>
    </w:p>
    <w:p>
      <w:pPr>
        <w:spacing w:after="0" w:line="209"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jc w:val="center"/>
        <w:ind w:right="693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4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 I also certify that, to the best of my knowledge and belief, FIL Limited and its various non-U.S. investment management subsidiaries</w:t>
      </w:r>
    </w:p>
    <w:p>
      <w:pPr>
        <w:spacing w:after="0" w:line="7"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included on this Schedule 13G are subject to a regulatory scheme substantially comparable to the regulatory scheme applicable to the functionally equivalent U.S. institutions. I also undertake to furnish to the Commission staff, upon request, information that would otherwise be disclosed in a Schedule 13D with respect to FIL Limited and its various non-U.S. investment management subsidiaries included on this Schedule 13G.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11, 2011</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899"/>
        <w:spacing w:after="0" w:line="271" w:lineRule="auto"/>
        <w:rPr>
          <w:sz w:val="20"/>
          <w:szCs w:val="20"/>
          <w:color w:val="auto"/>
        </w:rPr>
      </w:pPr>
      <w:r>
        <w:rPr>
          <w:rFonts w:ascii="Courier New" w:cs="Courier New" w:eastAsia="Courier New" w:hAnsi="Courier New"/>
          <w:sz w:val="16"/>
          <w:szCs w:val="16"/>
          <w:color w:val="auto"/>
        </w:rPr>
        <w:t>of 1940, is the beneficial owner of 148,570,506 shares or 14.857% of the Common Stock outstanding of Micron Technology Incorporated ("the Company") as a result of acting as investment adviser to various investment companies registered under Section 8 of the Investment Company Act of 1940. The number of shares of Common Stock of Micron Technology Incorporated owned by the investment companies at December 31, 2010 included 1,251,045 shares of Common Stock resulting from the assumed conversion of $6,360,000 principal amount of MICRON TEC CONV 4.25% 10/15/13</w:t>
      </w:r>
    </w:p>
    <w:p>
      <w:pPr>
        <w:spacing w:after="0" w:line="184"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(196.7052 shares of Common Stock for each $1,000 principal amount of debenture). The number of shares of Common Stock of Micron Technology Incorporated owned by the investment companies at December 31, 2010 included 2,137,615 shares of Common Stock resulting from the assumed conversion of $23,300,000 principal amount of MICRON TECH CONV 1.875% 6/1/27 (91.7431 shares of Common Stock for each $1,000 principal amount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debenture).</w:t>
      </w:r>
    </w:p>
    <w:p>
      <w:pPr>
        <w:spacing w:after="0" w:line="207" w:lineRule="exact"/>
        <w:rPr>
          <w:sz w:val="20"/>
          <w:szCs w:val="20"/>
          <w:color w:val="auto"/>
        </w:rPr>
      </w:pPr>
    </w:p>
    <w:p>
      <w:pPr>
        <w:ind w:right="4199" w:firstLine="843"/>
        <w:spacing w:after="0" w:line="279" w:lineRule="auto"/>
        <w:rPr>
          <w:sz w:val="20"/>
          <w:szCs w:val="20"/>
          <w:color w:val="auto"/>
        </w:rPr>
      </w:pPr>
      <w:r>
        <w:rPr>
          <w:rFonts w:ascii="Courier New" w:cs="Courier New" w:eastAsia="Courier New" w:hAnsi="Courier New"/>
          <w:sz w:val="16"/>
          <w:szCs w:val="16"/>
          <w:color w:val="auto"/>
        </w:rPr>
        <w:t>Edward C. Johnson 3d and FMR LLC, through its control of Fidelity, and the funds each has sole power to dispose of the 148,570,506 shares owned by the Funds.</w:t>
      </w:r>
    </w:p>
    <w:p>
      <w:pPr>
        <w:spacing w:after="0" w:line="178"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Strategic Advisers, Inc., 82 Devonshire Street, Boston, MA 02109, a wholly-owned subsidiary of FMR LLC and an investment adviser registered under Section 203 of the Investment Advisers Act of 1940, provides investment advisory services to individuals. As such, FMR LLC's beneficial ownership includes 200 shares, or 0.000%, of the Common Stock outstanding of Micron Technology</w:t>
      </w:r>
    </w:p>
    <w:p>
      <w:pPr>
        <w:spacing w:after="0" w:line="9" w:lineRule="exact"/>
        <w:rPr>
          <w:sz w:val="20"/>
          <w:szCs w:val="20"/>
          <w:color w:val="auto"/>
        </w:rPr>
      </w:pPr>
    </w:p>
    <w:p>
      <w:pPr>
        <w:ind w:right="3899"/>
        <w:spacing w:after="0" w:line="235" w:lineRule="auto"/>
        <w:rPr>
          <w:sz w:val="20"/>
          <w:szCs w:val="20"/>
          <w:color w:val="auto"/>
        </w:rPr>
      </w:pPr>
      <w:r>
        <w:rPr>
          <w:rFonts w:ascii="Courier New" w:cs="Courier New" w:eastAsia="Courier New" w:hAnsi="Courier New"/>
          <w:sz w:val="18"/>
          <w:szCs w:val="18"/>
          <w:color w:val="auto"/>
        </w:rPr>
        <w:t>Incorporated, beneficially owned through Strategic Advisers, Inc.</w:t>
      </w:r>
    </w:p>
    <w:p>
      <w:pPr>
        <w:spacing w:after="0" w:line="208" w:lineRule="exact"/>
        <w:rPr>
          <w:sz w:val="20"/>
          <w:szCs w:val="20"/>
          <w:color w:val="auto"/>
        </w:rPr>
      </w:pPr>
    </w:p>
    <w:p>
      <w:pPr>
        <w:ind w:right="3779" w:firstLine="843"/>
        <w:spacing w:after="0" w:line="271" w:lineRule="auto"/>
        <w:rPr>
          <w:sz w:val="20"/>
          <w:szCs w:val="20"/>
          <w:color w:val="auto"/>
        </w:rPr>
      </w:pPr>
      <w:r>
        <w:rPr>
          <w:rFonts w:ascii="Courier New" w:cs="Courier New" w:eastAsia="Courier New" w:hAnsi="Courier New"/>
          <w:sz w:val="16"/>
          <w:szCs w:val="16"/>
          <w:color w:val="auto"/>
        </w:rPr>
        <w:t>Pyramis Global Advisors, LLC ("PGALLC"), 900 Salem Street, Smithfield, Rhode Island, 02917, an indirect wholly-owned subsidiary of FMR LLC and an investment adviser registered under Section 203 of the Investment Advisers Act of 1940, is the beneficial owner of 356,037 shares or 0.036% of the outstanding Common Stock of Micron Technology Incorporated as a result of its serving as investment adviser to institutional accounts, non-U.S. mutual funds, or investment companies registered under Section 8 of</w:t>
      </w:r>
    </w:p>
    <w:p>
      <w:pPr>
        <w:sectPr>
          <w:pgSz w:w="11900" w:h="16838" w:orient="portrait"/>
          <w:cols w:equalWidth="0" w:num="1">
            <w:col w:w="10219"/>
          </w:cols>
          <w:pgMar w:left="240" w:top="136" w:right="1440" w:bottom="0" w:gutter="0" w:footer="0" w:header="0"/>
        </w:sectPr>
      </w:pPr>
    </w:p>
    <w:bookmarkStart w:id="3" w:name="page4"/>
    <w:bookmarkEnd w:id="3"/>
    <w:p>
      <w:pPr>
        <w:ind w:right="4099"/>
        <w:spacing w:after="0" w:line="237" w:lineRule="auto"/>
        <w:rPr>
          <w:sz w:val="20"/>
          <w:szCs w:val="20"/>
          <w:color w:val="auto"/>
        </w:rPr>
      </w:pPr>
      <w:r>
        <w:rPr>
          <w:rFonts w:ascii="Courier New" w:cs="Courier New" w:eastAsia="Courier New" w:hAnsi="Courier New"/>
          <w:sz w:val="18"/>
          <w:szCs w:val="18"/>
          <w:color w:val="auto"/>
        </w:rPr>
        <w:t>the Investment Company Act of 1940 owning such shares. The number of shares of Common Stock of Micron Technology Incorporated owned by the institutional account(s) at December 31, 2010 included 356,037 shares of Common Stock resulting from the assumed conversion of $1,810,000 principal amount of MICRON TEC CONV 4.25% 10/15/13 (196.7052 shares of Common Stock for each $1,000 principal amount of debenture).</w:t>
      </w:r>
    </w:p>
    <w:p>
      <w:pPr>
        <w:spacing w:after="0" w:line="212"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356,037 shares and sole power to vote or to direct the voting of 356,037 shares of Common Stock owned by the institutional accounts or funds advised by PGALLC as reported above.</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Pyramis Global Advisors Trust Company ("PGATC"),</w:t>
      </w:r>
    </w:p>
    <w:p>
      <w:pPr>
        <w:spacing w:after="0" w:line="4"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900 Salem Street, Smithfield, Rhode Island, 02917, an indirect wholly-owned subsidiary of FMR LLC and a bank as defined</w:t>
      </w:r>
    </w:p>
    <w:p>
      <w:pPr>
        <w:ind w:right="3779"/>
        <w:spacing w:after="0" w:line="271" w:lineRule="auto"/>
        <w:rPr>
          <w:sz w:val="20"/>
          <w:szCs w:val="20"/>
          <w:color w:val="auto"/>
        </w:rPr>
      </w:pPr>
      <w:r>
        <w:rPr>
          <w:rFonts w:ascii="Courier New" w:cs="Courier New" w:eastAsia="Courier New" w:hAnsi="Courier New"/>
          <w:sz w:val="16"/>
          <w:szCs w:val="16"/>
          <w:color w:val="auto"/>
        </w:rPr>
        <w:t>in Section 3(a)(6) of the Securities Exchange Act of 1934, is the beneficial owner of 991,996 shares or 0.099% of the outstanding Common Stock of the Micron Technology Incorporated as a result of its serving as investment manager of institutional accounts owning such shares. The number of shares of Common Stock of Micron Technology Incorporated owned by the institutional account(s) at December 31, 2010 included 39,341 shares of Common Stock resulting from the assumed conversion of $200,000 principal amount of</w:t>
      </w:r>
    </w:p>
    <w:p>
      <w:pPr>
        <w:spacing w:after="0" w:line="186" w:lineRule="exact"/>
        <w:rPr>
          <w:sz w:val="20"/>
          <w:szCs w:val="20"/>
          <w:color w:val="auto"/>
        </w:rPr>
      </w:pPr>
    </w:p>
    <w:p>
      <w:pPr>
        <w:ind w:right="4939"/>
        <w:spacing w:after="0" w:line="236" w:lineRule="auto"/>
        <w:rPr>
          <w:sz w:val="20"/>
          <w:szCs w:val="20"/>
          <w:color w:val="auto"/>
        </w:rPr>
      </w:pPr>
      <w:r>
        <w:rPr>
          <w:rFonts w:ascii="Courier New" w:cs="Courier New" w:eastAsia="Courier New" w:hAnsi="Courier New"/>
          <w:sz w:val="18"/>
          <w:szCs w:val="18"/>
          <w:color w:val="auto"/>
        </w:rPr>
        <w:t>MICRON TEC CONV 4.25% 10/15/13 (196.7052 shares of Common Stock for each $1,000 principal amount of debenture).</w:t>
      </w:r>
    </w:p>
    <w:p>
      <w:pPr>
        <w:spacing w:after="0" w:line="209" w:lineRule="exact"/>
        <w:rPr>
          <w:sz w:val="20"/>
          <w:szCs w:val="20"/>
          <w:color w:val="auto"/>
        </w:rPr>
      </w:pPr>
    </w:p>
    <w:p>
      <w:pPr>
        <w:ind w:right="389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Pyramis Global Advisors Trust Company, each has sole dispositive power over 991,996 shares and sole power to vote or to direct the voting of 966,596 shares of Common Stock owned by the institutional accounts managed by PGATC as reported above.</w:t>
      </w:r>
    </w:p>
    <w:p>
      <w:pPr>
        <w:spacing w:after="0" w:line="210"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FIL Limited ("FIL"), Pembroke Hall, 42 Crow Lane, Hamilton, Bermuda, and various foreign-based subsidiaries provide investment advisory and management services to a number of non-U.S. investment companies and certain institutional investors. FIL, which is a qualified institution under section 240.13d-1(b)(1)(ii), is the beneficial owner of 45,070 shares or 0.005% of the Common Stock outstanding of the Company.</w:t>
      </w:r>
    </w:p>
    <w:p>
      <w:pPr>
        <w:spacing w:after="0" w:line="212" w:lineRule="exact"/>
        <w:rPr>
          <w:sz w:val="20"/>
          <w:szCs w:val="20"/>
          <w:color w:val="auto"/>
        </w:rPr>
      </w:pPr>
    </w:p>
    <w:p>
      <w:pPr>
        <w:ind w:right="3999" w:firstLine="843"/>
        <w:spacing w:after="0" w:line="268" w:lineRule="auto"/>
        <w:rPr>
          <w:sz w:val="20"/>
          <w:szCs w:val="20"/>
          <w:color w:val="auto"/>
        </w:rPr>
      </w:pPr>
      <w:r>
        <w:rPr>
          <w:rFonts w:ascii="Courier New" w:cs="Courier New" w:eastAsia="Courier New" w:hAnsi="Courier New"/>
          <w:sz w:val="16"/>
          <w:szCs w:val="16"/>
          <w:color w:val="auto"/>
        </w:rPr>
        <w:t>Partnerships controlled predominantly by members of the family of Edward C. Johnson 3d, Chairman of FMR LLC</w:t>
      </w:r>
    </w:p>
    <w:p>
      <w:pPr>
        <w:ind w:right="3679"/>
        <w:spacing w:after="0" w:line="237" w:lineRule="auto"/>
        <w:rPr>
          <w:sz w:val="20"/>
          <w:szCs w:val="20"/>
          <w:color w:val="auto"/>
        </w:rPr>
      </w:pPr>
      <w:r>
        <w:rPr>
          <w:rFonts w:ascii="Courier New" w:cs="Courier New" w:eastAsia="Courier New" w:hAnsi="Courier New"/>
          <w:sz w:val="18"/>
          <w:szCs w:val="18"/>
          <w:color w:val="auto"/>
        </w:rPr>
        <w:t>and FIL, or trusts for their benefit, own shares of FIL voting stock with the right to cast approximately 39% of the total votes which may be cast by all holders of FIL voting stock. FMR LLC and FIL are separate and independent corporate entities, and their Boards of Directors are generally composed of different individuals.</w:t>
      </w: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 and FIL are of the view that they are not</w:t>
      </w:r>
    </w:p>
    <w:p>
      <w:pPr>
        <w:spacing w:after="0" w:line="238" w:lineRule="auto"/>
        <w:rPr>
          <w:sz w:val="20"/>
          <w:szCs w:val="20"/>
          <w:color w:val="auto"/>
        </w:rPr>
      </w:pPr>
      <w:r>
        <w:rPr>
          <w:rFonts w:ascii="Courier New" w:cs="Courier New" w:eastAsia="Courier New" w:hAnsi="Courier New"/>
          <w:sz w:val="18"/>
          <w:szCs w:val="18"/>
          <w:color w:val="auto"/>
        </w:rPr>
        <w:t>acting as a "group" for purposes of Section 13(d) under the</w:t>
      </w:r>
    </w:p>
    <w:p>
      <w:pPr>
        <w:spacing w:after="0"/>
        <w:rPr>
          <w:sz w:val="20"/>
          <w:szCs w:val="20"/>
          <w:color w:val="auto"/>
        </w:rPr>
      </w:pPr>
      <w:r>
        <w:rPr>
          <w:rFonts w:ascii="Courier New" w:cs="Courier New" w:eastAsia="Courier New" w:hAnsi="Courier New"/>
          <w:sz w:val="18"/>
          <w:szCs w:val="18"/>
          <w:color w:val="auto"/>
        </w:rPr>
        <w:t>Securities Exchange Act of 1934 (the "1934" Act) and that</w:t>
      </w:r>
    </w:p>
    <w:p>
      <w:pPr>
        <w:spacing w:after="0" w:line="237" w:lineRule="auto"/>
        <w:rPr>
          <w:sz w:val="20"/>
          <w:szCs w:val="20"/>
          <w:color w:val="auto"/>
        </w:rPr>
      </w:pPr>
      <w:r>
        <w:rPr>
          <w:rFonts w:ascii="Courier New" w:cs="Courier New" w:eastAsia="Courier New" w:hAnsi="Courier New"/>
          <w:sz w:val="18"/>
          <w:szCs w:val="18"/>
          <w:color w:val="auto"/>
        </w:rPr>
        <w:t>they are not otherwise required to attribute to each other the</w:t>
      </w:r>
    </w:p>
    <w:p>
      <w:pPr>
        <w:spacing w:after="0" w:line="238" w:lineRule="auto"/>
        <w:rPr>
          <w:sz w:val="20"/>
          <w:szCs w:val="20"/>
          <w:color w:val="auto"/>
        </w:rPr>
      </w:pPr>
      <w:r>
        <w:rPr>
          <w:rFonts w:ascii="Courier New" w:cs="Courier New" w:eastAsia="Courier New" w:hAnsi="Courier New"/>
          <w:sz w:val="18"/>
          <w:szCs w:val="18"/>
          <w:color w:val="auto"/>
        </w:rPr>
        <w:t>"beneficial ownership" of securities "beneficially owned" by</w:t>
      </w:r>
    </w:p>
    <w:p>
      <w:pPr>
        <w:spacing w:after="0"/>
        <w:rPr>
          <w:sz w:val="20"/>
          <w:szCs w:val="20"/>
          <w:color w:val="auto"/>
        </w:rPr>
      </w:pPr>
      <w:r>
        <w:rPr>
          <w:rFonts w:ascii="Courier New" w:cs="Courier New" w:eastAsia="Courier New" w:hAnsi="Courier New"/>
          <w:sz w:val="18"/>
          <w:szCs w:val="18"/>
          <w:color w:val="auto"/>
        </w:rPr>
        <w:t>the other corporation within the meaning of Rule 13d-3</w:t>
      </w:r>
    </w:p>
    <w:p>
      <w:pPr>
        <w:spacing w:after="0"/>
        <w:tabs>
          <w:tab w:leader="none" w:pos="3460" w:val="left"/>
        </w:tabs>
        <w:rPr>
          <w:sz w:val="20"/>
          <w:szCs w:val="20"/>
          <w:color w:val="auto"/>
        </w:rPr>
      </w:pPr>
      <w:r>
        <w:rPr>
          <w:rFonts w:ascii="Courier New" w:cs="Courier New" w:eastAsia="Courier New" w:hAnsi="Courier New"/>
          <w:sz w:val="18"/>
          <w:szCs w:val="18"/>
          <w:color w:val="auto"/>
        </w:rPr>
        <w:t>promulgated under the 1934 Act.</w:t>
      </w:r>
      <w:r>
        <w:rPr>
          <w:sz w:val="20"/>
          <w:szCs w:val="20"/>
          <w:color w:val="auto"/>
        </w:rPr>
        <w:tab/>
      </w:r>
      <w:r>
        <w:rPr>
          <w:rFonts w:ascii="Courier New" w:cs="Courier New" w:eastAsia="Courier New" w:hAnsi="Courier New"/>
          <w:sz w:val="16"/>
          <w:szCs w:val="16"/>
          <w:color w:val="auto"/>
        </w:rPr>
        <w:t>Therefore, they are of the</w:t>
      </w:r>
    </w:p>
    <w:p>
      <w:pPr>
        <w:spacing w:after="0"/>
        <w:rPr>
          <w:sz w:val="20"/>
          <w:szCs w:val="20"/>
          <w:color w:val="auto"/>
        </w:rPr>
      </w:pPr>
      <w:r>
        <w:rPr>
          <w:rFonts w:ascii="Courier New" w:cs="Courier New" w:eastAsia="Courier New" w:hAnsi="Courier New"/>
          <w:sz w:val="18"/>
          <w:szCs w:val="18"/>
          <w:color w:val="auto"/>
        </w:rPr>
        <w:t>view that the shares held by the other corporation need not be</w:t>
      </w:r>
    </w:p>
    <w:p>
      <w:pPr>
        <w:spacing w:after="0" w:line="237" w:lineRule="auto"/>
        <w:rPr>
          <w:sz w:val="20"/>
          <w:szCs w:val="20"/>
          <w:color w:val="auto"/>
        </w:rPr>
      </w:pPr>
      <w:r>
        <w:rPr>
          <w:rFonts w:ascii="Courier New" w:cs="Courier New" w:eastAsia="Courier New" w:hAnsi="Courier New"/>
          <w:sz w:val="18"/>
          <w:szCs w:val="18"/>
          <w:color w:val="auto"/>
        </w:rPr>
        <w:t>aggregated for purposes of Section 13(d). However, FMR</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8"/>
          <w:szCs w:val="18"/>
          <w:color w:val="auto"/>
        </w:rPr>
        <w:t>LLC is making this filing on a voluntary basis as if all of the shares are beneficially owned by FMR LLC and FIL on a joint basis.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11, 2011, agree and consent to the joint filing on their behalf of this Schedule 13G in connection with their beneficial ownership of the Common Stock of Micron Technology Incorporated at</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December 31, 2010.</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2019-12-10T06:22:55Z</dcterms:created>
  <dcterms:modified xsi:type="dcterms:W3CDTF">2019-12-10T06:22:55Z</dcterms:modified>
</cp:coreProperties>
</file>