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 w:right="16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-225425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-565785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20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5206365</wp:posOffset>
            </wp:positionH>
            <wp:positionV relativeFrom="paragraph">
              <wp:posOffset>-610235</wp:posOffset>
            </wp:positionV>
            <wp:extent cx="57150" cy="6235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3930015</wp:posOffset>
            </wp:positionH>
            <wp:positionV relativeFrom="paragraph">
              <wp:posOffset>-610235</wp:posOffset>
            </wp:positionV>
            <wp:extent cx="57150" cy="623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641985</wp:posOffset>
            </wp:positionV>
            <wp:extent cx="6997065" cy="88030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8803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6" w:lineRule="exact"/>
        <w:rPr>
          <w:sz w:val="24"/>
          <w:szCs w:val="24"/>
          <w:color w:val="auto"/>
        </w:rPr>
      </w:pPr>
    </w:p>
    <w:p>
      <w:pPr>
        <w:sectPr>
          <w:pgSz w:w="11900" w:h="16871" w:orient="portrait"/>
          <w:cols w:equalWidth="0" w:num="2">
            <w:col w:w="2340" w:space="320"/>
            <w:col w:w="8420"/>
          </w:cols>
          <w:pgMar w:left="460" w:top="21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MEHROTRA SANJAY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10/13/2024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" w:right="700" w:hanging="1"/>
        <w:spacing w:after="0" w:line="247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21"/>
        <w:spacing w:after="0"/>
        <w:tabs>
          <w:tab w:leader="none" w:pos="208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1"/>
        <w:spacing w:after="0"/>
        <w:tabs>
          <w:tab w:leader="none" w:pos="208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96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President and CEO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ectPr>
          <w:pgSz w:w="11900" w:h="16871" w:orient="portrait"/>
          <w:cols w:equalWidth="0" w:num="3">
            <w:col w:w="3180" w:space="720"/>
            <w:col w:w="3180" w:space="659"/>
            <w:col w:w="3341"/>
          </w:cols>
          <w:pgMar w:left="460" w:top="215" w:right="359" w:bottom="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83716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83,015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810,960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20,133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790,827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29,751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761,076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109,848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870,924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55,501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815,423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109,848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925,271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55,501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869,770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45,477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915,247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22,240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893,007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56,280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7"/>
                <w:vertAlign w:val="superscript"/>
              </w:rPr>
              <w:t>(5)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949,287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29,846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919,441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16,040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7"/>
                <w:vertAlign w:val="superscript"/>
              </w:rPr>
              <w:t>(6)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935,481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8,507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926,974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47,933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7"/>
                <w:vertAlign w:val="superscript"/>
              </w:rPr>
              <w:t>(7)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974,907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25,419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949,488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10/15/2024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9,508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108.34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939,980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338,694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GRAT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(8)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(9)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(9)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109,848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10/13/2024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22,104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2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0.00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(9)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(9)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109,848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10/13/2024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22,014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2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0.00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(9)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(9)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45,477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10/13/2024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36,973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2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0.00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(10)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(10)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56,280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10/13/2024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28,140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28,140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-2827655</wp:posOffset>
            </wp:positionV>
            <wp:extent cx="28575" cy="28524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852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71" w:orient="portrait"/>
          <w:cols w:equalWidth="0" w:num="1">
            <w:col w:w="11080"/>
          </w:cols>
          <w:pgMar w:left="460" w:top="215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279400</wp:posOffset>
            </wp:positionH>
            <wp:positionV relativeFrom="page">
              <wp:posOffset>88900</wp:posOffset>
            </wp:positionV>
            <wp:extent cx="7048500" cy="21424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2142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(10)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(10)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16,040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(6)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10/13/2024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28,140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28,140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(10)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(10)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47,933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(7)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10/13/2024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44,382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44,383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40" w:hanging="122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Awards vest in three equal annual installments beginning on the first anniversary of the grant date.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2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Withholding of common stock shares to satisfy tax withholding obligations in connection with the vesting of previously granted awards.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hanging="2"/>
        <w:spacing w:after="0" w:line="230" w:lineRule="auto"/>
        <w:tabs>
          <w:tab w:leader="none" w:pos="14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Compensation Committee certified achievement of pre-established performance goals related to High Value and Data Center NAND delivery and solutions each at 266% of target under the performance-based restricted stock units ("PRSU") with a 3-year performance period previously awarded on October 13, 2021. As reported at grant, the PRSUs could result in a payout (if earned) that varies (starting at 0%) based on actual achievement of the goals, subject to a 200% aggregate limit on the total target shares that may be received under the PRSUs awarded on October 13, 2021. 100% of any shares earned as a result of the achievement of the performance goals measured at the end of year 3 of the performance period as well as certain unvested shares earned as a result of the achievement of performance goals measured at the end of year 2 of the performance period which remained subject to vesting vested upon certification of the achievement of performance goals in year 3 of the performance period.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20" w:hanging="2"/>
        <w:spacing w:after="0" w:line="230" w:lineRule="auto"/>
        <w:tabs>
          <w:tab w:leader="none" w:pos="14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Compensation Committee certified achievement of pre-established performance goals related to relative total shareholder return at a level of 108% of target under the performance-based restricted stock units ("PRSU") with a 3-year performance period previously awarded on October 13, 2021. As reported at grant, the PRSUs could result in a payout (if earned) that varies (starting at 0%) based on actual achievement of the goals, subject to a 200% aggregate limit on the total target shares that may be received under the PRSUs awarded on October 13, 2021. 100% of any shares earned as a result of the achievement of the performance goals measured at the end of year 3 of the performance period as well as certain unvested shares earned as a result of the achievement of performance goals measured at the end of year 2 of the performance period which remained subject to vesting vested upon certification of the achievement of performance goals at the end of year 3 of the performance period.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80" w:hanging="2"/>
        <w:spacing w:after="0" w:line="232" w:lineRule="auto"/>
        <w:tabs>
          <w:tab w:leader="none" w:pos="14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Compensation Committee certified achievement of pre-established performance goals related to Data Center NAND delivery and solutions at a level of 200% of target under the performance-based restricted stock units ("PRSU") with a 3-year performance period previously awarded on October 13, 2022. As reported at grant, the PRSUs could result in a payout (if earned) that varies (starting at 0%) based on actual achievement of the goals, subject to a 200% aggregate limit on the total target shares that may be received under the PRSUs awarded on October 13, 2022. 50% of the shares earned vested upon certification of the performance and 50% remain subject to vesting until the certification of the achievement of performance goals at the end of year 3 of the performance period.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hanging="2"/>
        <w:spacing w:after="0" w:line="232" w:lineRule="auto"/>
        <w:tabs>
          <w:tab w:leader="none" w:pos="14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Compensation Committee certified achievement of pre-established performance goals related to DRAM revenue at a level of 57% of target under the performance-based restricted stock units ("PRSU") with a 3-year performance period previously awarded on October 13, 2022. As reported at grant, the PRSUs could result in a payout (if earned) that varies (starting at 0%) based on actual achievement of the goals, subject to a 200% aggregate limit on the total target shares that may be received under the PRSUs awarded on October 13, 2022. 50% of the shares earned vested upon certification of the performance and 50% remain subject to vesting until the certification of the achievement of performance goals at the end of year 3 of the performance period.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20" w:hanging="2"/>
        <w:spacing w:after="0" w:line="232" w:lineRule="auto"/>
        <w:tabs>
          <w:tab w:leader="none" w:pos="14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Compensation Committee certified achievement of pre-established performance goals related to relative total shareholder return at a level of 108% of target under the performance-based restricted stock units ("PRSU") with a 3-year performance period previously awarded on October 13, 2022. As reported at grant, the PRSUs could result in a payout (if earned) that varies (starting at 0%) based on actual achievement of the goals, subject to a 200% aggregate limit on the total target shares that may be received under the PRSU awarded on October 13, 2022. 50% of the shares earned vested upon certification of the performance and 50% remain subject to vesting until the certification of performance goals at the end of year 3 of the performance period.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2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Grantor retained annuity trusts are for the benefit of the Reporting Person and his family.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60" w:hanging="2"/>
        <w:spacing w:after="0" w:line="235" w:lineRule="auto"/>
        <w:tabs>
          <w:tab w:leader="none" w:pos="14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("PRSU") represents the right to receive, following vesting, a percentage of one share of common stock based upon the achievement of pre-established performance goals over a 3-year period beginning September 3, 2021 and ending August 29, 2024 (subject to a 200% aggregate limit on the total target shares that may be received under the PRSUs awarded on October 13, 2021), and certification of such performance by the Compensation Committee.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80" w:hanging="2"/>
        <w:spacing w:after="0" w:line="235" w:lineRule="auto"/>
        <w:tabs>
          <w:tab w:leader="none" w:pos="20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("PRSU") represents the right to receive, following vesting, a percentage of one share of common stock based upon the achievement of pre-established performance goals over a 3-year performance period beginning September 2, 2022 and ending August 28, 2025 (subject to a 200% aggregate limit on the total target shares that may be received under the PRSUs awarded on October 13, 2022), and certification of such performance by the Compensation Committee.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Mai Lan Bui,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10/16/2024</w:t>
            </w: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left="20" w:right="3780" w:hanging="2"/>
        <w:spacing w:after="0" w:line="327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9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42654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2024-10-16T17:06:50Z</dcterms:created>
  <dcterms:modified xsi:type="dcterms:W3CDTF">2024-10-16T17:06:50Z</dcterms:modified>
</cp:coreProperties>
</file>