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224790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left="4420" w:right="1360" w:hanging="3046"/>
        <w:spacing w:after="0" w:line="262" w:lineRule="auto"/>
        <w:tabs>
          <w:tab w:leader="none" w:pos="1676"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 (d) OF THE SECURITIES EXCHANGE ACT OF 1934</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May 29, 2003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6" w:lineRule="exact"/>
        <w:rPr>
          <w:sz w:val="24"/>
          <w:szCs w:val="24"/>
          <w:color w:val="auto"/>
        </w:rPr>
      </w:pPr>
    </w:p>
    <w:p>
      <w:pPr>
        <w:jc w:val="center"/>
        <w:ind w:left="4420" w:right="1420" w:hanging="2987"/>
        <w:spacing w:after="0" w:line="262" w:lineRule="auto"/>
        <w:tabs>
          <w:tab w:leader="none" w:pos="1655"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166370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1-10658</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Micron Technology,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State or other jurisdiction of incorporation or organization: </w:t>
      </w:r>
      <w:r>
        <w:rPr>
          <w:rFonts w:ascii="Times New Roman" w:cs="Times New Roman" w:eastAsia="Times New Roman" w:hAnsi="Times New Roman"/>
          <w:sz w:val="18"/>
          <w:szCs w:val="18"/>
          <w:b w:val="1"/>
          <w:bCs w:val="1"/>
          <w:color w:val="auto"/>
        </w:rPr>
        <w:t>Delaware</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Internal Revenue Service - Employer Identification No. </w:t>
      </w:r>
      <w:r>
        <w:rPr>
          <w:rFonts w:ascii="Times New Roman" w:cs="Times New Roman" w:eastAsia="Times New Roman" w:hAnsi="Times New Roman"/>
          <w:sz w:val="17"/>
          <w:szCs w:val="17"/>
          <w:b w:val="1"/>
          <w:bCs w:val="1"/>
          <w:color w:val="auto"/>
        </w:rPr>
        <w:t>75-1618004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8000 S. Federal Way, P.O. Box 6, Boise, Idaho 83707-0006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(208) 368-4000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203200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jc w:val="both"/>
        <w:ind w:right="220"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is an accelerated filer (as defined in Rule 12b-2 of the Exchange Act).</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20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number of outstanding shares of the registrant’s common stock as of July 8, 2003, was 609,869,996.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452755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millions except per share amounts)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1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00" w:type="dxa"/>
            <w:vAlign w:val="bottom"/>
            <w:gridSpan w:val="2"/>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May 29,</w:t>
            </w:r>
          </w:p>
        </w:tc>
        <w:tc>
          <w:tcPr>
            <w:tcW w:w="420" w:type="dxa"/>
            <w:vAlign w:val="bottom"/>
          </w:tcPr>
          <w:p>
            <w:pPr>
              <w:spacing w:after="0"/>
              <w:rPr>
                <w:sz w:val="10"/>
                <w:szCs w:val="10"/>
                <w:color w:val="auto"/>
              </w:rPr>
            </w:pPr>
          </w:p>
        </w:tc>
        <w:tc>
          <w:tcPr>
            <w:tcW w:w="1120" w:type="dxa"/>
            <w:vAlign w:val="bottom"/>
          </w:tcPr>
          <w:p>
            <w:pPr>
              <w:jc w:val="center"/>
              <w:ind w:right="337"/>
              <w:spacing w:after="0" w:line="118" w:lineRule="exact"/>
              <w:rPr>
                <w:sz w:val="20"/>
                <w:szCs w:val="20"/>
                <w:color w:val="auto"/>
              </w:rPr>
            </w:pPr>
            <w:r>
              <w:rPr>
                <w:rFonts w:ascii="Times New Roman" w:cs="Times New Roman" w:eastAsia="Times New Roman" w:hAnsi="Times New Roman"/>
                <w:sz w:val="13"/>
                <w:szCs w:val="13"/>
                <w:b w:val="1"/>
                <w:bCs w:val="1"/>
                <w:color w:val="auto"/>
              </w:rPr>
              <w:t>May 30,</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gridSpan w:val="2"/>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May 29,</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jc w:val="right"/>
              <w:ind w:right="437"/>
              <w:spacing w:after="0" w:line="118" w:lineRule="exact"/>
              <w:rPr>
                <w:sz w:val="20"/>
                <w:szCs w:val="20"/>
                <w:color w:val="auto"/>
              </w:rPr>
            </w:pPr>
            <w:r>
              <w:rPr>
                <w:rFonts w:ascii="Times New Roman" w:cs="Times New Roman" w:eastAsia="Times New Roman" w:hAnsi="Times New Roman"/>
                <w:sz w:val="13"/>
                <w:szCs w:val="13"/>
                <w:b w:val="1"/>
                <w:bCs w:val="1"/>
                <w:color w:val="auto"/>
              </w:rPr>
              <w:t>May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2003</w:t>
            </w:r>
          </w:p>
        </w:tc>
        <w:tc>
          <w:tcPr>
            <w:tcW w:w="2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2002</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2003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732.7</w:t>
            </w:r>
          </w:p>
        </w:tc>
        <w:tc>
          <w:tcPr>
            <w:tcW w:w="4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771.2</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2,202.8</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603.0</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4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26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(190.2)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87.2</w:t>
            </w:r>
          </w:p>
        </w:tc>
        <w:tc>
          <w:tcPr>
            <w:tcW w:w="4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77.2</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276.0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236.4</w:t>
            </w:r>
          </w:p>
        </w:tc>
        <w:tc>
          <w:tcPr>
            <w:tcW w:w="0" w:type="dxa"/>
            <w:vAlign w:val="bottom"/>
          </w:tcPr>
          <w:p>
            <w:pPr>
              <w:spacing w:after="0"/>
              <w:rPr>
                <w:sz w:val="1"/>
                <w:szCs w:val="1"/>
                <w:color w:val="auto"/>
              </w:rPr>
            </w:pPr>
          </w:p>
        </w:tc>
      </w:tr>
    </w:tbl>
    <w:p>
      <w:pPr>
        <w:sectPr>
          <w:pgSz w:w="11900" w:h="16838" w:orient="portrait"/>
          <w:cols w:equalWidth="0" w:num="1">
            <w:col w:w="11420"/>
          </w:cols>
          <w:pgMar w:left="240" w:top="579"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161.7</w:t>
            </w:r>
          </w:p>
        </w:tc>
        <w:tc>
          <w:tcPr>
            <w:tcW w:w="6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134.4</w:t>
            </w:r>
          </w:p>
        </w:tc>
        <w:tc>
          <w:tcPr>
            <w:tcW w:w="50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490.3</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Restructure charge</w:t>
            </w:r>
          </w:p>
        </w:tc>
        <w:tc>
          <w:tcPr>
            <w:tcW w:w="5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expense</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5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loss</w:t>
            </w: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(183.7)</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(46.7)</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5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6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5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Loss before taxes</w:t>
            </w: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(191.0)</w:t>
            </w:r>
          </w:p>
        </w:tc>
        <w:tc>
          <w:tcPr>
            <w:tcW w:w="6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(40.3)</w:t>
            </w:r>
          </w:p>
        </w:tc>
        <w:tc>
          <w:tcPr>
            <w:tcW w:w="5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(1,087.1)</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5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c>
          <w:tcPr>
            <w:tcW w:w="6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16.1</w:t>
            </w:r>
          </w:p>
        </w:tc>
        <w:tc>
          <w:tcPr>
            <w:tcW w:w="5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tcBorders>
              <w:top w:val="single" w:sz="8" w:color="auto"/>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58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w:t>
            </w:r>
          </w:p>
        </w:tc>
        <w:tc>
          <w:tcPr>
            <w:tcW w:w="620" w:type="dxa"/>
            <w:vAlign w:val="bottom"/>
          </w:tcPr>
          <w:p>
            <w:pPr>
              <w:jc w:val="right"/>
              <w:ind w:right="4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(0.04)</w:t>
            </w:r>
          </w:p>
        </w:tc>
        <w:tc>
          <w:tcPr>
            <w:tcW w:w="50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6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5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(0.04)</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in per share calculations:</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5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608.3</w:t>
            </w:r>
          </w:p>
        </w:tc>
        <w:tc>
          <w:tcPr>
            <w:tcW w:w="6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602.3</w:t>
            </w:r>
          </w:p>
        </w:tc>
        <w:tc>
          <w:tcPr>
            <w:tcW w:w="5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606.9</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5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608.3</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602.3</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606.9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600.7</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millions except par value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20" w:type="dxa"/>
            <w:vAlign w:val="bottom"/>
          </w:tcPr>
          <w:p>
            <w:pPr>
              <w:spacing w:after="0"/>
              <w:rPr>
                <w:sz w:val="13"/>
                <w:szCs w:val="13"/>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May 29,</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August 29,</w:t>
            </w:r>
          </w:p>
        </w:tc>
        <w:tc>
          <w:tcPr>
            <w:tcW w:w="0" w:type="dxa"/>
            <w:vAlign w:val="bottom"/>
          </w:tcPr>
          <w:p>
            <w:pPr>
              <w:spacing w:after="0"/>
              <w:rPr>
                <w:sz w:val="1"/>
                <w:szCs w:val="1"/>
                <w:color w:val="auto"/>
              </w:rPr>
            </w:pPr>
          </w:p>
        </w:tc>
      </w:tr>
      <w:tr>
        <w:trPr>
          <w:trHeight w:val="173"/>
        </w:trPr>
        <w:tc>
          <w:tcPr>
            <w:tcW w:w="800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2003</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2002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679.8</w:t>
            </w:r>
          </w:p>
        </w:tc>
        <w:tc>
          <w:tcPr>
            <w:tcW w:w="2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w:t>
            </w:r>
          </w:p>
        </w:tc>
        <w:tc>
          <w:tcPr>
            <w:tcW w:w="3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495.5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431.1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7,142.6</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7,555.4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631.3</w:t>
            </w:r>
          </w:p>
        </w:tc>
        <w:tc>
          <w:tcPr>
            <w:tcW w:w="2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Equipment purchase contracts</w:t>
            </w:r>
          </w:p>
        </w:tc>
        <w:tc>
          <w:tcPr>
            <w:tcW w:w="3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common stock</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9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$0.10 par value, authorized 3.0 billion shares, issued and outstanding 608.7 million and</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602.9 million shares</w:t>
            </w:r>
          </w:p>
        </w:tc>
        <w:tc>
          <w:tcPr>
            <w:tcW w:w="3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60.7</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capital</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4,229.6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858.5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7,142.6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7,555.4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11420"/>
          </w:cols>
          <w:pgMar w:left="240" w:top="121" w:right="239" w:bottom="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1" w:right="239" w:bottom="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19050"/>
                    </a:xfrm>
                    <a:prstGeom prst="rect">
                      <a:avLst/>
                    </a:prstGeom>
                    <a:noFill/>
                  </pic:spPr>
                </pic:pic>
              </a:graphicData>
            </a:graphic>
          </wp:anchor>
        </w:drawing>
        <w:t>Consolidated Statements of Cash Flows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May 29,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May 30,</w:t>
            </w:r>
          </w:p>
        </w:tc>
        <w:tc>
          <w:tcPr>
            <w:tcW w:w="0" w:type="dxa"/>
            <w:vAlign w:val="bottom"/>
          </w:tcPr>
          <w:p>
            <w:pPr>
              <w:spacing w:after="0"/>
              <w:rPr>
                <w:sz w:val="1"/>
                <w:szCs w:val="1"/>
                <w:color w:val="auto"/>
              </w:rPr>
            </w:pPr>
          </w:p>
        </w:tc>
      </w:tr>
      <w:tr>
        <w:trPr>
          <w:trHeight w:val="173"/>
        </w:trPr>
        <w:tc>
          <w:tcPr>
            <w:tcW w:w="74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2003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(1,150.0)</w:t>
            </w:r>
          </w:p>
        </w:tc>
        <w:tc>
          <w:tcPr>
            <w:tcW w:w="44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restructure and other charges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to write down inventories to estimated market values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write-down or disposition of equipment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(gain) from write-down or disposition of investments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capital tax effect of stock plans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Decrease in receivables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Increase in inventories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Increase (decrease) in accounts payable and accrued expenses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property, plant and equipment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available-for-sale securities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maturities of available-for-sale securities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sales of available-for-sale securities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restricted cash</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DRAM assets from Toshiba</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 of property, plant and equipment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debt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equipment sale-leaseback transactions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equipment purchase contracts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call spread options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debt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(used for) financing activities</w:t>
            </w: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increase (decrease) in cash and equivalents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Cash and equivalents at beginning of period</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equivalents at end of period</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refunded, net</w:t>
            </w:r>
          </w:p>
        </w:tc>
        <w:tc>
          <w:tcPr>
            <w:tcW w:w="5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105.2</w:t>
            </w:r>
          </w:p>
        </w:tc>
        <w:tc>
          <w:tcPr>
            <w:tcW w:w="44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 net of amounts capitalized</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Equipment acquisitions on contracts payable and capital leases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tabular amounts in millions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Statements</w:t>
      </w:r>
    </w:p>
    <w:p>
      <w:pPr>
        <w:spacing w:after="0" w:line="225" w:lineRule="exact"/>
        <w:rPr>
          <w:sz w:val="20"/>
          <w:szCs w:val="20"/>
          <w:color w:val="auto"/>
        </w:rPr>
      </w:pPr>
    </w:p>
    <w:p>
      <w:pPr>
        <w:ind w:right="6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Micron Technology, Inc., and its subsidiaries (hereinafter referred to collectively as the “Company”) manufactures and markets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DRAMs, Flash memory, CMOS image sensors, other semiconductor components and memory modules. All significant intercompany accounts and transactions have been eliminated. The Company’s fiscal year is the 52 or 53-week period ending on the Thursday closest to August 31. The Company’s third quarter of fiscal 2003 and 2002 ended on May 29, 2003, and May 30, 2002, respectively. The Company’s fiscal 2002 ended on August 29, 2002. In the opinion of management, the accompanying unaudited consolidated financial statements contain all adjustments necessary to present fairly the consolidated</w:t>
      </w:r>
    </w:p>
    <w:p>
      <w:pPr>
        <w:sectPr>
          <w:pgSz w:w="11900" w:h="16838" w:orient="portrait"/>
          <w:cols w:equalWidth="0" w:num="1">
            <w:col w:w="11420"/>
          </w:cols>
          <w:pgMar w:left="240" w:top="891" w:right="239" w:bottom="0" w:gutter="0" w:footer="0" w:header="0"/>
        </w:sectPr>
      </w:pPr>
    </w:p>
    <w:bookmarkStart w:id="3" w:name="page4"/>
    <w:bookmarkEnd w:id="3"/>
    <w:p>
      <w:pPr>
        <w:ind w:right="80"/>
        <w:spacing w:after="0" w:line="282" w:lineRule="auto"/>
        <w:rPr>
          <w:sz w:val="20"/>
          <w:szCs w:val="20"/>
          <w:color w:val="auto"/>
        </w:rPr>
      </w:pPr>
      <w:r>
        <w:rPr>
          <w:rFonts w:ascii="Times New Roman" w:cs="Times New Roman" w:eastAsia="Times New Roman" w:hAnsi="Times New Roman"/>
          <w:sz w:val="18"/>
          <w:szCs w:val="18"/>
          <w:color w:val="auto"/>
        </w:rPr>
        <w:t>financial position of the Company, and its consolidated results of operations and cash flows. All period references are to the Company’s fiscal periods unless otherwise indicated.</w:t>
      </w:r>
    </w:p>
    <w:p>
      <w:pPr>
        <w:spacing w:after="0" w:line="162"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These interim financial statements should be read in conjunction with the consolidated financial statements and accompanying notes included in the Company’s Form 10-K for the year ended August 29, 2002.</w:t>
      </w:r>
    </w:p>
    <w:p>
      <w:pPr>
        <w:spacing w:after="0" w:line="158"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Recently issued accounting standards: </w:t>
      </w:r>
      <w:r>
        <w:rPr>
          <w:rFonts w:ascii="Times New Roman" w:cs="Times New Roman" w:eastAsia="Times New Roman" w:hAnsi="Times New Roman"/>
          <w:sz w:val="18"/>
          <w:szCs w:val="18"/>
          <w:color w:val="auto"/>
        </w:rPr>
        <w:t>In May 2003, the Financial Accounting Standards Board (“FASB”) issued Statement of Financial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Standards (“SFAS”) No. 150, “Accounting for Certain Financial Instruments with Characteristics of both Liabilities and Equity.” SFAS No. 150 requires that certain financial instruments, which under previous guidance could be accounted for as equity, be classified as liabilities in statements of financial position. SFAS No. 150 is effective for financial instruments entered into or modified after May 31, 2003, and is otherwise effective for the Company in the first quarter of 2004. The Company does not expect the adoption of SFAS No. 150 to have a significant impact on the Company’s future results of operations or financial condition.</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April 2003, the FASB issued SFAS No. 149, “Amendment of Statement 133 on Derivative Instruments and Hedging Activities.” SFAS No. 149 amends and clarifies the accounting for derivative instruments, including certain derivative instruments embedded in other contracts, and for hedging activities under SFAS No. 133. SFAS No. 149 is generally effective for contracts entered into or modified after June 30, 2003. The Company does not expect the adoption of SFAS No. 149 to have a significant impact on the Company’s future results of operations or financial condition.</w:t>
      </w:r>
    </w:p>
    <w:p>
      <w:pPr>
        <w:spacing w:after="0" w:line="180"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January 2003, the FASB issued Interpretation No. 46, “Consolidation of Variable Interest Entities – an interpretation of ARB No. 51,” which provides guidance on the identification of and reporting for variable interest entities. Interpretation No. 46 expands the criteria for consideration in determining whether a variable interest entity should be consolidated. Interpretation No. 46 is effective immediately for variable interest entities created after January 31, 2003, and to variable interest entities in which an enterprise obtains an interest after that date. Interpretation No. 46 is effective for the Company in the first quarter of 2004 for variable interest entities acquired before February 1, 2003. The Company is currently assessing the impact of Interpretation No. 46 on its future results of operations and financial condition.</w:t>
      </w:r>
    </w:p>
    <w:p>
      <w:pPr>
        <w:spacing w:after="0" w:line="184" w:lineRule="exact"/>
        <w:rPr>
          <w:sz w:val="20"/>
          <w:szCs w:val="20"/>
          <w:color w:val="auto"/>
        </w:rPr>
      </w:pPr>
    </w:p>
    <w:p>
      <w:pPr>
        <w:ind w:right="26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Segment information: </w:t>
      </w:r>
      <w:r>
        <w:rPr>
          <w:rFonts w:ascii="Times New Roman" w:cs="Times New Roman" w:eastAsia="Times New Roman" w:hAnsi="Times New Roman"/>
          <w:sz w:val="18"/>
          <w:szCs w:val="18"/>
          <w:color w:val="auto"/>
        </w:rPr>
        <w:t>The Company has determined, based on the nature of its operations and products offered to customers, that its only reportable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segment is Semiconductor Operations. The Semiconductor Operations segment’s primary product is DRAM.</w:t>
      </w:r>
    </w:p>
    <w:p>
      <w:pPr>
        <w:spacing w:after="0" w:line="155"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Product warranty: </w:t>
      </w:r>
      <w:r>
        <w:rPr>
          <w:rFonts w:ascii="Times New Roman" w:cs="Times New Roman" w:eastAsia="Times New Roman" w:hAnsi="Times New Roman"/>
          <w:sz w:val="18"/>
          <w:szCs w:val="18"/>
          <w:color w:val="auto"/>
        </w:rPr>
        <w:t>The Company generally provides a limited warranty that its products are in compliance with Company specifications existing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of delivery. Under the Company’s general terms and conditions of sale, liability for certain failures of product during a stated warranty period is usually limited to repair or replacement of defective items or return of, or a credit with respect to, amounts paid for such items. Under certain circumstances the Company may provide more extensive limited warranty coverage and general legal principles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under certain circumstances, impose upon the Company more extensive liability than that provided under the Company’s general terms and conditions.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warranty obligations are not material.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Balance Sheet Information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180" w:type="dxa"/>
            <w:vAlign w:val="bottom"/>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May 29,</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August 29,</w:t>
            </w:r>
          </w:p>
        </w:tc>
        <w:tc>
          <w:tcPr>
            <w:tcW w:w="0" w:type="dxa"/>
            <w:vAlign w:val="bottom"/>
          </w:tcPr>
          <w:p>
            <w:pPr>
              <w:spacing w:after="0"/>
              <w:rPr>
                <w:sz w:val="1"/>
                <w:szCs w:val="1"/>
                <w:color w:val="auto"/>
              </w:rPr>
            </w:pPr>
          </w:p>
        </w:tc>
      </w:tr>
      <w:tr>
        <w:trPr>
          <w:trHeight w:val="173"/>
        </w:trPr>
        <w:tc>
          <w:tcPr>
            <w:tcW w:w="7740" w:type="dxa"/>
            <w:vAlign w:val="bottom"/>
            <w:gridSpan w:val="2"/>
            <w:vMerge w:val="continue"/>
          </w:tcPr>
          <w:p>
            <w:pPr>
              <w:spacing w:after="0"/>
              <w:rPr>
                <w:sz w:val="15"/>
                <w:szCs w:val="15"/>
                <w:color w:val="auto"/>
              </w:rPr>
            </w:pPr>
          </w:p>
        </w:tc>
        <w:tc>
          <w:tcPr>
            <w:tcW w:w="1180" w:type="dxa"/>
            <w:vAlign w:val="bottom"/>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w w:val="99"/>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receivables</w:t>
            </w: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426.5</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370.7</w:t>
            </w:r>
          </w:p>
        </w:tc>
        <w:tc>
          <w:tcPr>
            <w:tcW w:w="0" w:type="dxa"/>
            <w:vAlign w:val="bottom"/>
          </w:tcPr>
          <w:p>
            <w:pPr>
              <w:spacing w:after="0"/>
              <w:rPr>
                <w:sz w:val="1"/>
                <w:szCs w:val="1"/>
                <w:color w:val="auto"/>
              </w:rPr>
            </w:pPr>
          </w:p>
        </w:tc>
      </w:tr>
      <w:tr>
        <w:trPr>
          <w:trHeight w:val="216"/>
        </w:trPr>
        <w:tc>
          <w:tcPr>
            <w:tcW w:w="7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Joint venture</w:t>
            </w:r>
          </w:p>
        </w:tc>
        <w:tc>
          <w:tcPr>
            <w:tcW w:w="11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33.8</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Taxes other than income</w:t>
            </w:r>
          </w:p>
        </w:tc>
        <w:tc>
          <w:tcPr>
            <w:tcW w:w="1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21.6</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6"/>
        </w:trPr>
        <w:tc>
          <w:tcPr>
            <w:tcW w:w="7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11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12.1</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122.2</w:t>
            </w: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7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7"/>
        </w:trPr>
        <w:tc>
          <w:tcPr>
            <w:tcW w:w="75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56"/>
        </w:trPr>
        <w:tc>
          <w:tcPr>
            <w:tcW w:w="7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Inventories</w:t>
            </w:r>
          </w:p>
        </w:tc>
        <w:tc>
          <w:tcPr>
            <w:tcW w:w="1180" w:type="dxa"/>
            <w:vAlign w:val="bottom"/>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May 29,</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August 29,</w:t>
            </w:r>
          </w:p>
        </w:tc>
        <w:tc>
          <w:tcPr>
            <w:tcW w:w="0" w:type="dxa"/>
            <w:vAlign w:val="bottom"/>
          </w:tcPr>
          <w:p>
            <w:pPr>
              <w:spacing w:after="0"/>
              <w:rPr>
                <w:sz w:val="1"/>
                <w:szCs w:val="1"/>
                <w:color w:val="auto"/>
              </w:rPr>
            </w:pPr>
          </w:p>
        </w:tc>
      </w:tr>
      <w:tr>
        <w:trPr>
          <w:trHeight w:val="173"/>
        </w:trPr>
        <w:tc>
          <w:tcPr>
            <w:tcW w:w="7740" w:type="dxa"/>
            <w:vAlign w:val="bottom"/>
            <w:gridSpan w:val="2"/>
            <w:vMerge w:val="continue"/>
          </w:tcPr>
          <w:p>
            <w:pPr>
              <w:spacing w:after="0"/>
              <w:rPr>
                <w:sz w:val="15"/>
                <w:szCs w:val="15"/>
                <w:color w:val="auto"/>
              </w:rPr>
            </w:pPr>
          </w:p>
        </w:tc>
        <w:tc>
          <w:tcPr>
            <w:tcW w:w="1180" w:type="dxa"/>
            <w:vAlign w:val="bottom"/>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w w:val="99"/>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Finished goods</w:t>
            </w: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128.5</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257.9</w:t>
            </w:r>
          </w:p>
        </w:tc>
        <w:tc>
          <w:tcPr>
            <w:tcW w:w="0" w:type="dxa"/>
            <w:vAlign w:val="bottom"/>
          </w:tcPr>
          <w:p>
            <w:pPr>
              <w:spacing w:after="0"/>
              <w:rPr>
                <w:sz w:val="1"/>
                <w:szCs w:val="1"/>
                <w:color w:val="auto"/>
              </w:rPr>
            </w:pPr>
          </w:p>
        </w:tc>
      </w:tr>
      <w:tr>
        <w:trPr>
          <w:trHeight w:val="216"/>
        </w:trPr>
        <w:tc>
          <w:tcPr>
            <w:tcW w:w="7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Work in process</w:t>
            </w:r>
          </w:p>
        </w:tc>
        <w:tc>
          <w:tcPr>
            <w:tcW w:w="11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218.3</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1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106.1</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216"/>
        </w:trPr>
        <w:tc>
          <w:tcPr>
            <w:tcW w:w="7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Allowance for obsolescence</w:t>
            </w:r>
          </w:p>
        </w:tc>
        <w:tc>
          <w:tcPr>
            <w:tcW w:w="1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(21.8)</w:t>
            </w:r>
          </w:p>
        </w:tc>
        <w:tc>
          <w:tcPr>
            <w:tcW w:w="2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7"/>
        </w:trPr>
        <w:tc>
          <w:tcPr>
            <w:tcW w:w="75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In the third, second and first quarters of 2003, the Company recognized write-downs of $14.6 million, $197.4 million and $90.8 million, respectively, to record work in process and finished goods inventories of semiconductor products at their estimated market values.</w:t>
      </w:r>
    </w:p>
    <w:p>
      <w:pPr>
        <w:spacing w:after="0" w:line="16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 xml:space="preserve">In the fourth, third, second and first quarters of 2002, the Company recognized write-downs of $173.6 million, $25.9 million, $3.8 </w:t>
      </w:r>
      <w:r>
        <w:rPr>
          <w:rFonts w:ascii="Times New Roman" w:cs="Times New Roman" w:eastAsia="Times New Roman" w:hAnsi="Times New Roman"/>
          <w:sz w:val="17"/>
          <w:szCs w:val="17"/>
          <w:color w:val="auto"/>
        </w:rPr>
        <w:t>million</w:t>
      </w:r>
      <w:r>
        <w:rPr>
          <w:rFonts w:ascii="Times New Roman" w:cs="Times New Roman" w:eastAsia="Times New Roman" w:hAnsi="Times New Roman"/>
          <w:sz w:val="18"/>
          <w:szCs w:val="18"/>
          <w:color w:val="auto"/>
        </w:rPr>
        <w:t xml:space="preserve"> and $172.8 million, respectively, to record work in process and finished goods inventories of semiconductor products at their estimated market values.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Property, Plant and Equipment</w:t>
            </w:r>
          </w:p>
        </w:tc>
        <w:tc>
          <w:tcPr>
            <w:tcW w:w="220" w:type="dxa"/>
            <w:vAlign w:val="bottom"/>
          </w:tcPr>
          <w:p>
            <w:pPr>
              <w:spacing w:after="0"/>
              <w:rPr>
                <w:sz w:val="13"/>
                <w:szCs w:val="13"/>
                <w:color w:val="auto"/>
              </w:rPr>
            </w:pPr>
          </w:p>
        </w:tc>
        <w:tc>
          <w:tcPr>
            <w:tcW w:w="1060" w:type="dxa"/>
            <w:vAlign w:val="bottom"/>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May 29,</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August 29,</w:t>
            </w:r>
          </w:p>
        </w:tc>
        <w:tc>
          <w:tcPr>
            <w:tcW w:w="0" w:type="dxa"/>
            <w:vAlign w:val="bottom"/>
          </w:tcPr>
          <w:p>
            <w:pPr>
              <w:spacing w:after="0"/>
              <w:rPr>
                <w:sz w:val="1"/>
                <w:szCs w:val="1"/>
                <w:color w:val="auto"/>
              </w:rPr>
            </w:pPr>
          </w:p>
        </w:tc>
      </w:tr>
      <w:tr>
        <w:trPr>
          <w:trHeight w:val="173"/>
        </w:trPr>
        <w:tc>
          <w:tcPr>
            <w:tcW w:w="7540" w:type="dxa"/>
            <w:vAlign w:val="bottom"/>
            <w:vMerge w:val="continue"/>
          </w:tcPr>
          <w:p>
            <w:pPr>
              <w:spacing w:after="0"/>
              <w:rPr>
                <w:sz w:val="15"/>
                <w:szCs w:val="15"/>
                <w:color w:val="auto"/>
              </w:rPr>
            </w:pPr>
          </w:p>
        </w:tc>
        <w:tc>
          <w:tcPr>
            <w:tcW w:w="1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2003</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Land</w:t>
            </w:r>
          </w:p>
        </w:tc>
        <w:tc>
          <w:tcPr>
            <w:tcW w:w="1280" w:type="dxa"/>
            <w:vAlign w:val="bottom"/>
            <w:gridSpan w:val="2"/>
            <w:shd w:val="clear" w:color="auto" w:fill="CCEEFF"/>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106.4</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Buildings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2,296.0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Equipment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6,450.8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Software</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197.9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0" w:gutter="0" w:footer="0" w:header="0"/>
        </w:sectPr>
      </w:pPr>
    </w:p>
    <w:bookmarkStart w:id="4" w:name="page5"/>
    <w:bookmarkEnd w:id="4"/>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9,296.0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8,839.8</w:t>
            </w:r>
          </w:p>
        </w:tc>
        <w:tc>
          <w:tcPr>
            <w:tcW w:w="120" w:type="dxa"/>
            <w:vAlign w:val="bottom"/>
          </w:tcPr>
          <w:p>
            <w:pPr>
              <w:spacing w:after="0"/>
              <w:rPr>
                <w:sz w:val="20"/>
                <w:szCs w:val="20"/>
                <w:color w:val="auto"/>
              </w:rPr>
            </w:pPr>
          </w:p>
        </w:tc>
      </w:tr>
      <w:tr>
        <w:trPr>
          <w:trHeight w:val="216"/>
        </w:trPr>
        <w:tc>
          <w:tcPr>
            <w:tcW w:w="8320" w:type="dxa"/>
            <w:vAlign w:val="bottom"/>
            <w:gridSpan w:val="2"/>
            <w:shd w:val="clear" w:color="auto" w:fill="CCEEFF"/>
          </w:tcPr>
          <w:p>
            <w:pPr>
              <w:jc w:val="right"/>
              <w:ind w:right="597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(4,719.8)</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(4,140.3)</w:t>
            </w:r>
          </w:p>
        </w:tc>
      </w:tr>
      <w:tr>
        <w:trPr>
          <w:trHeight w:val="217"/>
        </w:trPr>
        <w:tc>
          <w:tcPr>
            <w:tcW w:w="776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4,576.2</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44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4,699.5</w:t>
            </w:r>
          </w:p>
        </w:tc>
        <w:tc>
          <w:tcPr>
            <w:tcW w:w="120" w:type="dxa"/>
            <w:vAlign w:val="bottom"/>
          </w:tcPr>
          <w:p>
            <w:pPr>
              <w:spacing w:after="0"/>
              <w:rPr>
                <w:sz w:val="18"/>
                <w:szCs w:val="18"/>
                <w:color w:val="auto"/>
              </w:rPr>
            </w:pPr>
          </w:p>
        </w:tc>
      </w:tr>
    </w:tbl>
    <w:p>
      <w:pPr>
        <w:spacing w:after="0" w:line="198"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was $287.8 million and $872.2 million for the third quarter and first nine months of 2003, respectively, and $281.3 million and $844.6 million in the third quarter and first nine months of 2002, respectively.</w:t>
      </w:r>
    </w:p>
    <w:p>
      <w:pPr>
        <w:spacing w:after="0" w:line="162"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As part of a restructure plan announced in the second quarter of 2003, the Company recorded impairment charges of $44.6 million in the first nine months of 2003 to write down the carrying value of certain assets consisting primarily of assets used in the Company’s 200 mm production line in Virginia, which was shut down as part of the restructure plan. Assets classified as held for sale are included in other assets in the accompanying consolidated balance sheet. (See “Restructure and Other Charges” note.)</w:t>
      </w:r>
    </w:p>
    <w:p>
      <w:pPr>
        <w:spacing w:after="0" w:line="180"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Company’s Lehi, Utah facility, the construction of which was initiated in 1995, is at present only partially utilized by the Company for component test operations. Timing for completion of the Lehi facility is dependent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upon market conditions, including, but not limited to, worldwide market supply of, and demand for, semiconductor products and the Company’s operations, cash flows and alternative capacity utilization opportunities. As of May 29, 2003, construction in progress included costs of $196.7 million related to certain assets in Lehi, which were not ready for their intended use and were not being depreciated. As of May 29, 2003, the Company had assets in Lehi with a net book value of approximately $178.3 million, which were not in use but were being depreciated.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Accounts Payable and Accrued Expenses</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May 29,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August 29,</w:t>
            </w:r>
          </w:p>
        </w:tc>
        <w:tc>
          <w:tcPr>
            <w:tcW w:w="0" w:type="dxa"/>
            <w:vAlign w:val="bottom"/>
          </w:tcPr>
          <w:p>
            <w:pPr>
              <w:spacing w:after="0"/>
              <w:rPr>
                <w:sz w:val="1"/>
                <w:szCs w:val="1"/>
                <w:color w:val="auto"/>
              </w:rPr>
            </w:pPr>
          </w:p>
        </w:tc>
      </w:tr>
      <w:tr>
        <w:trPr>
          <w:trHeight w:val="173"/>
        </w:trPr>
        <w:tc>
          <w:tcPr>
            <w:tcW w:w="752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301.0</w:t>
            </w:r>
          </w:p>
        </w:tc>
        <w:tc>
          <w:tcPr>
            <w:tcW w:w="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278.9</w:t>
            </w:r>
          </w:p>
        </w:tc>
        <w:tc>
          <w:tcPr>
            <w:tcW w:w="0" w:type="dxa"/>
            <w:vAlign w:val="bottom"/>
          </w:tcPr>
          <w:p>
            <w:pPr>
              <w:spacing w:after="0"/>
              <w:rPr>
                <w:sz w:val="1"/>
                <w:szCs w:val="1"/>
                <w:color w:val="auto"/>
              </w:rPr>
            </w:pPr>
          </w:p>
        </w:tc>
      </w:tr>
      <w:tr>
        <w:trPr>
          <w:trHeight w:val="216"/>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Joint venture</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16"/>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Taxes other than income</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Restructure charge</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17"/>
        </w:trPr>
        <w:tc>
          <w:tcPr>
            <w:tcW w:w="75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56"/>
        </w:trPr>
        <w:tc>
          <w:tcPr>
            <w:tcW w:w="7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Debt</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May 29,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August 29,</w:t>
            </w:r>
          </w:p>
        </w:tc>
        <w:tc>
          <w:tcPr>
            <w:tcW w:w="0" w:type="dxa"/>
            <w:vAlign w:val="bottom"/>
          </w:tcPr>
          <w:p>
            <w:pPr>
              <w:spacing w:after="0"/>
              <w:rPr>
                <w:sz w:val="1"/>
                <w:szCs w:val="1"/>
                <w:color w:val="auto"/>
              </w:rPr>
            </w:pPr>
          </w:p>
        </w:tc>
      </w:tr>
      <w:tr>
        <w:trPr>
          <w:trHeight w:val="173"/>
        </w:trPr>
        <w:tc>
          <w:tcPr>
            <w:tcW w:w="752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subordinated notes payable, interest rate of 2.5%, due February 2010</w:t>
            </w:r>
          </w:p>
        </w:tc>
        <w:tc>
          <w:tcPr>
            <w:tcW w:w="5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632.5</w:t>
            </w:r>
          </w:p>
        </w:tc>
        <w:tc>
          <w:tcPr>
            <w:tcW w:w="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7520" w:type="dxa"/>
            <w:vAlign w:val="bottom"/>
          </w:tcPr>
          <w:p>
            <w:pPr>
              <w:ind w:left="360"/>
              <w:spacing w:after="0" w:line="201" w:lineRule="exact"/>
              <w:rPr>
                <w:sz w:val="20"/>
                <w:szCs w:val="20"/>
                <w:color w:val="auto"/>
              </w:rPr>
            </w:pPr>
            <w:r>
              <w:rPr>
                <w:rFonts w:ascii="Times New Roman" w:cs="Times New Roman" w:eastAsia="Times New Roman" w:hAnsi="Times New Roman"/>
                <w:sz w:val="18"/>
                <w:szCs w:val="18"/>
                <w:color w:val="auto"/>
              </w:rPr>
              <w:t xml:space="preserve">Notes payable in periodic installments through July 2015, weighted </w:t>
            </w:r>
            <w:r>
              <w:rPr>
                <w:rFonts w:ascii="Times New Roman" w:cs="Times New Roman" w:eastAsia="Times New Roman" w:hAnsi="Times New Roman"/>
                <w:sz w:val="17"/>
                <w:szCs w:val="17"/>
                <w:color w:val="auto"/>
              </w:rPr>
              <w:t>average interest rate of 2.4%</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199.3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241.7</w:t>
            </w:r>
          </w:p>
        </w:tc>
        <w:tc>
          <w:tcPr>
            <w:tcW w:w="0" w:type="dxa"/>
            <w:vAlign w:val="bottom"/>
          </w:tcPr>
          <w:p>
            <w:pPr>
              <w:spacing w:after="0"/>
              <w:rPr>
                <w:sz w:val="1"/>
                <w:szCs w:val="1"/>
                <w:color w:val="auto"/>
              </w:rPr>
            </w:pPr>
          </w:p>
        </w:tc>
      </w:tr>
      <w:tr>
        <w:trPr>
          <w:trHeight w:val="230"/>
        </w:trPr>
        <w:tc>
          <w:tcPr>
            <w:tcW w:w="7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2.3%</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520" w:type="dxa"/>
            <w:vAlign w:val="bottom"/>
            <w:shd w:val="clear" w:color="auto" w:fill="CCEEFF"/>
          </w:tcPr>
          <w:p>
            <w:pPr>
              <w:ind w:left="360"/>
              <w:spacing w:after="0" w:line="201" w:lineRule="exact"/>
              <w:rPr>
                <w:sz w:val="20"/>
                <w:szCs w:val="20"/>
                <w:color w:val="auto"/>
              </w:rPr>
            </w:pPr>
            <w:r>
              <w:rPr>
                <w:rFonts w:ascii="Times New Roman" w:cs="Times New Roman" w:eastAsia="Times New Roman" w:hAnsi="Times New Roman"/>
                <w:sz w:val="18"/>
                <w:szCs w:val="18"/>
                <w:color w:val="auto"/>
              </w:rPr>
              <w:t xml:space="preserve">Subordinated notes payable, face amount of $210.0 million and </w:t>
            </w:r>
            <w:r>
              <w:rPr>
                <w:rFonts w:ascii="Times New Roman" w:cs="Times New Roman" w:eastAsia="Times New Roman" w:hAnsi="Times New Roman"/>
                <w:sz w:val="17"/>
                <w:szCs w:val="17"/>
                <w:color w:val="auto"/>
              </w:rPr>
              <w:t>stated interest rate of 6.5%, due</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September 2005, with an effective yield to maturity of 10.7%, net of unamortized discount of</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192.6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187.8</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$17.4 million and $22.2 million</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8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520" w:type="dxa"/>
            <w:vAlign w:val="bottom"/>
          </w:tcPr>
          <w:p>
            <w:pPr>
              <w:ind w:left="360"/>
              <w:spacing w:after="0" w:line="201" w:lineRule="exact"/>
              <w:rPr>
                <w:sz w:val="20"/>
                <w:szCs w:val="20"/>
                <w:color w:val="auto"/>
              </w:rPr>
            </w:pPr>
            <w:r>
              <w:rPr>
                <w:rFonts w:ascii="Times New Roman" w:cs="Times New Roman" w:eastAsia="Times New Roman" w:hAnsi="Times New Roman"/>
                <w:sz w:val="18"/>
                <w:szCs w:val="18"/>
                <w:color w:val="auto"/>
              </w:rPr>
              <w:t xml:space="preserve">Capital lease obligations payable in monthly installments </w:t>
            </w:r>
            <w:r>
              <w:rPr>
                <w:rFonts w:ascii="Times New Roman" w:cs="Times New Roman" w:eastAsia="Times New Roman" w:hAnsi="Times New Roman"/>
                <w:sz w:val="17"/>
                <w:szCs w:val="17"/>
                <w:color w:val="auto"/>
              </w:rPr>
              <w:t>through December 2007, weighted</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30"/>
        </w:trPr>
        <w:tc>
          <w:tcPr>
            <w:tcW w:w="7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average imputed interest rate of 5.8% and 2.4%</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5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17"/>
        </w:trPr>
        <w:tc>
          <w:tcPr>
            <w:tcW w:w="75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May 29, 2003, notes payable and capital lease obligations of $157.1 million and $14.7 million, respectively, were denominated in Japanese Yen and had weighted average interest rates of 1.5% and 1.8%, respectively.</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February 2003, the Company issued $632.5 million of 2.5% Convertible Subordinated Notes due February 1, 2010 (the “Notes”). The issuance costs associated with the Notes totaled $16.6 million and the net proceeds to the Company from the offering of the Notes were $615.9 million. Holders of the Notes may convert all or some of their Notes at any time prior to maturity, unless previously redeemed or repurchased, into the Company’s common stock at a conversion rate of 84.8320 shares for each $1,000 principal amount of Notes. This conversion rate is equivalent to a conversion price of approximately $11.79 per share. The Company may redeem the notes at any time after February 6, 2006, at declining premiums to par.</w:t>
      </w:r>
    </w:p>
    <w:p>
      <w:pPr>
        <w:spacing w:after="0" w:line="184"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Concurrent with the issuance of the Notes, the Company purchased call spread options (the “Call Spread Options”) covering 53.7 million shares of the Company’s common stock, which is the number of shares issuable upon conversion of the Notes in full. The Call Spread Options have a lower strike price of $11.79, a higher strike price of $18.19, may be settled at the Company’s option either in cash or net shares and expire on January 29, 2008. Settlement of the Call Spread Options in cash on January 29, 2008, the expiration date, would result in the Company receiving an amount ranging from zero if the market price per share of the Company’s common stock is at or below $11.79 to a maximum of $343.4 million if the market price per share of the Company’s common stock is at or above $18.19. Settlement of the Call Spread Options in net shares on the expiration date would result in the Company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receiving a number of shares of the Company’s common stock, not to exceed 18.9 million shares, with a value equal to the amount otherwise receivable on cash settlement. Should there be an early unwind of the Call Spread Options, the amount of cash or net shares potentially received by the Company will be dependent upon then existing overall market conditions, and on the Company’s stock price, the volatility of the Company’s stock and the amount of time remaining on the Call Spread Options. The Call Spread Options therefore have the potential of limiting the dilution associated with the conversion of the Notes from 53.7 million shares to as few as 34.8 million shares. The Call Spread Option transactions, including fees and costs of $109.1 million, are accounted for as capital transactions.</w:t>
      </w:r>
    </w:p>
    <w:p>
      <w:pPr>
        <w:sectPr>
          <w:pgSz w:w="11900" w:h="16867" w:orient="portrait"/>
          <w:cols w:equalWidth="0" w:num="1">
            <w:col w:w="11420"/>
          </w:cols>
          <w:pgMar w:left="240" w:top="121" w:right="23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May 29, 2003</w:t>
            </w:r>
          </w:p>
        </w:tc>
        <w:tc>
          <w:tcPr>
            <w:tcW w:w="1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4"/>
          </w:tcPr>
          <w:p>
            <w:pPr>
              <w:jc w:val="right"/>
              <w:ind w:right="1176"/>
              <w:spacing w:after="0"/>
              <w:rPr>
                <w:sz w:val="20"/>
                <w:szCs w:val="20"/>
                <w:color w:val="auto"/>
              </w:rPr>
            </w:pPr>
            <w:r>
              <w:rPr>
                <w:rFonts w:ascii="Times New Roman" w:cs="Times New Roman" w:eastAsia="Times New Roman" w:hAnsi="Times New Roman"/>
                <w:sz w:val="14"/>
                <w:szCs w:val="14"/>
                <w:b w:val="1"/>
                <w:bCs w:val="1"/>
                <w:color w:val="auto"/>
              </w:rPr>
              <w:t>August 29, 2002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0" w:type="dxa"/>
            <w:vAlign w:val="bottom"/>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380" w:type="dxa"/>
            <w:vAlign w:val="bottom"/>
          </w:tcPr>
          <w:p>
            <w:pPr>
              <w:spacing w:after="0"/>
              <w:rPr>
                <w:sz w:val="10"/>
                <w:szCs w:val="10"/>
                <w:color w:val="auto"/>
              </w:rPr>
            </w:pPr>
          </w:p>
        </w:tc>
        <w:tc>
          <w:tcPr>
            <w:tcW w:w="14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60" w:type="dxa"/>
            <w:vAlign w:val="bottom"/>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60" w:type="dxa"/>
            <w:vAlign w:val="bottom"/>
          </w:tcPr>
          <w:p>
            <w:pPr>
              <w:spacing w:after="0"/>
              <w:rPr>
                <w:sz w:val="10"/>
                <w:szCs w:val="10"/>
                <w:color w:val="auto"/>
              </w:rPr>
            </w:pPr>
          </w:p>
        </w:tc>
        <w:tc>
          <w:tcPr>
            <w:tcW w:w="15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Pr>
          <w:p>
            <w:pPr>
              <w:spacing w:after="0"/>
              <w:rPr>
                <w:sz w:val="15"/>
                <w:szCs w:val="15"/>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15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and process technology</w:t>
            </w:r>
          </w:p>
        </w:tc>
        <w:tc>
          <w:tcPr>
            <w:tcW w:w="112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324.9</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320.5</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 supply arrangement</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105.0</w:t>
            </w:r>
          </w:p>
        </w:tc>
        <w:tc>
          <w:tcPr>
            <w:tcW w:w="3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98.0</w:t>
            </w:r>
          </w:p>
        </w:tc>
        <w:tc>
          <w:tcPr>
            <w:tcW w:w="26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14.7</w:t>
            </w:r>
          </w:p>
        </w:tc>
        <w:tc>
          <w:tcPr>
            <w:tcW w:w="3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240" w:type="dxa"/>
            <w:vAlign w:val="bottom"/>
          </w:tcPr>
          <w:p>
            <w:pPr>
              <w:spacing w:after="0"/>
              <w:rPr>
                <w:sz w:val="18"/>
                <w:szCs w:val="18"/>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240" w:type="dxa"/>
            <w:vAlign w:val="bottom"/>
          </w:tcPr>
          <w:p>
            <w:pPr>
              <w:spacing w:after="0"/>
              <w:rPr>
                <w:sz w:val="18"/>
                <w:szCs w:val="18"/>
                <w:color w:val="auto"/>
              </w:rPr>
            </w:pPr>
          </w:p>
        </w:tc>
        <w:tc>
          <w:tcPr>
            <w:tcW w:w="26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During the first nine months of 2003, the Company expended $25.8 million for product and process technology and $2.5 million for other intangible assets with weighted average useful lives of ten and three years, respectively. During the first nine months of 2002, the Company expended $44.5 million for product and process technology and $9.3 million for other intangible assets with weighted average useful lives of eight and five years, respectively. As part of a restructure plan announced in the second quarter of 2003, the Company wrote off $16.1 million of product and process technology and $2.5 million of other intangible assets associated with discontinued products. (See “Restructure and Other Charges” note.)</w:t>
      </w:r>
    </w:p>
    <w:p>
      <w:pPr>
        <w:spacing w:after="0" w:line="18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guaranteed a portion of the credit facility of its joint venture, TECH Semiconductor Singapore Pte. Ltd. (“TECH”). In accordance with FASB Interpretation No. 45, the Company estimated the fair value of its guarantee of TECH’s credit facility to be $7.0 million, which was recorded in other noncurrent liabilities in the third quarter of 2003 with an offsetting amount as an increase in the value of the TECH supply arrangement. The amount recorded pursuant to Interpretation No. 45 is being amortized using the straight-line method through the June 2006 term of the new TECH credit facility. (See “Joint Venture” note.)</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Amortization expense for intangible assets was $12.7 million and $38.3 million for the third quarter and first nine months of 2003, respectively,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 million and $34.6 million for the third quarter and first nine months of 2002, respectively. Annual amortization expense for intangible assets held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29, 2003, is estimated to be $51.0 million for 2003, $48.1 million in 2004, $44.9 million in 2005, $43.2 million in 2006 and $41.4 million in 2007.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As is typical in the semiconductor and other high technology industries, from time to time, others have asserted, and may in the future assert, that the Company’s products or its processes infringe their product or process technology rights. The Company is currently engaged in litigation with Rambus, Inc. (“Rambus”) relating to certain patents of Rambus and certain of the Company’s claims and defenses. Lawsuits between Rambus and the Company are pending in the United States, Germany, France, the United Kingdom and Italy. The Company is unable to predict the outcome of the Rambus suits or of other assertions of infringements made against the Company. A court determination that the Company’s manufacturing processes or products infringe the product or process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Subsequent to the commencement of the DOJ investigation, twenty-four purported class action lawsuits were filed against the Company and other DRAM suppliers in various federal and state courts alleging violations of the Federal Sherman Antitrust Act or California’s Cartwright Antitrust Act and Unfair Competition Law relating to the sale and pricing of DRAM products. The complaints seek treble damages for the alleged damages sustained by purported class members, in addition to restitution, costs and attorneys’ fees, as well as an injunction against the allegedly unlawful conduct. The Company is unable to predict the outcome of these suits. Based upon the Company’s analysis of the claims made and the nature of the DRAM industry, the Company believes that class treatment of these cases is not appropriate and that any purported injury alleged by plaintiffs would be more appropriately resolved on a customer-by-customer basis. There can be no assurance that the final resolution of these alleged violations of federal or state antitrust laws will not result in significant liability and will not have a material adverse effect on the Company’s results of operations and financial condition.</w:t>
      </w:r>
    </w:p>
    <w:p>
      <w:pPr>
        <w:spacing w:after="0" w:line="193"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Company has accrued a liability and charged operations for the estimated costs of adjudication or settlement of asserted and unasserted claims existing as of the balance sheet date. The Company is currently a party to various other legal actions arising out of the normal course of business, none of which is expected to have a material adverse effect on the Company’s results of operations or financial condition.</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is a party to a variety of agreements pursuant to which it may be obligated to indemnify the other party. It is not possible to predict the maximum potential amount of future payments under these types of agreements due to the conditional nature of the Company’s obligations and the unique facts and circumstances involved in each particular agreement. Historically, payments made by the Company under these types of agreements have not had a material effect on the Company’s results of operations or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Common Stock</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issuance of the 1.5 million shares of common stock for the Toshiba DRAM Acquisition, the Company granted Toshiba Corporation (“Toshiba”) an option to require the Company to repurchase on October 21, 2003, all of these shares for $67.5 million in cash. The option expires if the closing price of the Company’s common stock is at or above $45.05 per share for 20 consecutive trading days. The carrying value of the redeemable common stock is accreted to its redemption amount of $67.5 million by a charge directly to retained earnings and is included in the computations of earning per share. Accretion of redeemable common stock was $1.6 million and $4.7 million in the third quarter and first nine months of 2003, respectively, and was $0.6 million for both the third quarter and first nine months of 2002, respectively. (See “Acquisition of Toshiba Corporation DRAM Assets” note.)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ectPr>
          <w:pgSz w:w="11900" w:h="16838" w:orient="portrait"/>
          <w:cols w:equalWidth="0" w:num="1">
            <w:col w:w="11420"/>
          </w:cols>
          <w:pgMar w:left="240" w:top="333" w:right="239" w:bottom="175" w:gutter="0" w:footer="0" w:header="0"/>
        </w:sectPr>
      </w:pPr>
    </w:p>
    <w:bookmarkStart w:id="6" w:name="page7"/>
    <w:bookmarkEnd w:id="6"/>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income tax provision for the third quarter and first nine months of 2003 was $23.9 million and $62.9 million, respectively, which primarily reflects taxes on foreign operations. Income tax benefit for the third quarter and first nine months of 2002 was $16.1 million and $213.6 million, respectively. The Company recognized no tax benefit on its domestic net operating losses in 2003.</w:t>
      </w:r>
    </w:p>
    <w:p>
      <w:pPr>
        <w:spacing w:after="0" w:line="176" w:lineRule="exact"/>
        <w:rPr>
          <w:sz w:val="20"/>
          <w:szCs w:val="20"/>
          <w:color w:val="auto"/>
        </w:rPr>
      </w:pPr>
    </w:p>
    <w:p>
      <w:pPr>
        <w:jc w:val="both"/>
        <w:ind w:right="460" w:firstLine="324"/>
        <w:spacing w:after="0" w:line="266" w:lineRule="auto"/>
        <w:rPr>
          <w:sz w:val="20"/>
          <w:szCs w:val="20"/>
          <w:color w:val="auto"/>
        </w:rPr>
      </w:pPr>
      <w:r>
        <w:rPr>
          <w:rFonts w:ascii="Times New Roman" w:cs="Times New Roman" w:eastAsia="Times New Roman" w:hAnsi="Times New Roman"/>
          <w:sz w:val="18"/>
          <w:szCs w:val="18"/>
          <w:color w:val="auto"/>
        </w:rPr>
        <w:t>As of May 29, 2003, the Company had aggregate U.S. tax net operating loss carryforwards of $2,561.0 million and unused U.S. tax credits of $90.4 million, which expire in various years through 2023. The Company also has state tax net operating loss carryforwards of $1,818.9 million which expire through 2023 and unused state tax credits of $127.8 million which expire through 2017.</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p>
      <w:pPr>
        <w:spacing w:after="0" w:line="22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Basic earnings per share is computed based on the weighted average number of common shares outstanding. Diluted earnings per share is computed based on the weighted average number of common shares outstanding plus the dilutive effects of stock options, stock warrants and convertible notes. Potential common shares that would increase earnings per share amounts or decrease loss per share amounts are antidilutive and are therefore excluded from earnings per share calculations. The potential common shares that were antidilutive for the third quarter and first nine months of 2003 amounted to 125.0 million shares and 124.9 million shares, respectively, and for the third quarter and first nine months of 2002 amounted to 109.3 million shares and 107.9 million shares, respectively. Basic and diluted earnings per share computations reflect the effect of accretion of redeemable common stock.</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6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May 29,</w:t>
            </w: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275"/>
              <w:spacing w:after="0" w:line="118" w:lineRule="exact"/>
              <w:rPr>
                <w:sz w:val="20"/>
                <w:szCs w:val="20"/>
                <w:color w:val="auto"/>
              </w:rPr>
            </w:pPr>
            <w:r>
              <w:rPr>
                <w:rFonts w:ascii="Times New Roman" w:cs="Times New Roman" w:eastAsia="Times New Roman" w:hAnsi="Times New Roman"/>
                <w:sz w:val="13"/>
                <w:szCs w:val="13"/>
                <w:b w:val="1"/>
                <w:bCs w:val="1"/>
                <w:color w:val="auto"/>
              </w:rPr>
              <w:t>May 30,</w:t>
            </w:r>
          </w:p>
        </w:tc>
        <w:tc>
          <w:tcPr>
            <w:tcW w:w="2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May 29,</w:t>
            </w: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275"/>
              <w:spacing w:after="0" w:line="118" w:lineRule="exact"/>
              <w:rPr>
                <w:sz w:val="20"/>
                <w:szCs w:val="20"/>
                <w:color w:val="auto"/>
              </w:rPr>
            </w:pPr>
            <w:r>
              <w:rPr>
                <w:rFonts w:ascii="Times New Roman" w:cs="Times New Roman" w:eastAsia="Times New Roman" w:hAnsi="Times New Roman"/>
                <w:sz w:val="13"/>
                <w:szCs w:val="13"/>
                <w:b w:val="1"/>
                <w:bCs w:val="1"/>
                <w:color w:val="auto"/>
              </w:rPr>
              <w:t>May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2003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2002</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2003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(214.9)</w:t>
            </w:r>
          </w:p>
        </w:tc>
        <w:tc>
          <w:tcPr>
            <w:tcW w:w="4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3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common stock accretion</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available to common shareholders</w:t>
            </w: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602.3</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(0.36)</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right="40" w:firstLine="324"/>
        <w:spacing w:after="0" w:line="265" w:lineRule="auto"/>
        <w:rPr>
          <w:sz w:val="20"/>
          <w:szCs w:val="20"/>
          <w:color w:val="auto"/>
        </w:rPr>
      </w:pPr>
      <w:r>
        <w:rPr>
          <w:rFonts w:ascii="Times New Roman" w:cs="Times New Roman" w:eastAsia="Times New Roman" w:hAnsi="Times New Roman"/>
          <w:sz w:val="18"/>
          <w:szCs w:val="18"/>
          <w:color w:val="auto"/>
        </w:rPr>
        <w:t xml:space="preserve">The Company accounts for its employee stock plans using the intrinsic value method prescribed by Accounting Principles Board (“APB”) Opinion No. 25, “Accounting for Stock Issued to Employees.” </w:t>
      </w:r>
      <w:r>
        <w:rPr>
          <w:rFonts w:ascii="Times New Roman" w:cs="Times New Roman" w:eastAsia="Times New Roman" w:hAnsi="Times New Roman"/>
          <w:sz w:val="17"/>
          <w:szCs w:val="17"/>
          <w:color w:val="auto"/>
        </w:rPr>
        <w:t>The following presents pro forma loss and per share data as if a fair value-based accounting method (using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Black-Scholes option valuation model) had been used to account for stock-based compensation: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6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May 29,</w:t>
            </w: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273"/>
              <w:spacing w:after="0" w:line="118" w:lineRule="exact"/>
              <w:rPr>
                <w:sz w:val="20"/>
                <w:szCs w:val="20"/>
                <w:color w:val="auto"/>
              </w:rPr>
            </w:pPr>
            <w:r>
              <w:rPr>
                <w:rFonts w:ascii="Times New Roman" w:cs="Times New Roman" w:eastAsia="Times New Roman" w:hAnsi="Times New Roman"/>
                <w:sz w:val="13"/>
                <w:szCs w:val="13"/>
                <w:b w:val="1"/>
                <w:bCs w:val="1"/>
                <w:color w:val="auto"/>
              </w:rPr>
              <w:t>May 30,</w:t>
            </w:r>
          </w:p>
        </w:tc>
        <w:tc>
          <w:tcPr>
            <w:tcW w:w="2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May 29,</w:t>
            </w: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273"/>
              <w:spacing w:after="0" w:line="118" w:lineRule="exact"/>
              <w:rPr>
                <w:sz w:val="20"/>
                <w:szCs w:val="20"/>
                <w:color w:val="auto"/>
              </w:rPr>
            </w:pPr>
            <w:r>
              <w:rPr>
                <w:rFonts w:ascii="Times New Roman" w:cs="Times New Roman" w:eastAsia="Times New Roman" w:hAnsi="Times New Roman"/>
                <w:sz w:val="13"/>
                <w:szCs w:val="13"/>
                <w:b w:val="1"/>
                <w:bCs w:val="1"/>
                <w:color w:val="auto"/>
              </w:rPr>
              <w:t>May 30,</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2003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2002</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2003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as reported</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(214.9)</w:t>
            </w:r>
          </w:p>
        </w:tc>
        <w:tc>
          <w:tcPr>
            <w:tcW w:w="4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3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common stock accretion</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available to common shareholders</w:t>
            </w: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Stock-based employee compensation expense included in reported net loss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total stock-based employee compensation expense determined under a</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fair value-based method for all awards, net of related tax effects</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(65.3)</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 forma net loss available to common shareholders</w:t>
            </w: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6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60" w:type="dxa"/>
            <w:vAlign w:val="bottom"/>
            <w:tcBorders>
              <w:bottom w:val="single" w:sz="8" w:color="CCEEFF"/>
            </w:tcBorders>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(1,372.2</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as reported</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(0.36)</w:t>
            </w:r>
          </w:p>
        </w:tc>
        <w:tc>
          <w:tcPr>
            <w:tcW w:w="4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3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pro forma</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 as reported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 pro forma</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Comprehensive loss for the third quarter and first nine months of 2003 was $215.0 million and $1,150.7 million, respectively, and included $0.1 million and $0.7 million net of tax, respectively, of unrealized losses on investments. Comprehensive loss for the third quarter and first nine months of 2002 was $24.0 million and $316.6 million, respectively, and included $0.2 million and $3.9 million of unrealized gains net of tax, respectively, on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Restructure and Other Charges</w:t>
      </w:r>
    </w:p>
    <w:p>
      <w:pPr>
        <w:spacing w:after="0" w:line="229"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As a result of the prolonged downturn in the semiconductor memory industry and the Company’s successive quarters of operating losses, in the second quarter of 2003 the Company announced a plan to restructure its operations. The restructure plan included the shutdown of the Company’s 200 mm production line in Virginia, the discontinuance of certain memory products, including SRAM and TCAM products, and a 10% reduction of the Company’s worldwide workforce. In connection with the plan, the Company’s results of operations included a restructure charge of $102.5 million in the first nine months of 2003. In addition, the Company recorded other restructure-related charges of $7.1 million to write-down the carrying value of raw materials and</w:t>
      </w:r>
    </w:p>
    <w:p>
      <w:pPr>
        <w:sectPr>
          <w:pgSz w:w="11900" w:h="16838" w:orient="portrait"/>
          <w:cols w:equalWidth="0" w:num="1">
            <w:col w:w="11440"/>
          </w:cols>
          <w:pgMar w:left="240" w:top="121" w:right="219" w:bottom="0" w:gutter="0" w:footer="0" w:header="0"/>
        </w:sectPr>
      </w:pPr>
    </w:p>
    <w:bookmarkStart w:id="7" w:name="page8"/>
    <w:bookmarkEnd w:id="7"/>
    <w:p>
      <w:pPr>
        <w:ind w:right="80"/>
        <w:spacing w:after="0" w:line="261" w:lineRule="auto"/>
        <w:rPr>
          <w:sz w:val="20"/>
          <w:szCs w:val="20"/>
          <w:color w:val="auto"/>
        </w:rPr>
      </w:pPr>
      <w:r>
        <w:rPr>
          <w:rFonts w:ascii="Times New Roman" w:cs="Times New Roman" w:eastAsia="Times New Roman" w:hAnsi="Times New Roman"/>
          <w:sz w:val="18"/>
          <w:szCs w:val="18"/>
          <w:color w:val="auto"/>
        </w:rPr>
        <w:t>work-in-process inventories associated with discontinued products. These other charges are included in cost of goods sold in the accompanying consolidated statements of operation. The Company expects to substantially complete the restructure plan by the end of 2003 and estimates that it will incur additional restructure charges of approximately $15 million over the next several quarters, primarily for the redeployment of equipment from its Virginia site to other facilities. The components of the restructure and other charges were as follows:</w:t>
      </w:r>
    </w:p>
    <w:p>
      <w:pPr>
        <w:spacing w:after="0" w:line="161"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charges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February</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 May 29,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27, 2003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Restructure charge: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Write-down of equipment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4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Severance and other termination benefits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Write-down of intangible assets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restructure charge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Write-down of raw materials and work in process inventories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Total restructure and other charges</w:t>
            </w: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Through May 29, 2003, the Company had paid $25.4 million of the severance and other termination costs and $0.7 million of other costs. As of May 29, 2003, the Company’s accounts payable and accrued expenses included $5.0 million for remaining costs accrued in connection with the restructure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Toshiba Corporation DRAM Assets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April 22, 2002, the Company acquired substantially all of the assets of Toshiba Corporation’s (“Toshiba”) DRAM business as conducted by Dominion Semiconductor L.L.C., a wholly-owned subsidiary of Toshiba located in Virginia (the “Toshiba DRAM Acquisition”). The total purchase price of $327.9 million included cash and 1.5 million shares of the Company’s common stock, which was valued at $58.1 million on the date of acquisition. The purchase price was allocated to the assets acquired and liabilities assumed based on their estimated fair values. In connection with the purchase, the Company recorded total assets of $363.3 million, including property, plant and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 of $292.8 million and intangible assets of $7.8 million, and total liabilities of $35.4 million. (See “Redeemable Common Stock” note.)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Joint Venture</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TECH Semiconductor Singapore Pte. Ltd. (“TECH”) is a memory manufacturing joint venture in Singapore among Micron Technology, Inc., the Singapore Economic Development Board, Canon Inc. and Hewlett-Packard Company. TECH’s semiconductor manufacturing facilities use the Company’s product and process technology. Subject to specific terms and conditions, the Company has agreed to purchase all of the products manufactured by TECH. The Company generally purchases semiconductor memory products from TECH at prices determined quarterly, based on a discount from average selling prices realized by the Company for the immediately preceding quarter. The Company performs assembly and test services on product manufactured by TECH. The Company also provides certain technology, engineering and training to support TECH. All of these transactions with TECH are recognized as part of the net cost of products purchased from TECH. The net cost of products purchased from TECH amounted to $77.5 million and $225.0 million for the third quarter and first nine months of 2003, respectively, and $55.2 million and $77.5 million for the third quarter and first nine months of 2002, respectively. Amortization expense resulting from the TECH supply arrangement, included in the cost of products purchased from TECH, was $2.4 million and $7.2 million for the third quarter and first nine months of 2003, respectively, and $2.6 million and $7.7 million for the third quarter and first nine months of 2002, respectively. Receivables from TECH were $33.8 million and payables to TECH were $54.2 million as of May 29, 2003. Receivables from TECH were $10.5 million and payables to TECH were $52.8 million as of August 29, 2002.</w:t>
      </w:r>
    </w:p>
    <w:p>
      <w:pPr>
        <w:spacing w:after="0" w:line="19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November 2002, the FASB issued Interpretation No. 45, “Guarantor’s Accounting and Disclosure Requirements for Guarantees, Including Indirect Guarantees of Indebtedness of Others.” Interpretation No. 45 requires an entity, at the time it issues a guarantee, to recognize an initial liability for the fair value of obligations assumed under the guarantee and elaborates on existing disclosure requirements. On March 13, 2003, TECH refinanced its then existing credit facility by entering into a new $250 million credit facility. In connection therewith, $50.0 million previously pledged by the Company as cash collateral with respect to TECH’s credit facility was re-pledged and supplemented with an additional $50.0 million. In the event the cash collateral is used to discharge obligations of TECH that are unpaid and due under the TECH credit facility, certain shareholders of TECH have agreed to indemnify the Company for approximately one-half of the amount of the cash collateral used to satisfy such obligations. In accordance with Interpretation No. 45, the Company estimated the fair value of its guarantee of TECH’s credit facility to be $7.0 million, which was recorded in other noncurrent liabilities in the third quarter of 2003 with an offsetting amount recorded as an addition to the value of the TECH supply arrangement. The amount recorded pursuant to Interpretation No. 45 is being amortized using the straight-line method through the June 2006 term of the new TECH credit facility.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Micron Technology, Inc., and its subsidiaries (hereinafter referred to collectively as the “Company”) principally design, develop, manufacture and market semiconductor products.</w:t>
      </w:r>
    </w:p>
    <w:p>
      <w:pPr>
        <w:spacing w:after="0" w:line="160"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7"/>
          <w:szCs w:val="17"/>
          <w:i w:val="1"/>
          <w:iCs w:val="1"/>
          <w:color w:val="auto"/>
        </w:rPr>
        <w:t>The following discussion contains trend information and other forward-looking statements that involve a number of risks and uncertainties. Forward-looking statements include, but are not limited to, statements such as those made in “Critical Accounting Policies – Income Taxes” and “Income Taxes” regarding taxes from the Company foreign operations; in “Gross Margin” regarding the estimated amount of write-down remaining in inventory at the end of the fourth quarter of 2003 and relative gross margins on TECH products in the fourth quarter of 2003; in “Research and Development” regarding expenses</w:t>
      </w:r>
    </w:p>
    <w:p>
      <w:pPr>
        <w:sectPr>
          <w:pgSz w:w="11900" w:h="16838" w:orient="portrait"/>
          <w:cols w:equalWidth="0" w:num="1">
            <w:col w:w="11420"/>
          </w:cols>
          <w:pgMar w:left="240" w:top="121" w:right="239" w:bottom="0" w:gutter="0" w:footer="0" w:header="0"/>
        </w:sectPr>
      </w:pPr>
    </w:p>
    <w:bookmarkStart w:id="8" w:name="page9"/>
    <w:bookmarkEnd w:id="8"/>
    <w:p>
      <w:pPr>
        <w:spacing w:after="0" w:line="4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related to the Company’s 300 mm production line; in “Restructure and Other Charges” regarding timing and additional costs to complete the restructure and the estimated cost savings in future periods and in “Liquidity and Capital Resources” regarding capital spending in 2003 and 2004. The Company’s actual results could differ materially from the Company’s historical results and those discussed in the forward-looking statements. Factors that could cause actual results to differ materially include, but are not limited to, those identified in “Certain Factors.” This discussion should be read in conjunction with the Consolidated Financial Statements and accompanying notes and with the Company’s Annual Report on Form 10-K for the year ended August 29, 2002. All period references are to the Company’s fiscal periods unless otherwise indicated. All per share amounts are presented on a diluted basis. All tabular dollar amounts are in millions.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United States generally accepted accounting principles (“U.S. GAAP”) 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vary under different assumptions or conditions. The Company evaluates its estimates and judgments on an ongoing basis. Management believes the accounting policies below are critical in the portrayal of the Company’s financial condition and results of operations and require management’s most difficult, subjective or complex judgments.</w:t>
      </w:r>
    </w:p>
    <w:p>
      <w:pPr>
        <w:spacing w:after="0" w:line="184"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The Company has recorded a valuation allowance against its deferred tax assets arising from net operating loss carryforwards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domestic operations. The Company expects that until it utilizes these operating loss carryforwards the consolidated income tax provision will only reflect taxes from the Company’s foreign operations. The Company evaluates the realizability of its deferred tax assets on an ongoing basis in accordance with U.S. GAAP, which requires the assessment of the Company’s performance and other relevant factors when determining the need for a valuation allowance with respect to these deferred tax assets. The Company’s ability to realize deferred tax assets is dependent on the level of future taxable income being sufficient to utilize loss carryforwards or tax credits before their expiration. In the evaluation of realizability of deferred tax assets, factors such as recent losses are given substantially more weight than forecasted future profitability.</w:t>
      </w:r>
    </w:p>
    <w:p>
      <w:pPr>
        <w:spacing w:after="0" w:line="187"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 Company is required to estimate its provision for income taxes and amounts ultimately payable or recoverable in numerous jurisdictions around the world. Such estimates involve interpretations of regulations and are inherently complex. Resolution of income tax treatments in individual jurisdictions may not be known for many years after completion of any fiscal year.</w:t>
      </w:r>
    </w:p>
    <w:p>
      <w:pPr>
        <w:spacing w:after="0" w:line="17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Inventories are stated at the lower of average cost or market value. Cost includes labor, material and overhead costs, including product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 technology costs. Determining market value of inventories involves numerous judgments including projecting average selling prices and sales volumes for future periods and costs to complete products in work in process inventories. To project average selling prices and sales volumes, the Company reviews recent sales volumes, existing customer orders, current contract prices, industry analysis of supply and demand, seasonal factors, general economic trends and other information. When these analyses reflect estimated market values below the Company’s costs, the Company records a charge to cost of goods sold in advance of when the inventory is actually sold. Differences in forecasted average selling prices used in calculating lower of cost or market adjustments can result in significant changes in the estimated net realizable value of product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8"/>
          <w:szCs w:val="18"/>
          <w:color w:val="auto"/>
        </w:rPr>
        <w:t xml:space="preserve">inventories and accordingly the amount of write-down recorded. </w:t>
      </w:r>
      <w:r>
        <w:rPr>
          <w:rFonts w:ascii="Times New Roman" w:cs="Times New Roman" w:eastAsia="Times New Roman" w:hAnsi="Times New Roman"/>
          <w:sz w:val="17"/>
          <w:szCs w:val="17"/>
          <w:color w:val="auto"/>
        </w:rPr>
        <w:t>Due to the volatile nature of the semiconductor memory industry, actual selling prices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volumes often vary significantly from projected prices and volumes and as a result, the timing of when product costs are charged to operations can vary significantly. For example, a 5% variance in the estimated average selling prices would have changed the estimated fair value of the Company’s inventory by $29 million at the end of the third quarter of 2003.</w:t>
      </w:r>
    </w:p>
    <w:p>
      <w:pPr>
        <w:spacing w:after="0" w:line="17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U.S. GAAP provides for products to be grouped into categories in order to compare costs to market values. The amount of any inventory write-down can vary significantly depending on the determination of inventory categories. A majority of the Company’s inventory has been categorized as volatile (primarily DRAM) or non-volatile (Flash). The major characteristics the Company considers in determining inventory categories are product type and markets.</w:t>
      </w:r>
    </w:p>
    <w:p>
      <w:pPr>
        <w:spacing w:after="0" w:line="172"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Product and process technology: </w:t>
      </w:r>
      <w:r>
        <w:rPr>
          <w:rFonts w:ascii="Times New Roman" w:cs="Times New Roman" w:eastAsia="Times New Roman" w:hAnsi="Times New Roman"/>
          <w:sz w:val="18"/>
          <w:szCs w:val="18"/>
          <w:color w:val="auto"/>
        </w:rPr>
        <w:t>Costs incurred to acquire product and process technology or to patent technology developed by the Company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capitalized and amortized on a straight-line basis over periods currently ranging up to 10 years. The Company capitalizes a portion of costs incurred based on its analysis of historical and projected patents issued as a percent of patents filed. Capitalized product and process technology costs are amortized over the shorter of (i) the estimated useful life of the technology, (ii) the patent term or (iii) the term of the technology agreement.</w:t>
      </w:r>
    </w:p>
    <w:p>
      <w:pPr>
        <w:spacing w:after="0" w:line="177"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Property, plant and equipment: </w:t>
      </w:r>
      <w:r>
        <w:rPr>
          <w:rFonts w:ascii="Times New Roman" w:cs="Times New Roman" w:eastAsia="Times New Roman" w:hAnsi="Times New Roman"/>
          <w:sz w:val="18"/>
          <w:szCs w:val="18"/>
          <w:color w:val="auto"/>
        </w:rPr>
        <w:t>The Company reviews for impairment the carrying value of property, plant and equipment when events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circumstances indicate that the carrying value of an individual asset or groups of assets may not be recoverable from the estimated future cash flows expected to result from their use and/or disposition. In cases where undiscounted expected future cash flows are less than the carrying value, an impairment loss is recognized equal to an amount by which the carrying value exceeds the estimated fair value of the assets. The estimation of future cash flows involves numerous assumptions which require judgment by the Company, including, but not limited to, future use of the assets for Company operations versus sale or disposal of the assets, future selling prices for the Company’s products and future sales and production volumes.</w:t>
      </w:r>
    </w:p>
    <w:p>
      <w:pPr>
        <w:spacing w:after="0" w:line="183" w:lineRule="exact"/>
        <w:rPr>
          <w:sz w:val="20"/>
          <w:szCs w:val="20"/>
          <w:color w:val="auto"/>
        </w:rPr>
      </w:pPr>
    </w:p>
    <w:p>
      <w:pPr>
        <w:ind w:right="8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w:t>
      </w:r>
      <w:r>
        <w:rPr>
          <w:rFonts w:ascii="Times New Roman" w:cs="Times New Roman" w:eastAsia="Times New Roman" w:hAnsi="Times New Roman"/>
          <w:sz w:val="18"/>
          <w:szCs w:val="18"/>
          <w:color w:val="auto"/>
        </w:rPr>
        <w:t>Costs related to the conceptual formulation and design of products and processes are expensed as research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when incurred. Determining when product development is complete requires judgment by the Company. The Company deems development of a product complete once the product has been thoroughly reviewed and tested for performance and reliability and is internally qualified for sale to customers. Subsequent to product qualification, product costs are valued in inventory.</w:t>
      </w:r>
    </w:p>
    <w:p>
      <w:pPr>
        <w:spacing w:after="0" w:line="177"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Contingencies: </w:t>
      </w:r>
      <w:r>
        <w:rPr>
          <w:rFonts w:ascii="Times New Roman" w:cs="Times New Roman" w:eastAsia="Times New Roman" w:hAnsi="Times New Roman"/>
          <w:sz w:val="18"/>
          <w:szCs w:val="18"/>
          <w:color w:val="auto"/>
        </w:rPr>
        <w:t>The Company is subject to the possibility of various loss contingencies. Considerable judgment is necessary to estimate the probability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amounts of such contingencies. An accrual is made when it is probable that a liability has been incurred or an asset has been impaired and the amount of loss can be reasonably estimated. The Company accrues a liability and charges operations for the estimated costs of adjudication or settlement of asserted and unasserted claims existing as of the balance sheet date. The Company regularly evaluates current information available to determine whether such accruals should be adjusted.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3" w:lineRule="exact"/>
        <w:rPr>
          <w:sz w:val="20"/>
          <w:szCs w:val="20"/>
          <w:color w:val="auto"/>
        </w:rPr>
      </w:pPr>
    </w:p>
    <w:tbl>
      <w:tblPr>
        <w:tblLayout w:type="fixed"/>
        <w:tblInd w:w="2080" w:type="dxa"/>
        <w:tblCellMar>
          <w:top w:w="0" w:type="dxa"/>
          <w:left w:w="0" w:type="dxa"/>
          <w:bottom w:w="0" w:type="dxa"/>
          <w:right w:w="0" w:type="dxa"/>
        </w:tblCellMar>
      </w:tblPr>
      <w:tr>
        <w:trPr>
          <w:trHeight w:val="173"/>
        </w:trPr>
        <w:tc>
          <w:tcPr>
            <w:tcW w:w="9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2"/>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1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7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84"/>
        </w:trPr>
        <w:tc>
          <w:tcPr>
            <w:tcW w:w="9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2003</w:t>
            </w:r>
          </w:p>
        </w:tc>
        <w:tc>
          <w:tcPr>
            <w:tcW w:w="12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10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2002</w:t>
            </w:r>
          </w:p>
        </w:tc>
        <w:tc>
          <w:tcPr>
            <w:tcW w:w="11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320" w:type="dxa"/>
            <w:vAlign w:val="bottom"/>
          </w:tcPr>
          <w:p>
            <w:pPr>
              <w:spacing w:after="0"/>
              <w:rPr>
                <w:sz w:val="15"/>
                <w:szCs w:val="15"/>
                <w:color w:val="auto"/>
              </w:rPr>
            </w:pPr>
          </w:p>
        </w:tc>
        <w:tc>
          <w:tcPr>
            <w:tcW w:w="10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2003</w:t>
            </w:r>
          </w:p>
        </w:tc>
        <w:tc>
          <w:tcPr>
            <w:tcW w:w="17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7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 of net</w:t>
            </w:r>
          </w:p>
        </w:tc>
      </w:tr>
    </w:tbl>
    <w:p>
      <w:pPr>
        <w:sectPr>
          <w:pgSz w:w="11900" w:h="16885" w:orient="portrait"/>
          <w:cols w:equalWidth="0" w:num="1">
            <w:col w:w="11420"/>
          </w:cols>
          <w:pgMar w:left="240" w:top="119" w:right="239" w:bottom="0" w:gutter="0" w:footer="0" w:header="0"/>
        </w:sectPr>
      </w:pPr>
    </w:p>
    <w:bookmarkStart w:id="9" w:name="page10"/>
    <w:bookmarkEnd w:id="9"/>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$732.7</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771.2</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2,202.8</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71.0</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168.2</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(190.2)</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w:t>
            </w: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98.6</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87.2</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77.2</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276.0</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R&amp;D</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161.7</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134.4</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490.3</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22.3%</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Restructure charge</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102.5</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(183.7)</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(46.7)</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(1,080.9)</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(49.1)%</w:t>
            </w:r>
          </w:p>
        </w:tc>
        <w:tc>
          <w:tcPr>
            <w:tcW w:w="2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(557.7)</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80" w:firstLine="324"/>
        <w:spacing w:after="0" w:line="272" w:lineRule="auto"/>
        <w:rPr>
          <w:sz w:val="20"/>
          <w:szCs w:val="20"/>
          <w:color w:val="auto"/>
        </w:rPr>
      </w:pPr>
      <w:r>
        <w:rPr>
          <w:rFonts w:ascii="Times New Roman" w:cs="Times New Roman" w:eastAsia="Times New Roman" w:hAnsi="Times New Roman"/>
          <w:sz w:val="18"/>
          <w:szCs w:val="18"/>
          <w:color w:val="auto"/>
        </w:rPr>
        <w:t xml:space="preserve">The Company’s operating results in recent periods have been significantly affected by the timing of inventory write-downs and restructure charges. </w:t>
      </w:r>
      <w:r>
        <w:rPr>
          <w:rFonts w:ascii="Times New Roman" w:cs="Times New Roman" w:eastAsia="Times New Roman" w:hAnsi="Times New Roman"/>
          <w:sz w:val="17"/>
          <w:szCs w:val="17"/>
          <w:color w:val="auto"/>
        </w:rPr>
        <w:t>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February 18, 2003, the Company announced a series of cost-reduction initiatives including the shut-down of its 200 mm wafer fabrication line in Virginia, the discontinuance of certain product lines and a 10% reduction in its worldwide workforce. In connection with its restructure plan, the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Company’s results of operations for the first nine months of 2003 include a restructure charge of $103 million and other restructure-related charges of $7 million, which are included in cost of goods sold to write down the carrying value of raw materials and work in process inventories associated with discontinued products. (See “Restructure and Other Charges” and “Item 1. Financial Statements – Notes to Consolidated Financial Statements – Restructure and Other Charges.”)</w:t>
      </w:r>
    </w:p>
    <w:p>
      <w:pPr>
        <w:spacing w:after="0" w:line="180" w:lineRule="exact"/>
        <w:rPr>
          <w:sz w:val="20"/>
          <w:szCs w:val="20"/>
          <w:color w:val="auto"/>
        </w:rPr>
      </w:pPr>
    </w:p>
    <w:p>
      <w:pPr>
        <w:ind w:right="220" w:firstLine="324"/>
        <w:spacing w:after="0" w:line="265" w:lineRule="auto"/>
        <w:rPr>
          <w:sz w:val="20"/>
          <w:szCs w:val="20"/>
          <w:color w:val="auto"/>
        </w:rPr>
      </w:pPr>
      <w:r>
        <w:rPr>
          <w:rFonts w:ascii="Times New Roman" w:cs="Times New Roman" w:eastAsia="Times New Roman" w:hAnsi="Times New Roman"/>
          <w:sz w:val="18"/>
          <w:szCs w:val="18"/>
          <w:color w:val="auto"/>
        </w:rPr>
        <w:t xml:space="preserve">The following table summarizes the Company’s operating loss absent the inventory write-downs and the estimated aggregate effects of previous write-downs and restructure charges. </w:t>
      </w:r>
      <w:r>
        <w:rPr>
          <w:rFonts w:ascii="Times New Roman" w:cs="Times New Roman" w:eastAsia="Times New Roman" w:hAnsi="Times New Roman"/>
          <w:sz w:val="17"/>
          <w:szCs w:val="17"/>
          <w:color w:val="auto"/>
        </w:rPr>
        <w:t>These adjusted amounts have not been prepared in accordance with generally accepted accounting principles, however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Company believes this information may be useful in assessing the effects of inventory write-downs and the restructure and related charges on the Company’s operating loss and analyzing the Company’s operating loss trends.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200" w:type="dxa"/>
            <w:vAlign w:val="bottom"/>
          </w:tcPr>
          <w:p>
            <w:pPr>
              <w:spacing w:after="0"/>
              <w:rPr>
                <w:sz w:val="13"/>
                <w:szCs w:val="13"/>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Second Quarter</w:t>
            </w:r>
          </w:p>
        </w:tc>
      </w:tr>
      <w:tr>
        <w:trPr>
          <w:trHeight w:val="173"/>
        </w:trPr>
        <w:tc>
          <w:tcPr>
            <w:tcW w:w="79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2003</w:t>
            </w:r>
          </w:p>
        </w:tc>
        <w:tc>
          <w:tcPr>
            <w:tcW w:w="2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2003</w:t>
            </w:r>
          </w:p>
        </w:tc>
        <w:tc>
          <w:tcPr>
            <w:tcW w:w="80" w:type="dxa"/>
            <w:vAlign w:val="bottom"/>
            <w:tcBorders>
              <w:bottom w:val="single" w:sz="8" w:color="CCEEFF"/>
            </w:tcBorders>
          </w:tcPr>
          <w:p>
            <w:pPr>
              <w:spacing w:after="0"/>
              <w:rPr>
                <w:sz w:val="15"/>
                <w:szCs w:val="15"/>
                <w:color w:val="auto"/>
              </w:rPr>
            </w:pPr>
          </w:p>
        </w:tc>
      </w:tr>
      <w:tr>
        <w:trPr>
          <w:trHeight w:val="196"/>
        </w:trPr>
        <w:tc>
          <w:tcPr>
            <w:tcW w:w="7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reported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(600.6)</w:t>
            </w: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write-down</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shd w:val="clear" w:color="auto" w:fill="CCEEFF"/>
          </w:tcPr>
          <w:p>
            <w:pPr>
              <w:spacing w:after="0"/>
              <w:rPr>
                <w:sz w:val="18"/>
                <w:szCs w:val="18"/>
                <w:color w:val="auto"/>
              </w:rPr>
            </w:pPr>
          </w:p>
        </w:tc>
        <w:tc>
          <w:tcPr>
            <w:tcW w:w="1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8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Estimated effect of previous write-downs</w:t>
            </w:r>
          </w:p>
        </w:tc>
        <w:tc>
          <w:tcPr>
            <w:tcW w:w="2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(168.1)</w:t>
            </w:r>
          </w:p>
        </w:tc>
        <w:tc>
          <w:tcPr>
            <w:tcW w:w="2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(98.6)</w:t>
            </w: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Restructure and related charges</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shd w:val="clear" w:color="auto" w:fill="CCEEFF"/>
          </w:tcPr>
          <w:p>
            <w:pPr>
              <w:spacing w:after="0"/>
              <w:rPr>
                <w:sz w:val="18"/>
                <w:szCs w:val="18"/>
                <w:color w:val="auto"/>
              </w:rPr>
            </w:pPr>
          </w:p>
        </w:tc>
        <w:tc>
          <w:tcPr>
            <w:tcW w:w="1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80" w:type="dxa"/>
            <w:vAlign w:val="bottom"/>
            <w:shd w:val="clear" w:color="auto" w:fill="CCEEFF"/>
          </w:tcPr>
          <w:p>
            <w:pPr>
              <w:spacing w:after="0"/>
              <w:rPr>
                <w:sz w:val="18"/>
                <w:szCs w:val="18"/>
                <w:color w:val="auto"/>
              </w:rPr>
            </w:pPr>
          </w:p>
        </w:tc>
      </w:tr>
      <w:tr>
        <w:trPr>
          <w:trHeight w:val="210"/>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adjusted</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7"/>
        </w:trPr>
        <w:tc>
          <w:tcPr>
            <w:tcW w:w="79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98"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The Company acquired the assets of Toshiba Corporation’s (“Toshiba”) DRAM operations at Dominion Semiconductor L.L.C. in Virginia on April 22, 2002. The Company’s results of operations for the third quarter and first nine months of 2002 include results from these acquired operations after the acquisition date. The total purchase price of $328 million included cash and 1.5 million shares of the Company’s common stock. Toshiba has an option to require the Company to repurchase on October 21, 2003, all of these shares for $68 million in cash. (See “Item 1. Financial Statements – Notes to Consolidated Financial Statements – Redeemable Common Stock, and Acquisition of Toshiba Corporation DRAM Assets.”)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Net sales for the third quarter of 2003 decreased by 7% as compared to the second quarter of 2003 as a result of a 16% decrease in average selling prices for the Company’s semiconductor memory products partially offset by a 10% increase in megabits of memory sold. The decrease in average selling prices reflects the net effect of continued declines in selling prices for the Company’s DDR SDRAM products partially offset by increases in the average selling prices for the Company’s SDRAM products. DDR SDRAM products constituted approximately 65% of the Company’s megabits sold in the third quarter of 2003. Megabit production volume increased approximately 20% in the third quarter of 2003 compared to the second quarter principally due to the Company’s migration to ..13µ and .11µ process technology and improved manufacturing yields. Megabits of memory sold in the third quarter of 2003 slightly outpaced production resulting in lower levels of finished goods inventories.</w:t>
      </w:r>
    </w:p>
    <w:p>
      <w:pPr>
        <w:spacing w:after="0" w:line="18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Net sales for the third quarter of 2003 decreased by 5% compared to the third quarter of 2002, primarily due to a 52% decrease in average selling prices offset by a 94% increase in megabits sold. Net sales for the first nine months of 2003 increased by 20% compared to the first nine months of 2002, primarily due to a 43% increase in megabits sold partially offset by a 17% decrease in average selling prices.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ind w:right="300" w:firstLine="324"/>
        <w:spacing w:after="0" w:line="256" w:lineRule="auto"/>
        <w:rPr>
          <w:sz w:val="20"/>
          <w:szCs w:val="20"/>
          <w:color w:val="auto"/>
        </w:rPr>
      </w:pPr>
      <w:r>
        <w:rPr>
          <w:rFonts w:ascii="Times New Roman" w:cs="Times New Roman" w:eastAsia="Times New Roman" w:hAnsi="Times New Roman"/>
          <w:sz w:val="18"/>
          <w:szCs w:val="18"/>
          <w:color w:val="auto"/>
        </w:rPr>
        <w:t>The Company’s gross margin has been significantly affected by the timing of inventory write-downs. In recent periods, average selling prices for the Company’s semiconductor products have been below manufacturing costs, and accordingly the Company’s results of operations, cash flows and financial condition have been adversely affected. If the estimated market values of products held in finished goods and work in process inventories at a quarter end date are below the cost of these products, the Company recognizes a charge to cost of goods sold to write down the carrying value of inventories to their estimated market values. In each of the last nine quarters, the Company recorded charges to cost of goods sold to write down the carrying value of its inventories to their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estimated market values. As these charges are recorded in advance of when inventory subject to the write-down is sold, gross margins in the period of sale are higher than they would be absent the effect of the previous write-downs.</w:t>
      </w:r>
    </w:p>
    <w:p>
      <w:pPr>
        <w:spacing w:after="0" w:line="16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adjusted gross margins absent the inventory write-downs and the estimated aggregate effects of previous write-downs. These adjusted amounts have not been prepared in accordance with generally accepted accounting principles, however the Company believes this information may be useful in assessing the effects of inventory write-downs on the Company’s gross margin and analyzing the Company’s gross margin trends.</w:t>
      </w:r>
    </w:p>
    <w:p>
      <w:pPr>
        <w:spacing w:after="0" w:line="174" w:lineRule="exact"/>
        <w:rPr>
          <w:sz w:val="20"/>
          <w:szCs w:val="20"/>
          <w:color w:val="auto"/>
        </w:rPr>
      </w:pPr>
    </w:p>
    <w:tbl>
      <w:tblPr>
        <w:tblLayout w:type="fixed"/>
        <w:tblInd w:w="1840" w:type="dxa"/>
        <w:tblCellMar>
          <w:top w:w="0" w:type="dxa"/>
          <w:left w:w="0" w:type="dxa"/>
          <w:bottom w:w="0" w:type="dxa"/>
          <w:right w:w="0" w:type="dxa"/>
        </w:tblCellMar>
      </w:tblPr>
      <w:tr>
        <w:trPr>
          <w:trHeight w:val="155"/>
        </w:trPr>
        <w:tc>
          <w:tcPr>
            <w:tcW w:w="860" w:type="dxa"/>
            <w:vAlign w:val="bottom"/>
          </w:tcPr>
          <w:p>
            <w:pPr>
              <w:spacing w:after="0"/>
              <w:rPr>
                <w:sz w:val="13"/>
                <w:szCs w:val="13"/>
                <w:color w:val="auto"/>
              </w:rPr>
            </w:pPr>
          </w:p>
        </w:tc>
        <w:tc>
          <w:tcPr>
            <w:tcW w:w="132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w w:val="95"/>
              </w:rPr>
              <w:t>Third Quarter</w:t>
            </w: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gridSpan w:val="3"/>
          </w:tcPr>
          <w:p>
            <w:pPr>
              <w:ind w:left="420"/>
              <w:spacing w:after="0"/>
              <w:rPr>
                <w:sz w:val="20"/>
                <w:szCs w:val="20"/>
                <w:color w:val="auto"/>
              </w:rPr>
            </w:pPr>
            <w:r>
              <w:rPr>
                <w:rFonts w:ascii="Times New Roman" w:cs="Times New Roman" w:eastAsia="Times New Roman" w:hAnsi="Times New Roman"/>
                <w:sz w:val="13"/>
                <w:szCs w:val="13"/>
                <w:b w:val="1"/>
                <w:bCs w:val="1"/>
                <w:color w:val="auto"/>
              </w:rPr>
              <w:t>Second Quarter</w:t>
            </w: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20" w:type="dxa"/>
            <w:vAlign w:val="bottom"/>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w w:val="97"/>
              </w:rPr>
              <w:t>Nine Months</w:t>
            </w:r>
          </w:p>
        </w:tc>
        <w:tc>
          <w:tcPr>
            <w:tcW w:w="840" w:type="dxa"/>
            <w:vAlign w:val="bottom"/>
          </w:tcPr>
          <w:p>
            <w:pPr>
              <w:spacing w:after="0"/>
              <w:rPr>
                <w:sz w:val="13"/>
                <w:szCs w:val="13"/>
                <w:color w:val="auto"/>
              </w:rPr>
            </w:pPr>
          </w:p>
        </w:tc>
      </w:tr>
      <w:tr>
        <w:trPr>
          <w:trHeight w:val="160"/>
        </w:trPr>
        <w:tc>
          <w:tcPr>
            <w:tcW w:w="860" w:type="dxa"/>
            <w:vAlign w:val="bottom"/>
            <w:tcBorders>
              <w:top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2003</w:t>
            </w:r>
          </w:p>
        </w:tc>
        <w:tc>
          <w:tcPr>
            <w:tcW w:w="13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3"/>
                <w:szCs w:val="13"/>
                <w:b w:val="1"/>
                <w:bCs w:val="1"/>
                <w:color w:val="auto"/>
              </w:rPr>
              <w:t>% of</w:t>
            </w:r>
          </w:p>
        </w:tc>
        <w:tc>
          <w:tcPr>
            <w:tcW w:w="600" w:type="dxa"/>
            <w:vAlign w:val="bottom"/>
            <w:tcBorders>
              <w:top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w w:val="99"/>
              </w:rPr>
              <w:t>2002</w:t>
            </w:r>
          </w:p>
        </w:tc>
        <w:tc>
          <w:tcPr>
            <w:tcW w:w="78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 of</w:t>
            </w:r>
          </w:p>
        </w:tc>
        <w:tc>
          <w:tcPr>
            <w:tcW w:w="220" w:type="dxa"/>
            <w:vAlign w:val="bottom"/>
          </w:tcPr>
          <w:p>
            <w:pPr>
              <w:spacing w:after="0"/>
              <w:rPr>
                <w:sz w:val="13"/>
                <w:szCs w:val="13"/>
                <w:color w:val="auto"/>
              </w:rPr>
            </w:pPr>
          </w:p>
        </w:tc>
        <w:tc>
          <w:tcPr>
            <w:tcW w:w="860" w:type="dxa"/>
            <w:vAlign w:val="bottom"/>
            <w:tcBorders>
              <w:top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2003</w:t>
            </w:r>
          </w:p>
        </w:tc>
        <w:tc>
          <w:tcPr>
            <w:tcW w:w="82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3"/>
                <w:szCs w:val="13"/>
                <w:b w:val="1"/>
                <w:bCs w:val="1"/>
                <w:color w:val="auto"/>
              </w:rPr>
              <w:t>% of</w:t>
            </w:r>
          </w:p>
        </w:tc>
        <w:tc>
          <w:tcPr>
            <w:tcW w:w="260" w:type="dxa"/>
            <w:vAlign w:val="bottom"/>
          </w:tcPr>
          <w:p>
            <w:pPr>
              <w:spacing w:after="0"/>
              <w:rPr>
                <w:sz w:val="13"/>
                <w:szCs w:val="13"/>
                <w:color w:val="auto"/>
              </w:rPr>
            </w:pPr>
          </w:p>
        </w:tc>
        <w:tc>
          <w:tcPr>
            <w:tcW w:w="820" w:type="dxa"/>
            <w:vAlign w:val="bottom"/>
            <w:tcBorders>
              <w:top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2003</w:t>
            </w:r>
          </w:p>
        </w:tc>
        <w:tc>
          <w:tcPr>
            <w:tcW w:w="60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3"/>
                <w:szCs w:val="13"/>
                <w:b w:val="1"/>
                <w:bCs w:val="1"/>
                <w:color w:val="auto"/>
                <w:w w:val="88"/>
              </w:rPr>
              <w:t>% of</w:t>
            </w:r>
          </w:p>
        </w:tc>
        <w:tc>
          <w:tcPr>
            <w:tcW w:w="1320" w:type="dxa"/>
            <w:vAlign w:val="bottom"/>
            <w:tcBorders>
              <w:top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2002</w:t>
            </w:r>
          </w:p>
        </w:tc>
        <w:tc>
          <w:tcPr>
            <w:tcW w:w="84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3"/>
                <w:szCs w:val="13"/>
                <w:b w:val="1"/>
                <w:bCs w:val="1"/>
                <w:color w:val="auto"/>
              </w:rPr>
              <w:t>% of</w:t>
            </w:r>
          </w:p>
        </w:tc>
      </w:tr>
    </w:tbl>
    <w:p>
      <w:pPr>
        <w:sectPr>
          <w:pgSz w:w="11900" w:h="16915" w:orient="portrait"/>
          <w:cols w:equalWidth="0" w:num="1">
            <w:col w:w="11420"/>
          </w:cols>
          <w:pgMar w:left="240" w:top="114"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net sales</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net sales</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net sales</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net sales</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net sales</w:t>
            </w:r>
          </w:p>
        </w:tc>
        <w:tc>
          <w:tcPr>
            <w:tcW w:w="0" w:type="dxa"/>
            <w:vAlign w:val="bottom"/>
          </w:tcPr>
          <w:p>
            <w:pPr>
              <w:spacing w:after="0"/>
              <w:rPr>
                <w:sz w:val="1"/>
                <w:szCs w:val="1"/>
                <w:color w:val="auto"/>
              </w:rPr>
            </w:pPr>
          </w:p>
        </w:tc>
      </w:tr>
      <w:tr>
        <w:trPr>
          <w:trHeight w:val="129"/>
        </w:trPr>
        <w:tc>
          <w:tcPr>
            <w:tcW w:w="18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Gross margin:</w:t>
            </w:r>
          </w:p>
        </w:tc>
        <w:tc>
          <w:tcPr>
            <w:tcW w:w="2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As reported</w:t>
            </w:r>
          </w:p>
        </w:tc>
        <w:tc>
          <w:tcPr>
            <w:tcW w:w="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19"/>
              <w:spacing w:after="0" w:line="149" w:lineRule="exact"/>
              <w:rPr>
                <w:sz w:val="20"/>
                <w:szCs w:val="20"/>
                <w:color w:val="auto"/>
              </w:rPr>
            </w:pPr>
            <w:r>
              <w:rPr>
                <w:rFonts w:ascii="Times New Roman" w:cs="Times New Roman" w:eastAsia="Times New Roman" w:hAnsi="Times New Roman"/>
                <w:sz w:val="14"/>
                <w:szCs w:val="14"/>
                <w:color w:val="auto"/>
              </w:rPr>
              <w:t>71.0</w:t>
            </w: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2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168.2</w:t>
            </w: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32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(223.9)</w:t>
            </w: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(28.5)%</w:t>
            </w:r>
          </w:p>
        </w:tc>
        <w:tc>
          <w:tcPr>
            <w:tcW w:w="28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(190.2)</w:t>
            </w: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98.6</w:t>
            </w: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Inventory write-down</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19"/>
              <w:spacing w:after="0" w:line="149" w:lineRule="exact"/>
              <w:rPr>
                <w:sz w:val="20"/>
                <w:szCs w:val="20"/>
                <w:color w:val="auto"/>
              </w:rPr>
            </w:pPr>
            <w:r>
              <w:rPr>
                <w:rFonts w:ascii="Times New Roman" w:cs="Times New Roman" w:eastAsia="Times New Roman" w:hAnsi="Times New Roman"/>
                <w:sz w:val="14"/>
                <w:szCs w:val="14"/>
                <w:color w:val="auto"/>
              </w:rPr>
              <w:t>14.6</w:t>
            </w: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197.4</w:t>
            </w: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302.8</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4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Estimated effect of</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4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previous write-</w:t>
            </w:r>
          </w:p>
        </w:tc>
        <w:tc>
          <w:tcPr>
            <w:tcW w:w="220" w:type="dxa"/>
            <w:vAlign w:val="bottom"/>
          </w:tcPr>
          <w:p>
            <w:pPr>
              <w:spacing w:after="0"/>
              <w:rPr>
                <w:sz w:val="12"/>
                <w:szCs w:val="12"/>
                <w:color w:val="auto"/>
              </w:rPr>
            </w:pPr>
          </w:p>
        </w:tc>
        <w:tc>
          <w:tcPr>
            <w:tcW w:w="78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(168.1)</w:t>
            </w: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(82.9)</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(98.6)</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(405.6)</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(657.2)</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downs</w:t>
            </w:r>
          </w:p>
        </w:tc>
        <w:tc>
          <w:tcPr>
            <w:tcW w:w="2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40" w:type="dxa"/>
            <w:vAlign w:val="bottom"/>
            <w:tcBorders>
              <w:top w:val="single" w:sz="8" w:color="CCEEFF"/>
              <w:bottom w:val="single" w:sz="8" w:color="CCEEFF"/>
            </w:tcBorders>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As adjusted</w:t>
            </w:r>
          </w:p>
        </w:tc>
        <w:tc>
          <w:tcPr>
            <w:tcW w:w="220" w:type="dxa"/>
            <w:vAlign w:val="bottom"/>
            <w:tcBorders>
              <w:top w:val="single" w:sz="8" w:color="auto"/>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(82.5</w:t>
            </w:r>
          </w:p>
        </w:tc>
        <w:tc>
          <w:tcPr>
            <w:tcW w:w="260" w:type="dxa"/>
            <w:vAlign w:val="bottom"/>
            <w:tcBorders>
              <w:top w:val="single" w:sz="8" w:color="CCEEFF"/>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8"/>
                <w:szCs w:val="8"/>
                <w:color w:val="auto"/>
                <w:w w:val="73"/>
              </w:rPr>
              <w:t>)</w:t>
            </w:r>
          </w:p>
        </w:tc>
        <w:tc>
          <w:tcPr>
            <w:tcW w:w="1000" w:type="dxa"/>
            <w:vAlign w:val="bottom"/>
            <w:tcBorders>
              <w:top w:val="single" w:sz="8" w:color="CCEEFF"/>
              <w:bottom w:val="single" w:sz="8" w:color="CCEEFF"/>
            </w:tcBorders>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(11.3)%</w:t>
            </w:r>
          </w:p>
        </w:tc>
        <w:tc>
          <w:tcPr>
            <w:tcW w:w="24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111.2</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CCEEFF"/>
              <w:bottom w:val="single" w:sz="8" w:color="CCEEFF"/>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14.4%</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(125.1</w:t>
            </w:r>
          </w:p>
        </w:tc>
        <w:tc>
          <w:tcPr>
            <w:tcW w:w="240" w:type="dxa"/>
            <w:vAlign w:val="bottom"/>
            <w:tcBorders>
              <w:top w:val="single" w:sz="8" w:color="CCEEFF"/>
              <w:bottom w:val="single" w:sz="8" w:color="CCEEF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900" w:type="dxa"/>
            <w:vAlign w:val="bottom"/>
            <w:tcBorders>
              <w:top w:val="single" w:sz="8" w:color="CCEEFF"/>
              <w:bottom w:val="single" w:sz="8" w:color="CCEEFF"/>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(15.9)%</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(293.0</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940" w:type="dxa"/>
            <w:vAlign w:val="bottom"/>
            <w:tcBorders>
              <w:top w:val="single" w:sz="8" w:color="CCEEFF"/>
              <w:bottom w:val="single" w:sz="8" w:color="CCEEFF"/>
            </w:tcBorders>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(13.3)%</w:t>
            </w:r>
          </w:p>
        </w:tc>
        <w:tc>
          <w:tcPr>
            <w:tcW w:w="26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(356.1</w:t>
            </w:r>
          </w:p>
        </w:tc>
        <w:tc>
          <w:tcPr>
            <w:tcW w:w="240" w:type="dxa"/>
            <w:vAlign w:val="bottom"/>
            <w:tcBorders>
              <w:top w:val="single" w:sz="8" w:color="CCEEFF"/>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8"/>
                <w:szCs w:val="8"/>
                <w:color w:val="auto"/>
                <w:w w:val="73"/>
              </w:rPr>
              <w:t>)</w:t>
            </w:r>
          </w:p>
        </w:tc>
        <w:tc>
          <w:tcPr>
            <w:tcW w:w="960" w:type="dxa"/>
            <w:vAlign w:val="bottom"/>
            <w:tcBorders>
              <w:top w:val="single" w:sz="8" w:color="CCEEFF"/>
              <w:bottom w:val="single" w:sz="8" w:color="CCEEFF"/>
            </w:tcBorders>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Company’s reported gross margin for the third quarter of 2003 improved as compared to the second quarter of 2003, primarily due to the net effects of current and previous period inventory write-downs and a decrease in per megabit manufacturing costs, partially offset by the 16% decrease in average selling prices for the Company’s semiconductor memory products. The Company was able to significantly reduce per megabit manufacturing costs through gains in manufacturing efficiency achieved in the third quarter of 2003. During the third quarter of 2003, the Company substantially completed its transition to .13µ technology and continued to migrate to .11µ technology.</w:t>
      </w:r>
    </w:p>
    <w:p>
      <w:pPr>
        <w:spacing w:after="0" w:line="184"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Company’s gross margin for the third quarter of 2003 decreased as compared to the third quarter of 2002, primarily due to the 52% decrease in average selling prices, partially offset by a decrease in per megabit manufacturing costs due to manufacturing efficiency gains and the net effects of current and previous period inventory write-downs.</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Company’s gross margin for the first nine months of 2003 decreased as compared to the first nine months of 2002, primarily due to the 17% decrease in average selling prices and the net effects of current and previous period inventory write-downs. Absent the effects of inventory write-downs, the gross margin for the first nine months of 2003 improved as compared to the first nine months of 2002, primarily due to a decrease in per megabit manufacturing costs, partially offset by the decrease in average selling prices and charges aggregating $19 million for write-downs of discontinued products and obsolescence charges for older EDO DRAM products.</w:t>
      </w:r>
    </w:p>
    <w:p>
      <w:pPr>
        <w:spacing w:after="0" w:line="184" w:lineRule="exact"/>
        <w:rPr>
          <w:sz w:val="20"/>
          <w:szCs w:val="20"/>
          <w:color w:val="auto"/>
        </w:rPr>
      </w:pPr>
    </w:p>
    <w:p>
      <w:pPr>
        <w:ind w:right="140" w:firstLine="324"/>
        <w:spacing w:after="0" w:line="296" w:lineRule="auto"/>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f the cumulative inventory write-downs recognized in the last nine quarters, the Company estimates that approximately $130 million is associated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product remaining in inventory as of May 29, 2003. The Company estimates that approximately half of this amount will remain in inventory at the end of 2003.</w:t>
      </w:r>
    </w:p>
    <w:p>
      <w:pPr>
        <w:spacing w:after="0" w:line="15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Subject to specific terms and conditions, the Company has agreed to purchase all of the products manufactured by its joint venture memory manufacturing operation, TECH Semiconductor Singapore Pte. Ltd. (“TECH”). TECH supplied approximately 30% of the total megabits of memory produced by the Company in the third quarter and first nine months of 2003 and supplied approximately 20% in the third quarter and first nine months of 2002. The Company generally purchases semiconductor products from TECH at prices determined quarterly, based on a discount from average selling price realized by the Company for the immediately preceding quarter. The Company performs assembly and test services on products manufactured by TECH. The Company also provides certain technology, engineering, and training support to TECH. All of these transactions with TECH are recognized as part of the net cost of products purchased from TECH.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Depending on market conditions, the gross margin from the sale of TECH products may be higher or lower than the gross margin from the sale of products manufactured by the Company’s wholly-owned facilities. The Company realized significantly higher gross margin percentages on sales of TECH products than for products manufactured by its wholly-owned facilities in the third quarter and first nine months of both 2003 and 2002. The Company expects gross margins on sales of TECH products in the fourth quarter of 2003 to be higher than gross margins realized on products manufactured by the Company’s wholly-owned operations.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(“SG&amp;A”) expense was slightly lower for the third quarter of 2003 as compared to SG&amp;A expense of $92 million for the second quarter of 2003. SG&amp;A expense increased in the third quarter and first nine months of 2003 as compared to the corresponding periods of 2002, primarily due to increased costs associated with outstanding legal matters. (See “Item 1. Financial Statements – Notes to Financial Statements – Contingencies.”)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Research and development (“R&amp;D”) expenses vary primarily with the number of development wafers processed, the cost of advanced equipment dedicated to new product and process development, and personnel costs. Product development costs are recorded as R&amp;D expense. The Company deems development of a product complete once the product has been thoroughly reviewed and tested for performance and reliability and is internally qualified for sale to customers. R&amp;D expense for the third quarter of 2003 was $162 million, representing a 7% decrease as compared to R&amp;D expense of $174 million in the second quarter of 2003. R&amp;D expense for the third quarter of 2003 was lower than projected due to the earlier qualification of the Company’s ..11µ DDR SDRAM devices than had been predicted. R&amp;D expenses related to the Company's 300 mm production line are expected to decline in the first quarter of 2004, after initial product qualifications occur.</w:t>
      </w:r>
    </w:p>
    <w:p>
      <w:pPr>
        <w:spacing w:after="0" w:line="18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Company’s DRAM process technology research and development efforts are focused on its .11µ and .095µ line-width process technologies, which are designed to facilitate the Company’s transition to next generation products. Additional process development work includes processes to support Flash, CMOS imagers, and new memory materials. In addition to its process technology efforts, the Company continues to emphasize product designs that utilize advanced process technology. Efforts towards the design and development of new products are concentrated on the Company’s 512 Meg and 1 Gig DDR SDRAMs, DDRII SDRAMs and GDDRIII SDRAMs, Flash memory products, CMOS imagers and certain advanced DRAM technology products.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Restructure and Other Charges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As a result of the prolonged downturn in the semiconductor memory industry and the Company’s successive quarters of operating losses, in the second quarter of 2003 the Company announced a plan to restructure its operations. The restructure plan included the shutdown of the Company’s 200 mm production line in Virginia, the discontinuance of certain memory products, including SRAM and TCAM products, and a 10% reduction of the Company’s worldwide workforce. In connection with the plan, the Company’s results of operations included a restructure charge of $103 million in the first nine months of 2003. In addition, the Company recorded other restructure-related charges of $7 million to write-down the carrying value of raw materials and work-in-process inventories associated with discontinued products. These other charges are included in cost of goods sold in the accompanying consolidated statements of operation. The Company expects to substantially complete the restructure plan by the end of 2003 and estimates that it will incur additional</w:t>
      </w:r>
    </w:p>
    <w:p>
      <w:pPr>
        <w:sectPr>
          <w:pgSz w:w="11900" w:h="16838" w:orient="portrait"/>
          <w:cols w:equalWidth="0" w:num="1">
            <w:col w:w="11420"/>
          </w:cols>
          <w:pgMar w:left="240" w:top="120" w:right="239" w:bottom="0" w:gutter="0" w:footer="0" w:header="0"/>
        </w:sectPr>
      </w:pPr>
    </w:p>
    <w:bookmarkStart w:id="11" w:name="page12"/>
    <w:bookmarkEnd w:id="11"/>
    <w:p>
      <w:pPr>
        <w:ind w:right="280"/>
        <w:spacing w:after="0" w:line="282" w:lineRule="auto"/>
        <w:rPr>
          <w:sz w:val="20"/>
          <w:szCs w:val="20"/>
          <w:color w:val="auto"/>
        </w:rPr>
      </w:pPr>
      <w:r>
        <w:rPr>
          <w:rFonts w:ascii="Times New Roman" w:cs="Times New Roman" w:eastAsia="Times New Roman" w:hAnsi="Times New Roman"/>
          <w:sz w:val="18"/>
          <w:szCs w:val="18"/>
          <w:color w:val="auto"/>
        </w:rPr>
        <w:t>restructure charges of approximately $15 million over the next several quarters, primarily for the redeployment of equipment from its Virginia site to other facilities. The components of the restructure and other charges were as follows: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charges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February</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of May 29,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27, 2003</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Restructure charge:</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Write-down of equipment</w:t>
            </w:r>
          </w:p>
        </w:tc>
        <w:tc>
          <w:tcPr>
            <w:tcW w:w="7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gridSpan w:val="2"/>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Severance and other termination benefits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Write-down of intangible assets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restructure charge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Write-down of raw materials and work in process</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restructure and other charges</w:t>
            </w:r>
          </w:p>
        </w:tc>
        <w:tc>
          <w:tcPr>
            <w:tcW w:w="5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Through May 29, 2003, the Company had paid $25 million of the severance and other termination costs and $1 million of other costs. As of May 29, 2003, the Company’s accounts payable and accrued expenses included $5 million for remaining costs accrued in connection with the restructure plan.</w:t>
      </w:r>
    </w:p>
    <w:p>
      <w:pPr>
        <w:spacing w:after="0" w:line="162"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Company expects its restructuring efforts to result in a lower overall cost structure, to provide better focus on products with greater potential for growth and profitability and to allow continuing investment in new technology. The Company expects to realize annualized cost savings in excess of $250 million as a result of this restructure plan.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 and Expense</w:t>
      </w:r>
    </w:p>
    <w:p>
      <w:pPr>
        <w:spacing w:after="0" w:line="229" w:lineRule="exact"/>
        <w:rPr>
          <w:sz w:val="20"/>
          <w:szCs w:val="20"/>
          <w:color w:val="auto"/>
        </w:rPr>
      </w:pPr>
    </w:p>
    <w:p>
      <w:pPr>
        <w:ind w:right="220" w:firstLine="324"/>
        <w:spacing w:after="0" w:line="257" w:lineRule="auto"/>
        <w:rPr>
          <w:sz w:val="20"/>
          <w:szCs w:val="20"/>
          <w:color w:val="auto"/>
        </w:rPr>
      </w:pPr>
      <w:r>
        <w:rPr>
          <w:rFonts w:ascii="Times New Roman" w:cs="Times New Roman" w:eastAsia="Times New Roman" w:hAnsi="Times New Roman"/>
          <w:sz w:val="18"/>
          <w:szCs w:val="18"/>
          <w:color w:val="auto"/>
        </w:rPr>
        <w:t>Other operating expense in the first nine months of 2003 includes losses net of gains on write-downs and disposals of semiconductor equipment of $19 million and losses of $12 million from changes in currency exchange rates. Other operating income in the first nine months of 2003 includes $14 million received in the second quarter of 2003 from the U.S. government in connection with anti-dumping tariffs. Other operating expense in the third quarter of</w:t>
      </w:r>
    </w:p>
    <w:p>
      <w:pPr>
        <w:spacing w:after="0" w:line="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2002 includes losses of $15 million from changes in currency exchange rates. Other operating expense for the first nine months of 2002 includes losses net of gains on write-downs and disposals of semiconductor equipment of $10 million.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income tax provision for the third quarter and first nine months of 2003 was $24 million and $63 million, respectively, which primarily reflects taxes on foreign operations. Income tax benefit for the third quarter and first nine months of 2002 was $16 million and $214 million, respectively. The Company recognized no tax benefit on its domestic net operating losses in 2003.</w:t>
      </w:r>
    </w:p>
    <w:p>
      <w:pPr>
        <w:spacing w:after="0" w:line="17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As of May 29, 2003, the Company had aggregate U.S. tax net operating loss carryforwards of $2,561 million and unused U.S. tax credits of $90 million, which expire in various years through 2023. The Company also has state tax net operating loss carryforwards of $1,819 million which expire through 2023 and unused state tax credits of $128 million which expire through 2017. Until the Company utilizes these net operating loss carryforwards and unused tax credits, the income tax provision will only reflect taxes from the Company’s foreign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In May 2003, the Financial Accounting Standards Board (“FASB”) issued Statement of Financial Accounting Standards (“SFAS”) No. 150, “Accounting for Certain Financial Instruments with Characteristics of both Liabilities and Equity.” SFAS No. 150 requires that certain financial instruments, which under previous guidance could be accounted for as equity, be classified as liabilities in statements of financial condition. SFAS No. 150 is effective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financial instruments entered into or modified after May 31, 2003, and is otherwise effective for the Company in the first quarter of 2004. The Company does not expect the adoption of SFAS No. 150 to have a significant impact on the Company’s future results of operations or financial condition.</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April 2003, the FASB issued SFAS No. 149, “Amendment of Statement 133 on Derivative Instruments and Hedging Activities.” SFAS No. 149 amends and clarifies the accounting for derivative instruments, including certain derivative instruments embedded in other contracts, and for hedging activities under SFAS No. 133. SFAS No. 149 is generally effective for contracts entered into or modified after June 30, 2003. The Company does not expect the adoption of SFAS No. 149 to have a significant impact on the Company’s future results of operations or financial condition</w:t>
      </w:r>
    </w:p>
    <w:p>
      <w:pPr>
        <w:spacing w:after="0" w:line="1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January 2003, the FASB issued Interpretation No. 46, “Consolidation of Variable Interest Entities – an interpretation of ARB No. 51,” which provides guidance on the identification of and reporting for variable interest entities. Interpretation No. 46 expands the criteria for consideration in determining whether a variable interest entity should be consolidated. Interpretation No. 46 is effectively immediately to variable interest entities created after January 31, 2003, and to variable interest entities in which an enterprise obtains an interest after that date. Interpretation No. 46 is effective for the Company in the first quarter of 2004 for variable interest entities acquired before February 1, 2003. The Company is currently assessing the impact of Interpretation No. 46 on its future results of operations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ectPr>
          <w:pgSz w:w="11900" w:h="16838" w:orient="portrait"/>
          <w:cols w:equalWidth="0" w:num="1">
            <w:col w:w="11420"/>
          </w:cols>
          <w:pgMar w:left="240" w:top="121" w:right="239" w:bottom="0" w:gutter="0" w:footer="0" w:header="0"/>
        </w:sectPr>
      </w:pPr>
    </w:p>
    <w:bookmarkStart w:id="12" w:name="page13"/>
    <w:bookmarkEnd w:id="12"/>
    <w:p>
      <w:pPr>
        <w:spacing w:after="0" w:line="102"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As of May 29, 2003, the Company had cash and marketable investments totaling $1,004 million, compared to $1,146 million, which includes $160 million of investment securities with maturities of more than one year, as of August 29, 2002. During the first nine months of 2003, the Company received financing proceeds of $633 million from the issuance of 2.5% seven-year convertible subordinated notes and $95 million from the issuance of other debt. In conjunction with the issuance of the notes, the Company spent $109 million to purchase call spread options. During the first nine months of 2003, the Company spent $674 million for property, plant and equipment and $216 million for payments of equipment purchase contracts and debt. In addition, the Company received income tax refunds of $109 million in the first quarter of 2003. The Company’s liquidity is highly dependent on overall industry demand for semiconductor memory and average selling prices for its semiconductor products.</w:t>
      </w:r>
    </w:p>
    <w:p>
      <w:pPr>
        <w:spacing w:after="0" w:line="18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Company believes that to develop new product and process technologies, support future growth, achieve operating efficiencies and maintain product quality, it must continue to invest in manufacturing technology, facilities and capital equipment, research and development, and product and process technology. The Company expects capital spending to approximate $1.1 billion in 2003 and has spent approximately $925 million to date. The amounts included in the consolidated statement of cash flows for 2003 as equipment acquisitions on contracts payable and capital leases include $59 million related to assets sold and reacquired in equipment sale-leaseback transactions. The Company originally acquired the majority of these assets prior to 2003.</w:t>
      </w:r>
    </w:p>
    <w:p>
      <w:pPr>
        <w:spacing w:after="0" w:line="184"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Company expects capital spending to approximate $1 billion in 2004. Capital spending estimates include expenditures for ongoing equipment upgrades and expenditures for the Company’s 300 mm production line. As of May 29, 2003, the Company had commitments extending into 2004 of approximately $275 million for the acquisition of property, plant and equipment. The Company anticipates cash expenditures of approximately $15 million over the next several quarters to complete its restructure plan.</w:t>
      </w:r>
    </w:p>
    <w:p>
      <w:pPr>
        <w:spacing w:after="0" w:line="18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has historically utilized external sources of financing to fund a portion of operations and since April 2000 has had a shelf registration statement in place pursuant to which the Company may from time to time issue debt or equity securities for up to $1 billion. The Company may also seek to raise funds through issuing securities not covered by the existing shelf registration statement, by increasing the size of the existing shelf registration statement or pursuing other external sources of financing.</w:t>
      </w:r>
    </w:p>
    <w:p>
      <w:pPr>
        <w:spacing w:after="0" w:line="180"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of the Virginia facility, the Company issued 1.5 million shares of common stock. The Company granted Toshiba an option to require the Company to repurchase on October 21, 2003, all of these shares for $68 million cash. The option expires if the closing price of the Company’s common stock is at or above $45.05 per share for 20 consecutive trading days.</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On March 13, 2003, TECH refinanced its then existing credit facility by entering into a new $250 million credit facility. In connection therewith, $50 million previously pledged by the Company as cash collateral with respect to TECH’s credit facility was re-pledged and supplemented with an additional $50 million. In the event the cash collateral is used to discharge obligations of TECH that are unpaid and due under the TECH credit facility, certain shareholders of TECH have agreed to indemnify the Company for approximately one-half of the amount of the cash collateral used to satisfy such obligations.</w:t>
      </w:r>
    </w:p>
    <w:p>
      <w:pPr>
        <w:spacing w:after="0" w:line="180"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As of May 29, 2003, maturities of notes payable, future minimum lease payments under capital leases and minimum commitments under operating leases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gridSpan w:val="2"/>
          </w:tcPr>
          <w:p>
            <w:pPr>
              <w:ind w:left="20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00" w:type="dxa"/>
            <w:vAlign w:val="bottom"/>
          </w:tcPr>
          <w:p>
            <w:pPr>
              <w:spacing w:after="0"/>
              <w:rPr>
                <w:sz w:val="15"/>
                <w:szCs w:val="15"/>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Capital leases</w:t>
            </w:r>
          </w:p>
        </w:tc>
        <w:tc>
          <w:tcPr>
            <w:tcW w:w="180" w:type="dxa"/>
            <w:vAlign w:val="bottom"/>
          </w:tcPr>
          <w:p>
            <w:pPr>
              <w:spacing w:after="0"/>
              <w:rPr>
                <w:sz w:val="15"/>
                <w:szCs w:val="15"/>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00" w:type="dxa"/>
            <w:vAlign w:val="bottom"/>
            <w:vMerge w:val="restart"/>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2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2003</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2004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66.4</w:t>
            </w:r>
          </w:p>
        </w:tc>
        <w:tc>
          <w:tcPr>
            <w:tcW w:w="2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2005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2006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242.0</w:t>
            </w:r>
          </w:p>
        </w:tc>
        <w:tc>
          <w:tcPr>
            <w:tcW w:w="2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2007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24.2</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tcPr>
          <w:p>
            <w:pPr>
              <w:spacing w:after="0"/>
              <w:rPr>
                <w:sz w:val="20"/>
                <w:szCs w:val="20"/>
                <w:color w:val="auto"/>
              </w:rPr>
            </w:pPr>
          </w:p>
        </w:tc>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2008 and thereafter</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669.0</w:t>
            </w:r>
          </w:p>
        </w:tc>
        <w:tc>
          <w:tcPr>
            <w:tcW w:w="20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00" w:type="dxa"/>
            <w:vAlign w:val="bottom"/>
            <w:tcBorders>
              <w:bottom w:val="single" w:sz="8" w:color="808080"/>
            </w:tcBorders>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Factors</w:t>
      </w:r>
    </w:p>
    <w:p>
      <w:pPr>
        <w:spacing w:after="0" w:line="227" w:lineRule="exact"/>
        <w:rPr>
          <w:sz w:val="20"/>
          <w:szCs w:val="20"/>
          <w:color w:val="auto"/>
        </w:rPr>
      </w:pPr>
    </w:p>
    <w:p>
      <w:pPr>
        <w:ind w:right="1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In addition to the factors discussed elsewhere in this Form 10-Q, the following are important factors which could cause actual results or events to differ materially from those contained in any forward looking statements made by or on behalf of the Company.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average selling prices for our semiconductor products do not exceed our costs, we expect to incur losses.</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Average selling prices for our semiconductor products decreased by 17% for the first nine months of 2003 as compared to the first nine months of 2002. In five of the last six fiscal years, we experienced the following decreases in average selling prices for our semiconductor products: 53% in 2002, 60% in 2001, 37% in 1999, 60% in 1998 and 75% in 1997. We are unable to predict pricing conditions for any future period.</w:t>
      </w:r>
    </w:p>
    <w:p>
      <w:pPr>
        <w:spacing w:after="0" w:line="17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recent quarters, average selling prices for our semiconductor products have been below our manufacturing costs. If average selling prices are below costs in future periods, we expect to continue to incur losses on product sales and for our results of operations, cash flows and financial condition to be adversely affected. If the estimated market values of products held in finished goods and work in process inventories at a quarter end date are below the cost of these products, we recognize charges to cost of goods sold to write down the carrying value of our inventories to market value.</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If average selling prices of semiconductor products do not improve, we may not be able to generate sufficient cash flows to fund our operations and make adequate capital investments.</w:t>
      </w:r>
    </w:p>
    <w:p>
      <w:pPr>
        <w:spacing w:after="0" w:line="159" w:lineRule="exact"/>
        <w:rPr>
          <w:sz w:val="20"/>
          <w:szCs w:val="20"/>
          <w:color w:val="auto"/>
        </w:rPr>
      </w:pPr>
    </w:p>
    <w:p>
      <w:pPr>
        <w:ind w:right="40" w:firstLine="324"/>
        <w:spacing w:after="0" w:line="277" w:lineRule="auto"/>
        <w:rPr>
          <w:sz w:val="20"/>
          <w:szCs w:val="20"/>
          <w:color w:val="auto"/>
        </w:rPr>
      </w:pPr>
      <w:r>
        <w:rPr>
          <w:rFonts w:ascii="Times New Roman" w:cs="Times New Roman" w:eastAsia="Times New Roman" w:hAnsi="Times New Roman"/>
          <w:sz w:val="17"/>
          <w:szCs w:val="17"/>
          <w:color w:val="auto"/>
        </w:rPr>
        <w:t>Our cash flows from operations depend primarily on the volume of semiconductor memory sold, average selling prices and per megabit manufacturing costs. In recent quarters, average selling prices have been below our manufacturing costs. To develop new product and process technologies, support future growth, achieve operating efficiencies and maintain product quality, we must make significant capital investments in facilities and capital equipment, research and development, and product and process technology. Weak market conditions for the semiconductor industry have led us to significantly reduce actual and projected expenditures. If average selling prices do not improve, we may not be able to generate sufficient cash flows to fund our operations or make</w:t>
      </w:r>
    </w:p>
    <w:p>
      <w:pPr>
        <w:sectPr>
          <w:pgSz w:w="11900" w:h="16940" w:orient="portrait"/>
          <w:cols w:equalWidth="0" w:num="1">
            <w:col w:w="11440"/>
          </w:cols>
          <w:pgMar w:left="240" w:top="121" w:right="219" w:bottom="0" w:gutter="0" w:footer="0" w:header="0"/>
        </w:sectPr>
      </w:pPr>
    </w:p>
    <w:bookmarkStart w:id="13" w:name="page14"/>
    <w:bookmarkEnd w:id="13"/>
    <w:p>
      <w:pPr>
        <w:spacing w:after="0" w:line="282" w:lineRule="auto"/>
        <w:rPr>
          <w:sz w:val="20"/>
          <w:szCs w:val="20"/>
          <w:color w:val="auto"/>
        </w:rPr>
      </w:pPr>
      <w:r>
        <w:rPr>
          <w:rFonts w:ascii="Times New Roman" w:cs="Times New Roman" w:eastAsia="Times New Roman" w:hAnsi="Times New Roman"/>
          <w:sz w:val="18"/>
          <w:szCs w:val="18"/>
          <w:color w:val="auto"/>
        </w:rPr>
        <w:t>adequate capital investments. We have historically utilized external sources of financing. However, depending on general market and economic conditions or other factors, we may not be able to access capital markets for sufficient funds on acceptable terms.</w:t>
      </w:r>
    </w:p>
    <w:p>
      <w:pPr>
        <w:spacing w:after="0" w:line="15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Increased worldwide DRAM production or lack of demand for semiconductor products could lead to further declines in average selling prices for DRAM or limit our ability to sell our products.</w:t>
      </w:r>
    </w:p>
    <w:p>
      <w:pPr>
        <w:spacing w:after="0" w:line="15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transition to smaller geometries and 300 mm wafers in the industry (which is expected to occur within the next five years) could, depending upon the rate of transition, lead to a significant increase in the worldwide supply of DRAM. Increases in worldwide supply of DRAM also result from DRAM fab capacity expansions, either by way of new facilities, increased capacity utilization or reallocation of other semiconductor production to DRAM production. Some of our competitors may receive government support to withstand downturns in the semiconductor memory market and to invest in technology resulting in increased worldwide supply. Increases in worldwide supply of DRAM, if not offset by increases in demand, could lead to further declines in average selling prices for our products and adversely affect our results of operations, cash flows and financial condition. In addition, if a lack of demand for semiconductor products limits our ability to sell our inventory, our liquidity and financial condition could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Depressed pricing for semiconductor memory products may lead to future inventory write-downs.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recorded inventory write-downs of $15 million, $197 million and $91 million in the third, second and first quarters of 2003, respectively, and we recorded inventory write-downs totaling $376 million in 2002 and $727 million in 2001 as a result of the significant decreases in average selling prices for our semiconductor memory products. If the estimated market values of products held in finished goods and work in process inventories at a quarter end date are below the cost of these products, we recognize charges to cost of goods sold to write down the carrying value of our inventories to market value.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If the growth rate of either PCs sold or the amount of semiconductor memory included in each PC decreases, sales of our semiconductor products could decrease.</w:t>
      </w:r>
    </w:p>
    <w:p>
      <w:pPr>
        <w:spacing w:after="0" w:line="15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are dependent on the computer market as most of the semiconductor products we sell are used in PCs or peripheral products. Approximately 80% of our sales of semiconductor products for the third quarter of 2003 was to the computer market. DRAMs are the most widely used semiconductor components in PCs. In recent years, the growth rate of PCs sold has slowed or declined. If we experience a sustained reduction in the growth rate of either PCs sold or the average amount of semiconductor memory included in each PC, sales of our semiconductor products built for those markets could decrease, and our results of operations, cash flows and financial condition could be adversely affected.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semiconductor memory industry is highly competitive.</w:t>
      </w:r>
    </w:p>
    <w:p>
      <w:pPr>
        <w:spacing w:after="0" w:line="229" w:lineRule="exact"/>
        <w:rPr>
          <w:sz w:val="20"/>
          <w:szCs w:val="20"/>
          <w:color w:val="auto"/>
        </w:rPr>
      </w:pPr>
    </w:p>
    <w:p>
      <w:pPr>
        <w:jc w:val="both"/>
        <w:ind w:right="240" w:firstLine="324"/>
        <w:spacing w:after="0" w:line="313" w:lineRule="auto"/>
        <w:rPr>
          <w:sz w:val="20"/>
          <w:szCs w:val="20"/>
          <w:color w:val="auto"/>
        </w:rPr>
      </w:pPr>
      <w:r>
        <w:rPr>
          <w:rFonts w:ascii="Times New Roman" w:cs="Times New Roman" w:eastAsia="Times New Roman" w:hAnsi="Times New Roman"/>
          <w:sz w:val="17"/>
          <w:szCs w:val="17"/>
          <w:color w:val="auto"/>
        </w:rPr>
        <w:t>We face intense competition from a number of companies, some of which are large corporations or conglomerates (e.g. Samsung Semiconductor, Inc.) that may have greater resources to withstand downturns in the semiconductor memory market, invest in technology and capitalize on growth opportunities.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economic and political conditions may harm our business.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Global economic conditions and the effects of military or terrorist actions may cause significant disruptions to worldwide commerce. If these disruptions result in delays or cancellations of customer orders, a decrease in corporate spending on information technology or our inability to effectively market, manufacture or ship our products, our results of operations, cash flows and financial condition could be adversely affected. In addition, our ability to raise capital for capital expenditures, research and development and ongoing operations is dependent upon ready access to capital markets. During times of adverse global economic and political conditions, accessibility to capital markets could decrease. If we are unable to access the capital markets over an extended period of time, we may be unable to make capital expenditures, fully carry out our research and development efforts and fund operations, which could materially adversely affect our results of operations, cash flows and financial condition.</w:t>
      </w:r>
    </w:p>
    <w:p>
      <w:pPr>
        <w:spacing w:after="0" w:line="18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If any one of our major PC customers significantly reduces its purchases of DRAM from us, our results of operations, cash flows and financial condition could be adversely affected.</w:t>
      </w:r>
    </w:p>
    <w:p>
      <w:pPr>
        <w:spacing w:after="0" w:line="159"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Aggregate sales to two of our PC customers approximated 26% of our net sales in the third quarter of 2003. If any one of our major PC customers significantly reduces its purchases of DRAM from us, our results of operations, cash flows and financial condition could be adversely affected.</w:t>
      </w:r>
    </w:p>
    <w:p>
      <w:pPr>
        <w:spacing w:after="0" w:line="158"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If our TECH joint venture experiences financial difficulty, or if our supply of semiconductor products from TECH is disrupted, our results of operations, cash flows and financial condition could be adversely affected.</w:t>
      </w:r>
    </w:p>
    <w:p>
      <w:pPr>
        <w:spacing w:after="0" w:line="15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TECH supplied approximately 30% of the total megabits of memory produced by the Company in the third quarter and first nine months of 2003 and supplied approximately 20% in the third quarter and first nine months of 2002. We have agreements to purchase all of the production from TECH subject to specific terms and conditions. Any reduction in supply could adversely affect our results of operations, cash flows and financial condition. On March 13, 2003, TECH refinanced its then existing credit facility by entering into a new $250 million credit facility. In connection therewith, $50 million previously pledged by the Company as cash collateral with respect to TECH’s credit facility was re-pledged and supplemented with an additional $50 million. In the event the cash collateral is used to discharge obligations of TECH that are unpaid and due under the TECH credit facility, certain shareholders of TECH have agreed to indemnify the Company for approximately one-half of the amount of the cash collateral used to satisfy such obligations. As of May 29, 2003, we had remaining unamortized costs of $77 million in intangible assets relating to the supply arrangement to purchase product from TECH. In the event that our supply of semiconductor products from TECH is reduced or eliminated, we may be required to write off part or all of these assets and our revenues and results of operations would be adversely affected.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unable to maintain or reduce per megabit manufacturing costs at the same rate as we have in the past.</w:t>
      </w:r>
    </w:p>
    <w:p>
      <w:pPr>
        <w:sectPr>
          <w:pgSz w:w="11900" w:h="16838" w:orient="portrait"/>
          <w:cols w:equalWidth="0" w:num="1">
            <w:col w:w="11420"/>
          </w:cols>
          <w:pgMar w:left="240" w:top="121" w:right="239" w:bottom="189" w:gutter="0" w:footer="0" w:header="0"/>
        </w:sectPr>
      </w:pPr>
    </w:p>
    <w:bookmarkStart w:id="14" w:name="page15"/>
    <w:bookmarkEnd w:id="14"/>
    <w:p>
      <w:pPr>
        <w:spacing w:after="0" w:line="1"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Historically, we have decreased per megabit manufacturing costs through improvements in our manufacturing processes, including reducing the die size of our existing products. In future periods, we may be unable to maintain our per megabit manufacturing costs or reduce costs at historical rates. Our ability to maintain or reduce per megabit manufacturing costs in future periods may be affected by:</w:t>
      </w:r>
    </w:p>
    <w:p>
      <w:pPr>
        <w:spacing w:after="0" w:line="185"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successfully implement product and process technology upgrades, specifically our ongoing transition to .11µ process technologies</w:t>
      </w:r>
    </w:p>
    <w:p>
      <w:pPr>
        <w:spacing w:after="0" w:line="224" w:lineRule="exact"/>
        <w:rPr>
          <w:rFonts w:ascii="Times New Roman" w:cs="Times New Roman" w:eastAsia="Times New Roman" w:hAnsi="Times New Roman"/>
          <w:sz w:val="22"/>
          <w:szCs w:val="22"/>
          <w:color w:val="auto"/>
        </w:rPr>
      </w:pPr>
    </w:p>
    <w:p>
      <w:pPr>
        <w:ind w:left="980" w:right="20" w:hanging="324"/>
        <w:spacing w:after="0" w:line="235" w:lineRule="auto"/>
        <w:tabs>
          <w:tab w:leader="none" w:pos="97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manufacturing wafer output or yields, which may decrease as we implement more complex technologies, including our transition to 300 mm wafer processing, and</w:t>
      </w:r>
    </w:p>
    <w:p>
      <w:pPr>
        <w:spacing w:after="0" w:line="206"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ramp the latest reduced die size versions of existing devices or new generation devices.</w:t>
      </w:r>
    </w:p>
    <w:p>
      <w:pPr>
        <w:spacing w:after="0" w:line="19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respond to customer demand for diversified semiconductor memory products or are unable to do so in a cost-effective manner, we may lose market share and our results of operations may be adversely affected.</w:t>
      </w:r>
    </w:p>
    <w:p>
      <w:pPr>
        <w:spacing w:after="0" w:line="159"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auto"/>
        </w:rPr>
        <w:t>In recent periods, the semiconductor memory market has become relatively segmented, with diverse memory needs being driven by the different requirements of desktop and notebook PCs, servers, workstations, handheld devices, and communications, industrial and other applications that demand specific memory solutions. We currently offer customers a variety of memory products including DDR SDRAM, SDRAM and Flash. In addition, we are designing and developing other semiconductor products, including DDRII SDRAM, GDDRII SDRAM, reduced latency DRAM (“RLDRAM”), CellularRAM and CMOS imaging sensors.</w:t>
      </w:r>
    </w:p>
    <w:p>
      <w:pPr>
        <w:spacing w:after="0" w:line="184"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We need to dedicate significant resources to product design and development to respond to customer demand for the continued diversification of semiconductor products. If we are unable to invest sufficient resources to meet the diverse memory needs of customers, we may lose market share. In addition, as we diversify our product lines we may encounter difficulties penetrating certain markets, particularly markets where we do not have existing customers. If we are unable to respond to customer demand for market diversification in a cost-effective manner, our results of operations may be adversely affected.</w:t>
      </w:r>
    </w:p>
    <w:p>
      <w:pPr>
        <w:spacing w:after="0" w:line="18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An adverse determination that our products and processes infringe the intellectual property rights of others could adversely affect our results of operations, cash flows and financial condition.</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is typical in the semiconductor and other high technology industries, from time to time, others have asserted, and may in the future assert, that our products or processes infringe their product or process technology rights. We are currently engaged in litigation with Rambus, Inc. (“Rambus”) relating to certain of Rambus’ patents and certain of our claims and defenses. On August 28, 2000, we filed a declaratory judgment action against Rambus in the U.S. District Court for the District of Delaware. On February 1, 2001, we amended our complaint. Pursuant to our amended complaint, we are seeking (1) relief under the federal antitrust laws for violations by Rambus of Section 2 of the Sherman Act; (2) a declaratory judgment that (a) certain Rambus patents are not infringed, are invalid and/or are unenforceable, (b) we have an implied license to Rambus’ patents, and (c) Rambus is estopped from enforcing its patents against us because of its conduct in the Joint Electron Device Engineering Council standards setting body; and (3) damages and declaratory relief for Rambus’ breach of contract, fraud, deceptive trade practices, negligent misrepresentation, and conduct requiring the application of equitable estoppel. On February 15, 2001, Rambus filed an answer and counterclaim denying that we are entitled to relief and has alleged willful infringement by us of eight Rambus patents. In addition, Rambus has filed lawsuits against the Company in Italy, Germany, France and the United Kingdom alleging infringement of certain Rambus European patents. We are unable to predict the outcome of the Rambus suits or of other assertions of infringement that have been made, or may in the future be made against us. A court determination that our manufacturing processes or products infringe the product or process rights of others could result in significant liability and/or require us to make material changes to our products and/or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manufacturing processes. Any of the foregoing results could have a material adverse effect on our business, results of operations or financial condition.</w:t>
      </w:r>
    </w:p>
    <w:p>
      <w:pPr>
        <w:spacing w:after="0" w:line="225"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Allegations of anticompetitive practices.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On June 17, 2002, we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We are cooperating fully and actively with the DOJ in its investigation. Subsequent to the commencement of the DOJ investigation, twenty-four purported class action lawsuits were filed against us and other DRAM suppliers in various federal and state courts alleging violations of the Federal Sherman Antitrust Act or California’s Cartwright Antitrust Act and Unfair Competition Law relating to the sale and pricing of DRAM products. The complaints seek treble damages for the alleged damages sustained by purported class members, in addition to restitution, costs and attorneys’ fees, as well as an injunction against the allegedly unlawful conduct. There can be no assurance that additional purported class action lawsuits will not be filed against us, either within or without the United States. We are unable to predict the outcome of these suits. Based upon our analysis of the claims made and the nature of the DRAM industry, we believe that class treatment of these cases is not appropriate and that any purported injury alleged by plaintiffs would be more appropriately resolved on a customer-by-customer basis. We cannot assure you that the final resolution of these alleged violations of federal or state antitrust laws will not result in significant liability and not have a material adverse effect on our results of operations and financial condition.</w:t>
      </w:r>
    </w:p>
    <w:p>
      <w:pPr>
        <w:spacing w:after="0" w:line="18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successfully transition our operations to 300 mm wafer processing at the appropriate time, our results of operations, cash flows and financial condition could be adversely affected.</w:t>
      </w:r>
    </w:p>
    <w:p>
      <w:pPr>
        <w:spacing w:after="0" w:line="15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have in the past reduced our per megabit manufacturing costs by transitioning to larger wafer sizes. By transitioning to larger wafers, we should be able to produce significantly more die for each wafer, resulting in substantially reduced costs for each die. Our transition to 300 mm wafer processing across a significant portion of our operations will require us to make substantial capital investments, which will depend on our ability to generate funds from operations or to obtain additional funds from external sources. We may also experience disruptions in manufacturing operations and reduced yields during our transition to larger wafer sizes. If we are unable to successfully transition to 300 mm wafer processing at the appropriate time, we could be at a cost disadvantage with respect to our competitors and our results of operations, cash flows and financial condition could be adversely affected.</w:t>
      </w:r>
    </w:p>
    <w:p>
      <w:pPr>
        <w:sectPr>
          <w:pgSz w:w="11900" w:h="16840" w:orient="portrait"/>
          <w:cols w:equalWidth="0" w:num="1">
            <w:col w:w="11420"/>
          </w:cols>
          <w:pgMar w:left="240" w:top="121" w:right="239" w:bottom="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New product development may not be successful.</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are developing new products that complement our traditional memory products or leverage their underlying design or process technology. We anticipate expending significant resources for new semiconductor product development over the next several years. There can be no assurance that our product development efforts will be successful, that we will be able to cost-effectively manufacture these new products or that we will be able to successfully market these products.</w:t>
      </w:r>
    </w:p>
    <w:p>
      <w:pPr>
        <w:spacing w:after="0" w:line="1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We face risks associated with our international sales and operations that could adversely affect our results of operations, cash flows and financial condition.</w:t>
      </w:r>
    </w:p>
    <w:p>
      <w:pPr>
        <w:spacing w:after="0" w:line="15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Sales to customers outside the United States approximated 55% of our consolidated net sales in the third quarter of 2003. In addition, we have or support manufacturing operations in Italy, Japan, Puerto Rico, Scotland and Singapore. Our international sales and operations are subject to a variety of risks, including:</w:t>
      </w:r>
    </w:p>
    <w:p>
      <w:pPr>
        <w:spacing w:after="0" w:line="203" w:lineRule="exact"/>
        <w:rPr>
          <w:sz w:val="20"/>
          <w:szCs w:val="20"/>
          <w:color w:val="auto"/>
        </w:rPr>
      </w:pPr>
    </w:p>
    <w:p>
      <w:pPr>
        <w:ind w:left="5620" w:right="1860" w:hanging="4964"/>
        <w:spacing w:after="0" w:line="479" w:lineRule="auto"/>
        <w:tabs>
          <w:tab w:leader="none" w:pos="97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currency fluctuations, export duties, changes to import and export regulations, and restrictions on the transfer of funds, 23</w:t>
      </w:r>
    </w:p>
    <w:p>
      <w:pPr>
        <w:spacing w:after="0" w:line="373"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political and economic instability,</w:t>
      </w:r>
    </w:p>
    <w:p>
      <w:pPr>
        <w:spacing w:after="0" w:line="206"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problems with the transportation or delivery of our products,</w:t>
      </w:r>
    </w:p>
    <w:p>
      <w:pPr>
        <w:spacing w:after="0" w:line="206"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issues arising from cultural or language differences and labor unrest,</w:t>
      </w:r>
    </w:p>
    <w:p>
      <w:pPr>
        <w:spacing w:after="0" w:line="206"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longer payment cycles and greater difficulty in collecting accounts receivable, and</w:t>
      </w:r>
    </w:p>
    <w:p>
      <w:pPr>
        <w:spacing w:after="0" w:line="206"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compliance with trade and other laws in a variety of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-1664970</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factors may adversely affect our results of operations, cash flows and financial condition.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our manufacturing process is disrupted, our results of operations, cash flows and financial condition could be adversely affected.</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We manufacture products using highly complex processes that require technologically advanced equipment and continuous modification to improve yields and performance. Difficulties in the manufacturing process can reduce yields or disrupt production and may increase our per megabit manufacturing costs. From time to time, we have experienced minor disruptions in our manufacturing process as a result of power outages.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loss of revenues or damage to customer relationships.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Disruptions in our supply of raw materials could adversely affect our results of operations, cash flows and financial condition.</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 Shortages may occur from time to time in the future. In addition, any transportation problems could delay our receipt of raw materials. Lead times for the supply of raw materials have been extended in the past. If our supply of raw materials is disrupted or our lead times extended, our results of operations, cash flows and financial condition could be adversely affected.</w:t>
      </w:r>
    </w:p>
    <w:p>
      <w:pPr>
        <w:spacing w:after="0" w:line="180" w:lineRule="exact"/>
        <w:rPr>
          <w:sz w:val="20"/>
          <w:szCs w:val="20"/>
          <w:color w:val="auto"/>
        </w:rPr>
      </w:pPr>
    </w:p>
    <w:p>
      <w:pPr>
        <w:ind w:right="300"/>
        <w:spacing w:after="0" w:line="317" w:lineRule="auto"/>
        <w:rPr>
          <w:sz w:val="20"/>
          <w:szCs w:val="20"/>
          <w:color w:val="auto"/>
        </w:rPr>
      </w:pPr>
      <w:r>
        <w:rPr>
          <w:rFonts w:ascii="Times New Roman" w:cs="Times New Roman" w:eastAsia="Times New Roman" w:hAnsi="Times New Roman"/>
          <w:sz w:val="17"/>
          <w:szCs w:val="17"/>
          <w:b w:val="1"/>
          <w:bCs w:val="1"/>
          <w:color w:val="auto"/>
        </w:rPr>
        <w:t>Products that do not meet specifications or that contain, or are perceived by our customers to contain, defects or that are otherwise incompatible with end uses could impose significant costs on us or otherwise adversely affect our results of operations, cash flows and financial condition.</w:t>
      </w:r>
    </w:p>
    <w:p>
      <w:pPr>
        <w:spacing w:after="0" w:line="136"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the following ways:</w:t>
      </w:r>
    </w:p>
    <w:p>
      <w:pPr>
        <w:spacing w:after="0" w:line="207" w:lineRule="exact"/>
        <w:rPr>
          <w:sz w:val="20"/>
          <w:szCs w:val="20"/>
          <w:color w:val="auto"/>
        </w:rPr>
      </w:pPr>
    </w:p>
    <w:p>
      <w:pPr>
        <w:ind w:left="980" w:right="40" w:hanging="324"/>
        <w:spacing w:after="0" w:line="235" w:lineRule="auto"/>
        <w:tabs>
          <w:tab w:leader="none" w:pos="97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may need to replace product or otherwise compensate customers for costs incurred or damages caused by defective or incompatible product, and</w:t>
      </w:r>
    </w:p>
    <w:p>
      <w:pPr>
        <w:spacing w:after="0" w:line="206"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may encounter adverse publicity, which could cause a decrease in sales of our products.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expect to make future acquisitions where advisable, which involve numerous risks.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expect to make future acquisitions where we believe it is advisable to enhance our market position. Acquisitions involve numerous risks, including:</w:t>
      </w:r>
    </w:p>
    <w:p>
      <w:pPr>
        <w:spacing w:after="0" w:line="252" w:lineRule="exact"/>
        <w:rPr>
          <w:sz w:val="20"/>
          <w:szCs w:val="20"/>
          <w:color w:val="auto"/>
        </w:rPr>
      </w:pPr>
    </w:p>
    <w:p>
      <w:pPr>
        <w:ind w:left="5620" w:right="3380" w:hanging="4964"/>
        <w:spacing w:after="0" w:line="479" w:lineRule="auto"/>
        <w:tabs>
          <w:tab w:leader="none" w:pos="971"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increasing our exposure to changes in average selling prices for semiconductor memory products, 24</w:t>
      </w:r>
    </w:p>
    <w:p>
      <w:pPr>
        <w:spacing w:after="0" w:line="386"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difficulties in integrating the operations, technologies, and products of the acquired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-507365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333" w:right="279" w:bottom="0" w:gutter="0" w:footer="0" w:header="0"/>
        </w:sectPr>
      </w:pPr>
    </w:p>
    <w:bookmarkStart w:id="16" w:name="page17"/>
    <w:bookmarkEnd w:id="16"/>
    <w:p>
      <w:pPr>
        <w:ind w:left="980" w:hanging="324"/>
        <w:spacing w:after="0"/>
        <w:tabs>
          <w:tab w:leader="none" w:pos="9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increasing capital expenditures to upgrade and maintain facilities,</w:t>
      </w:r>
    </w:p>
    <w:p>
      <w:pPr>
        <w:spacing w:after="0" w:line="206"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increasing debt to finance any acquisition,</w:t>
      </w:r>
    </w:p>
    <w:p>
      <w:pPr>
        <w:spacing w:after="0" w:line="206"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diverting management’s attention from normal daily operations,</w:t>
      </w:r>
    </w:p>
    <w:p>
      <w:pPr>
        <w:spacing w:after="0" w:line="206"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managing larger operations and facilities and employees in separate geographic areas, and</w:t>
      </w:r>
    </w:p>
    <w:p>
      <w:pPr>
        <w:spacing w:after="0" w:line="206"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hiring and retaining key employees.</w:t>
      </w:r>
    </w:p>
    <w:p>
      <w:pPr>
        <w:spacing w:after="0" w:line="198"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Mergers and acquisitions of high-technology companies are inherently risky, and future acquisitions may not be successful and may materially adversely affect our results of operations, cash flows or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investments and debt are at fixed interest rates; therefore, the fair value of these instruments is affected by changes in market interest rates. The Company believes that the market risk arising from its holdings of investments is minimal as the Company’s investments generally mature within one year. The carrying value of the Company’s debt was $1,097 million at May 29, 2003, and $454 million at August 29, 2002.</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functional currency for substantially all of the Company’s operations is the U.S. dollar. The Company held aggregate cash and other assets in foreign currency valued at approximately U.S. $187 million as of May 29, 2003, and U.S. $220 million as of August 29, 2002 (including deferred income tax assets denominated in Japanese Yen valued at approximately U.S. $114 million as of May 29, 2003, and U.S. $165 million as of August 29, 2002). The Company also held aggregate foreign currency liabilities valued at approximately U.S. $467 million as of May 29, 2003, and U.S. $434 million as of August 29, 2002 (including debt denominated in Japanese Yen valued at approximately U.S. $172 million as of May 29, 2003, and U.S. $233 million as of August 29, 2002). Foreign currency receivables and payables were comprised primarily of Japanese Yen, Euros, Singapore Dollars and British Pounds.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As of a date within the 90-day period prior to the filing date of this report, an evaluation was carried out under the supervision and with the participation of the Company’s management, including its Chief Executive Officer and Chief Financial Officer, of the effectiveness of the design and operation of the Company’s disclosure controls and procedures (as defined in Rule 13a-14 and 15d-14 under the Securities Exchange Act of 1934). Based upon that evaluation, the Chief Executive Officer and Chief Financial Officer concluded that those disclosure controls and procedures were adequate to ensure that material information required to be disclosed by the Company in the reports that it files or submits under the Exchange Act is recorded, processed, summarized and reported, within the time periods specified in the Commission’s rules and forms.</w:t>
      </w:r>
    </w:p>
    <w:p>
      <w:pPr>
        <w:spacing w:after="0" w:line="188"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There were no significant changes in the Company’s internal controls or in other factors that could significantly affect these controls subsequent to the date of their evaluation. There were no significant deficiencies or material weaknesses noted during the evaluation, and therefore no corrective actions were taken.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40" w:firstLine="324"/>
        <w:spacing w:after="0" w:line="251" w:lineRule="auto"/>
        <w:rPr>
          <w:sz w:val="20"/>
          <w:szCs w:val="20"/>
          <w:color w:val="auto"/>
        </w:rPr>
      </w:pPr>
      <w:r>
        <w:rPr>
          <w:rFonts w:ascii="Times New Roman" w:cs="Times New Roman" w:eastAsia="Times New Roman" w:hAnsi="Times New Roman"/>
          <w:sz w:val="18"/>
          <w:szCs w:val="18"/>
          <w:color w:val="auto"/>
        </w:rPr>
        <w:t>On August 28, 2000, the Company filed a declaratory judgment action against Rambus, Inc. (“Rambus”) in U.S. District Court for the District of Delaware. On February 1, 2001, the Company amended its complaint. Pursuant to its amended complaint, the Company is seeking (1) relief under the federal antitrust laws for violations by Rambus of Section 2 of the Sherman Act; (2) a declaratory judgment (a) that certain Rambus patents are not infringed by the Company, are invalid, and/or are unenforceable due to, among other reasons, Rambus’ fraudulent conduct in misusing and enforcing those patents, (b) that the Company has an implied license to those patents and (c) that Rambus is estopped from enforcing those patents against the Company because of its conduct in the Joint Electron Device Engineering Council, and (3) damages and declaratory relief for Rambus’ breach of contract, fraud, deceptive trade practices, negligent misrepresentation, and conduct requiring the application of equitable estoppel. On February 15, 2001, Rambus filed an answer and counterclaim against the Company in Delaware denying the Company is entitled to relief and alleging infringement of eight Rambus patents subject to the Company’s declaratory judgment action. On September 1, 2000, Rambus filed suit against Micron Semiconductor GmbH in the District Court of Mannheim, Germany, alleging that certain SDRAM and DDR SDRAM products infringe German patent and utility model counterparts to European patent 525 068. On September 13, 2000, Rambus filed suit against Micron Europe Limited in the High Court of Justice, Chancery Division in London, England, alleging that certain SDRAM and DDR SDRAM products infringe the U.K. counterpart to European patent 525 068. On September 22, 2000, Rambus filed a complaint against the Company and Reptronic (a distributor of the Company’s products) in Court of First Instance of Paris, France, alleging that certain SDRAM and DDR SDRAM products infringe the French counterpart to European patent 525 068. In its suits against the Company, Rambus is seeking monetary damages and injunctive relief. On September 29, 2000, the Company filed suit against Rambus in the Civil Court of Milan, Italy, alleging invalidity and non-infringement of the Italian counterpart to European patent 525 068. On September 29, 2000, Rambus filed a preliminary proceeding against the Company and EBV (a distributor of the Company’s products) in the Civil Court of Monza, Italy, alleging that certain SDRAM products infringe the Italian counterpart to European patent 525 068, and seeking the seizure of certain materials and the entry of a preliminary injunction as to products manufactured at the Company’s Avezzano, Italy, site. On December 21, 2000, an appeals panel of the Court of Monza held that the Monza trial court had no jurisdiction to adjudicate the seizure matter. The Monza trial court ordered that technical review proceedings continue with respect to the issue of preliminary injunction. On May 24, 2001, the trial court rejected Rambus’ assertions of infringement and denied its request for a preliminary injunction. Rambus’ appeal from the trial judge’s ruling was rejected by the Monza appeals panel on July 18, 2001. On December 29, 2000, the Company filed suit against Rambus in the Civil Court of Avezzano, Italy, alleging invalidity and non-infringement of the Italian counterpart to European patent 1 004 956. On August 10, 2001, Rambus filed suit against the Company and Assitec (an electronics retailer) in the Civil Court of Pavia, Italy, alleging that certain DDR SDRAM products infringe the Italian counterpart to European patent 1 022 642. The Company is unable to predict the outcome of these suits. A court determination that the Company’s manufacturing processes or products infringe the product or process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ectPr>
          <w:pgSz w:w="11900" w:h="16838" w:orient="portrait"/>
          <w:cols w:equalWidth="0" w:num="1">
            <w:col w:w="11400"/>
          </w:cols>
          <w:pgMar w:left="240" w:top="130" w:right="259" w:bottom="0" w:gutter="0" w:footer="0" w:header="0"/>
        </w:sectPr>
      </w:pPr>
    </w:p>
    <w:bookmarkStart w:id="17" w:name="page18"/>
    <w:bookmarkEnd w:id="17"/>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Subsequent to the commencement of the DOJ investigation, a number of purported class action lawsuits were filed against the Company and other DRAM suppliers. Sixteen cases were filed between June 21, 2002, and September 19, 2002, in the following federal district courts: one in the Southern District of New York, five in the District of Idaho, and ten in the Northern District of California. Each of the federal district court cases purports to be on behalf of a class of individuals and entities who purchased DRAM directly from the various DRAM suppliers during a specified time period commencing on or after October 1, 2001. The complaints allege price-fixing in violation of the Sherman Act and seek treble damages in unspecified amounts, costs, attorneys’ fees, and an injunction against the allegedly unlawful conduct. On September 26, 2002, the Judicial Panel on Multi-District Litigation (“JPML”) held a hearing and subsequently ordered that the foregoing federal cases be transferred to the U.S. District Court for the Northern</w:t>
      </w:r>
    </w:p>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District of California (San Francisco) for coordinated or consolidated pretrial proceedings. Eight additional cases were filed between August 2, 2002, and March 11, 2003, in the following California state superior courts: five in San Francisco County, one in Santa Clara County, one in Los Angeles County, and one in Humbolt County. Each of the California state cases purports to be on behalf of a class of individuals and entities who indirectly purchased DRAM during a specified time period commencing December 1, 2001. The complaints allege violations of California’s Cartwright Act and Unfair Competition Law and unjust enrichment and seek treble damages in unspecified amounts, restitution, costs, attorneys’ fees, and an injunction against the allegedly unlawful conduct. In response to a petition filed by one of the plaintiffs, a judge appointed by the Judicial Council of California subsequently ordered that the then-pending state cases be coordinated for pretrial purposes and recommended that they be transferred to San Francisco County Superior Court for coordinated or consolidated pretrial proceedings. The Company is unable to predict the outcome of these suits. Based upon the Company’s analysis of the claims made and the nature of the DRAM industry, the Company believes that class treatment of these cases is not appropriate and that any purported injury alleged by plaintiffs would be more appropriately resolved on a customer-by-customer basis. The Company can give no assurance that the final resolution will not result in significant liability and will not have a material adverse effect on the Company’s results of operations and financial condition.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 and Reports on Form 8-K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are filed as a part of this report:</w:t>
      </w:r>
    </w:p>
    <w:p>
      <w:pPr>
        <w:spacing w:after="0" w:line="206"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380" w:type="dxa"/>
            <w:vAlign w:val="bottom"/>
            <w:vMerge w:val="restart"/>
          </w:tcPr>
          <w:p>
            <w:pPr>
              <w:ind w:left="40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108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8"/>
                <w:szCs w:val="18"/>
                <w:color w:val="auto"/>
              </w:rPr>
              <w:t>3.7</w:t>
            </w:r>
          </w:p>
        </w:tc>
        <w:tc>
          <w:tcPr>
            <w:tcW w:w="380" w:type="dxa"/>
            <w:vAlign w:val="bottom"/>
          </w:tcPr>
          <w:p>
            <w:pPr>
              <w:spacing w:after="0"/>
              <w:rPr>
                <w:sz w:val="24"/>
                <w:szCs w:val="24"/>
                <w:color w:val="auto"/>
              </w:rPr>
            </w:pPr>
          </w:p>
        </w:tc>
        <w:tc>
          <w:tcPr>
            <w:tcW w:w="9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Bylaws of the Registrant, as amended</w:t>
            </w:r>
          </w:p>
        </w:tc>
        <w:tc>
          <w:tcPr>
            <w:tcW w:w="0" w:type="dxa"/>
            <w:vAlign w:val="bottom"/>
          </w:tcPr>
          <w:p>
            <w:pPr>
              <w:spacing w:after="0"/>
              <w:rPr>
                <w:sz w:val="1"/>
                <w:szCs w:val="1"/>
                <w:color w:val="auto"/>
              </w:rPr>
            </w:pPr>
          </w:p>
        </w:tc>
      </w:tr>
      <w:tr>
        <w:trPr>
          <w:trHeight w:val="234"/>
        </w:trPr>
        <w:tc>
          <w:tcPr>
            <w:tcW w:w="1080" w:type="dxa"/>
            <w:vAlign w:val="bottom"/>
          </w:tcPr>
          <w:p>
            <w:pPr>
              <w:jc w:val="right"/>
              <w:ind w:right="539"/>
              <w:spacing w:after="0"/>
              <w:rPr>
                <w:sz w:val="20"/>
                <w:szCs w:val="20"/>
                <w:color w:val="auto"/>
              </w:rPr>
            </w:pPr>
            <w:r>
              <w:rPr>
                <w:rFonts w:ascii="Times New Roman" w:cs="Times New Roman" w:eastAsia="Times New Roman" w:hAnsi="Times New Roman"/>
                <w:sz w:val="18"/>
                <w:szCs w:val="18"/>
                <w:color w:val="auto"/>
              </w:rPr>
              <w:t>99.1</w:t>
            </w:r>
          </w:p>
        </w:tc>
        <w:tc>
          <w:tcPr>
            <w:tcW w:w="380" w:type="dxa"/>
            <w:vAlign w:val="bottom"/>
          </w:tcPr>
          <w:p>
            <w:pPr>
              <w:spacing w:after="0"/>
              <w:rPr>
                <w:sz w:val="20"/>
                <w:szCs w:val="20"/>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The registrant filed the following reports on Form 8-K during the fiscal quarter ended May 29, 2003: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60" w:type="dxa"/>
            <w:vAlign w:val="bottom"/>
          </w:tcPr>
          <w:p>
            <w:pPr>
              <w:spacing w:after="0"/>
              <w:rPr>
                <w:sz w:val="15"/>
                <w:szCs w:val="15"/>
                <w:color w:val="auto"/>
              </w:rPr>
            </w:pPr>
          </w:p>
        </w:tc>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420" w:type="dxa"/>
            <w:vAlign w:val="bottom"/>
          </w:tcPr>
          <w:p>
            <w:pPr>
              <w:spacing w:after="0"/>
              <w:rPr>
                <w:sz w:val="15"/>
                <w:szCs w:val="15"/>
                <w:color w:val="auto"/>
              </w:rPr>
            </w:pPr>
          </w:p>
        </w:tc>
        <w:tc>
          <w:tcPr>
            <w:tcW w:w="2520" w:type="dxa"/>
            <w:vAlign w:val="bottom"/>
            <w:tcBorders>
              <w:bottom w:val="single" w:sz="8" w:color="auto"/>
            </w:tcBorders>
          </w:tcPr>
          <w:p>
            <w:pPr>
              <w:jc w:val="right"/>
              <w:ind w:right="1034"/>
              <w:spacing w:after="0"/>
              <w:rPr>
                <w:sz w:val="20"/>
                <w:szCs w:val="20"/>
                <w:color w:val="auto"/>
              </w:rPr>
            </w:pPr>
            <w:r>
              <w:rPr>
                <w:rFonts w:ascii="Times New Roman" w:cs="Times New Roman" w:eastAsia="Times New Roman" w:hAnsi="Times New Roman"/>
                <w:sz w:val="14"/>
                <w:szCs w:val="14"/>
                <w:b w:val="1"/>
                <w:bCs w:val="1"/>
                <w:color w:val="auto"/>
              </w:rPr>
              <w:t>Item</w:t>
            </w:r>
          </w:p>
        </w:tc>
        <w:tc>
          <w:tcPr>
            <w:tcW w:w="4620" w:type="dxa"/>
            <w:vAlign w:val="bottom"/>
          </w:tcPr>
          <w:p>
            <w:pPr>
              <w:spacing w:after="0"/>
              <w:rPr>
                <w:sz w:val="15"/>
                <w:szCs w:val="15"/>
                <w:color w:val="auto"/>
              </w:rPr>
            </w:pPr>
          </w:p>
        </w:tc>
      </w:tr>
      <w:tr>
        <w:trPr>
          <w:trHeight w:val="407"/>
        </w:trPr>
        <w:tc>
          <w:tcPr>
            <w:tcW w:w="1760" w:type="dxa"/>
            <w:vAlign w:val="bottom"/>
          </w:tcPr>
          <w:p>
            <w:pPr>
              <w:spacing w:after="0"/>
              <w:rPr>
                <w:sz w:val="24"/>
                <w:szCs w:val="24"/>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25, 2003</w:t>
            </w:r>
          </w:p>
        </w:tc>
        <w:tc>
          <w:tcPr>
            <w:tcW w:w="252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w w:val="98"/>
              </w:rPr>
              <w:t>Item 5, Other Events</w:t>
            </w:r>
          </w:p>
        </w:tc>
        <w:tc>
          <w:tcPr>
            <w:tcW w:w="4620" w:type="dxa"/>
            <w:vAlign w:val="bottom"/>
          </w:tcPr>
          <w:p>
            <w:pPr>
              <w:spacing w:after="0"/>
              <w:rPr>
                <w:sz w:val="24"/>
                <w:szCs w:val="24"/>
                <w:color w:val="auto"/>
              </w:rPr>
            </w:pPr>
          </w:p>
        </w:tc>
      </w:tr>
      <w:tr>
        <w:trPr>
          <w:trHeight w:val="234"/>
        </w:trPr>
        <w:tc>
          <w:tcPr>
            <w:tcW w:w="1760" w:type="dxa"/>
            <w:vAlign w:val="bottom"/>
          </w:tcPr>
          <w:p>
            <w:pPr>
              <w:spacing w:after="0"/>
              <w:rPr>
                <w:sz w:val="20"/>
                <w:szCs w:val="20"/>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 2003</w:t>
            </w:r>
          </w:p>
        </w:tc>
        <w:tc>
          <w:tcPr>
            <w:tcW w:w="252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w w:val="98"/>
              </w:rPr>
              <w:t>Item 5, Other Events</w:t>
            </w:r>
          </w:p>
        </w:tc>
        <w:tc>
          <w:tcPr>
            <w:tcW w:w="4620" w:type="dxa"/>
            <w:vAlign w:val="bottom"/>
          </w:tcPr>
          <w:p>
            <w:pPr>
              <w:spacing w:after="0"/>
              <w:rPr>
                <w:sz w:val="20"/>
                <w:szCs w:val="20"/>
                <w:color w:val="auto"/>
              </w:rPr>
            </w:pPr>
          </w:p>
        </w:tc>
      </w:tr>
      <w:tr>
        <w:trPr>
          <w:trHeight w:val="432"/>
        </w:trPr>
        <w:tc>
          <w:tcPr>
            <w:tcW w:w="1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2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rPr>
              <w:t>27</w:t>
            </w:r>
          </w:p>
        </w:tc>
        <w:tc>
          <w:tcPr>
            <w:tcW w:w="4620" w:type="dxa"/>
            <w:vAlign w:val="bottom"/>
          </w:tcPr>
          <w:p>
            <w:pPr>
              <w:spacing w:after="0"/>
              <w:rPr>
                <w:sz w:val="24"/>
                <w:szCs w:val="24"/>
                <w:color w:val="auto"/>
              </w:rPr>
            </w:pPr>
          </w:p>
        </w:tc>
      </w:tr>
      <w:tr>
        <w:trPr>
          <w:trHeight w:val="105"/>
        </w:trPr>
        <w:tc>
          <w:tcPr>
            <w:tcW w:w="176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46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Micron Technology, Inc.</w:t>
            </w:r>
          </w:p>
        </w:tc>
        <w:tc>
          <w:tcPr>
            <w:tcW w:w="20" w:type="dxa"/>
            <w:vAlign w:val="bottom"/>
          </w:tcPr>
          <w:p>
            <w:pPr>
              <w:spacing w:after="0"/>
              <w:rPr>
                <w:sz w:val="20"/>
                <w:szCs w:val="20"/>
                <w:color w:val="auto"/>
              </w:rPr>
            </w:pPr>
          </w:p>
        </w:tc>
      </w:tr>
      <w:tr>
        <w:trPr>
          <w:trHeight w:val="228"/>
        </w:trPr>
        <w:tc>
          <w:tcPr>
            <w:tcW w:w="37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c>
          <w:tcPr>
            <w:tcW w:w="20" w:type="dxa"/>
            <w:vAlign w:val="bottom"/>
          </w:tcPr>
          <w:p>
            <w:pPr>
              <w:spacing w:after="0"/>
              <w:rPr>
                <w:sz w:val="19"/>
                <w:szCs w:val="19"/>
                <w:color w:val="auto"/>
              </w:rPr>
            </w:pPr>
          </w:p>
        </w:tc>
      </w:tr>
      <w:tr>
        <w:trPr>
          <w:trHeight w:val="6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Dated: July 11, 2003</w:t>
            </w:r>
          </w:p>
        </w:tc>
        <w:tc>
          <w:tcPr>
            <w:tcW w:w="3140" w:type="dxa"/>
            <w:vAlign w:val="bottom"/>
          </w:tcPr>
          <w:p>
            <w:pPr>
              <w:spacing w:after="0"/>
              <w:rPr>
                <w:sz w:val="24"/>
                <w:szCs w:val="24"/>
                <w:color w:val="auto"/>
              </w:rPr>
            </w:pP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W. G. Stover, Jr.</w:t>
            </w:r>
          </w:p>
        </w:tc>
        <w:tc>
          <w:tcPr>
            <w:tcW w:w="20" w:type="dxa"/>
            <w:vAlign w:val="bottom"/>
          </w:tcPr>
          <w:p>
            <w:pPr>
              <w:spacing w:after="0"/>
              <w:rPr>
                <w:sz w:val="24"/>
                <w:szCs w:val="24"/>
                <w:color w:val="auto"/>
              </w:rPr>
            </w:pPr>
          </w:p>
        </w:tc>
      </w:tr>
      <w:tr>
        <w:trPr>
          <w:trHeight w:val="191"/>
        </w:trPr>
        <w:tc>
          <w:tcPr>
            <w:tcW w:w="37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 G. Stover, Jr., Vice President of Finance and</w:t>
            </w:r>
          </w:p>
        </w:tc>
        <w:tc>
          <w:tcPr>
            <w:tcW w:w="20" w:type="dxa"/>
            <w:vAlign w:val="bottom"/>
          </w:tcPr>
          <w:p>
            <w:pPr>
              <w:spacing w:after="0"/>
              <w:rPr>
                <w:sz w:val="16"/>
                <w:szCs w:val="16"/>
                <w:color w:val="auto"/>
              </w:rPr>
            </w:pPr>
          </w:p>
        </w:tc>
      </w:tr>
      <w:tr>
        <w:trPr>
          <w:trHeight w:val="216"/>
        </w:trPr>
        <w:tc>
          <w:tcPr>
            <w:tcW w:w="37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2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20" w:type="dxa"/>
            <w:vAlign w:val="bottom"/>
          </w:tcPr>
          <w:p>
            <w:pPr>
              <w:spacing w:after="0"/>
              <w:rPr>
                <w:sz w:val="20"/>
                <w:szCs w:val="20"/>
                <w:color w:val="auto"/>
              </w:rPr>
            </w:pPr>
          </w:p>
        </w:tc>
      </w:tr>
      <w:tr>
        <w:trPr>
          <w:trHeight w:val="432"/>
        </w:trPr>
        <w:tc>
          <w:tcPr>
            <w:tcW w:w="3740" w:type="dxa"/>
            <w:vAlign w:val="bottom"/>
          </w:tcPr>
          <w:p>
            <w:pPr>
              <w:spacing w:after="0"/>
              <w:rPr>
                <w:sz w:val="24"/>
                <w:szCs w:val="24"/>
                <w:color w:val="auto"/>
              </w:rPr>
            </w:pPr>
          </w:p>
        </w:tc>
        <w:tc>
          <w:tcPr>
            <w:tcW w:w="31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28</w:t>
            </w:r>
          </w:p>
        </w:tc>
        <w:tc>
          <w:tcPr>
            <w:tcW w:w="4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1"/>
        </w:trPr>
        <w:tc>
          <w:tcPr>
            <w:tcW w:w="3740" w:type="dxa"/>
            <w:vAlign w:val="bottom"/>
            <w:tcBorders>
              <w:bottom w:val="single" w:sz="8" w:color="808080"/>
            </w:tcBorders>
          </w:tcPr>
          <w:p>
            <w:pPr>
              <w:spacing w:after="0"/>
              <w:rPr>
                <w:sz w:val="7"/>
                <w:szCs w:val="7"/>
                <w:color w:val="auto"/>
              </w:rPr>
            </w:pPr>
          </w:p>
        </w:tc>
        <w:tc>
          <w:tcPr>
            <w:tcW w:w="7680" w:type="dxa"/>
            <w:vAlign w:val="bottom"/>
            <w:tcBorders>
              <w:bottom w:val="single" w:sz="8" w:color="808080"/>
            </w:tcBorders>
            <w:gridSpan w:val="2"/>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r>
        <w:trPr>
          <w:trHeight w:val="740"/>
        </w:trPr>
        <w:tc>
          <w:tcPr>
            <w:tcW w:w="3740" w:type="dxa"/>
            <w:vAlign w:val="bottom"/>
          </w:tcPr>
          <w:p>
            <w:pPr>
              <w:spacing w:after="0"/>
              <w:rPr>
                <w:sz w:val="24"/>
                <w:szCs w:val="24"/>
                <w:color w:val="auto"/>
              </w:rPr>
            </w:pPr>
          </w:p>
        </w:tc>
        <w:tc>
          <w:tcPr>
            <w:tcW w:w="7680" w:type="dxa"/>
            <w:vAlign w:val="bottom"/>
            <w:gridSpan w:val="2"/>
          </w:tcPr>
          <w:p>
            <w:pPr>
              <w:jc w:val="center"/>
              <w:ind w:right="3650"/>
              <w:spacing w:after="0"/>
              <w:rPr>
                <w:sz w:val="20"/>
                <w:szCs w:val="20"/>
                <w:color w:val="auto"/>
              </w:rPr>
            </w:pPr>
            <w:r>
              <w:rPr>
                <w:rFonts w:ascii="Times New Roman" w:cs="Times New Roman" w:eastAsia="Times New Roman" w:hAnsi="Times New Roman"/>
                <w:sz w:val="18"/>
                <w:szCs w:val="18"/>
                <w:b w:val="1"/>
                <w:bCs w:val="1"/>
                <w:color w:val="auto"/>
                <w:w w:val="99"/>
              </w:rPr>
              <w:t>CERTIFICATION</w:t>
            </w:r>
          </w:p>
        </w:tc>
        <w:tc>
          <w:tcPr>
            <w:tcW w:w="20" w:type="dxa"/>
            <w:vAlign w:val="bottom"/>
          </w:tcPr>
          <w:p>
            <w:pPr>
              <w:spacing w:after="0"/>
              <w:rPr>
                <w:sz w:val="24"/>
                <w:szCs w:val="24"/>
                <w:color w:val="auto"/>
              </w:rPr>
            </w:pP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 Steven R. Appleton, certify that:</w:t>
            </w:r>
          </w:p>
        </w:tc>
        <w:tc>
          <w:tcPr>
            <w:tcW w:w="31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-758190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-758190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Micron Technology, Inc.;</w:t>
      </w:r>
    </w:p>
    <w:p>
      <w:pPr>
        <w:spacing w:after="0" w:line="225" w:lineRule="exact"/>
        <w:rPr>
          <w:rFonts w:ascii="Times New Roman" w:cs="Times New Roman" w:eastAsia="Times New Roman" w:hAnsi="Times New Roman"/>
          <w:sz w:val="18"/>
          <w:szCs w:val="18"/>
          <w:color w:val="auto"/>
        </w:rPr>
      </w:pPr>
    </w:p>
    <w:p>
      <w:pPr>
        <w:ind w:left="340" w:right="200" w:hanging="332"/>
        <w:spacing w:after="0" w:line="266" w:lineRule="auto"/>
        <w:tabs>
          <w:tab w:leader="none" w:pos="35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ectPr>
          <w:pgSz w:w="11900" w:h="16838" w:orient="portrait"/>
          <w:cols w:equalWidth="0" w:num="1">
            <w:col w:w="11440"/>
          </w:cols>
          <w:pgMar w:left="240" w:top="121" w:right="219" w:bottom="0" w:gutter="0" w:footer="0" w:header="0"/>
        </w:sectPr>
      </w:pPr>
    </w:p>
    <w:bookmarkStart w:id="18" w:name="page19"/>
    <w:bookmarkEnd w:id="18"/>
    <w:p>
      <w:pPr>
        <w:ind w:left="340" w:right="120" w:hanging="332"/>
        <w:spacing w:after="0" w:line="282" w:lineRule="auto"/>
        <w:tabs>
          <w:tab w:leader="none" w:pos="35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1" w:lineRule="exact"/>
        <w:rPr>
          <w:rFonts w:ascii="Times New Roman" w:cs="Times New Roman" w:eastAsia="Times New Roman" w:hAnsi="Times New Roman"/>
          <w:sz w:val="18"/>
          <w:szCs w:val="18"/>
          <w:color w:val="auto"/>
        </w:rPr>
      </w:pPr>
    </w:p>
    <w:p>
      <w:pPr>
        <w:ind w:left="340" w:right="700" w:hanging="332"/>
        <w:spacing w:after="0" w:line="282" w:lineRule="auto"/>
        <w:tabs>
          <w:tab w:leader="none" w:pos="35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as of a date within 90 days prior to the filing date of this quarterly report (the “Evaluation Date”); and</w:t>
      </w:r>
    </w:p>
    <w:p>
      <w:pPr>
        <w:spacing w:after="0" w:line="16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in this quarterly report our conclusions about the effectiveness of the disclosure controls and procedures based on our evaluation as of the Evaluation Date;</w:t>
      </w:r>
    </w:p>
    <w:p>
      <w:pPr>
        <w:spacing w:after="0" w:line="161"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5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and</w:t>
      </w:r>
    </w:p>
    <w:p>
      <w:pPr>
        <w:spacing w:after="0" w:line="225" w:lineRule="exact"/>
        <w:rPr>
          <w:rFonts w:ascii="Times New Roman" w:cs="Times New Roman" w:eastAsia="Times New Roman" w:hAnsi="Times New Roman"/>
          <w:sz w:val="18"/>
          <w:szCs w:val="18"/>
          <w:color w:val="auto"/>
        </w:rPr>
      </w:pPr>
    </w:p>
    <w:p>
      <w:pPr>
        <w:jc w:val="both"/>
        <w:ind w:left="340" w:right="40" w:hanging="332"/>
        <w:spacing w:after="0" w:line="266" w:lineRule="auto"/>
        <w:tabs>
          <w:tab w:leader="none" w:pos="35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11, 2003</w:t>
      </w:r>
    </w:p>
    <w:p>
      <w:pPr>
        <w:spacing w:after="0" w:line="2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i w:val="1"/>
          <w:iCs w:val="1"/>
          <w:color w:val="auto"/>
        </w:rPr>
        <w:t>/s/ Steven R. Appleton</w:t>
      </w:r>
    </w:p>
    <w:p>
      <w:pPr>
        <w:spacing w:after="0" w:line="2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-130810</wp:posOffset>
            </wp:positionV>
            <wp:extent cx="38849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84930" cy="8890"/>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Wilbur G. Stover, Jr., certify that:</w:t>
      </w:r>
    </w:p>
    <w:p>
      <w:pPr>
        <w:spacing w:after="0" w:line="22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Micron Technology, Inc.;</w:t>
      </w:r>
    </w:p>
    <w:p>
      <w:pPr>
        <w:spacing w:after="0" w:line="225" w:lineRule="exact"/>
        <w:rPr>
          <w:rFonts w:ascii="Times New Roman" w:cs="Times New Roman" w:eastAsia="Times New Roman" w:hAnsi="Times New Roman"/>
          <w:sz w:val="18"/>
          <w:szCs w:val="18"/>
          <w:color w:val="auto"/>
        </w:rPr>
      </w:pPr>
    </w:p>
    <w:p>
      <w:pPr>
        <w:ind w:left="340" w:right="160" w:hanging="332"/>
        <w:spacing w:after="0" w:line="266" w:lineRule="auto"/>
        <w:tabs>
          <w:tab w:leader="none" w:pos="35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6" w:lineRule="exact"/>
        <w:rPr>
          <w:rFonts w:ascii="Times New Roman" w:cs="Times New Roman" w:eastAsia="Times New Roman" w:hAnsi="Times New Roman"/>
          <w:sz w:val="18"/>
          <w:szCs w:val="18"/>
          <w:color w:val="auto"/>
        </w:rPr>
      </w:pPr>
    </w:p>
    <w:p>
      <w:pPr>
        <w:ind w:left="340" w:right="120" w:hanging="332"/>
        <w:spacing w:after="0" w:line="282" w:lineRule="auto"/>
        <w:tabs>
          <w:tab w:leader="none" w:pos="35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1" w:lineRule="exact"/>
        <w:rPr>
          <w:rFonts w:ascii="Times New Roman" w:cs="Times New Roman" w:eastAsia="Times New Roman" w:hAnsi="Times New Roman"/>
          <w:sz w:val="18"/>
          <w:szCs w:val="18"/>
          <w:color w:val="auto"/>
        </w:rPr>
      </w:pPr>
    </w:p>
    <w:p>
      <w:pPr>
        <w:ind w:left="340" w:right="700" w:hanging="332"/>
        <w:spacing w:after="0" w:line="282" w:lineRule="auto"/>
        <w:tabs>
          <w:tab w:leader="none" w:pos="35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as of a date within 90 days prior to the filing date of this quarterly report (the “Evaluation Date”); and</w:t>
      </w:r>
    </w:p>
    <w:p>
      <w:pPr>
        <w:spacing w:after="0" w:line="16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in this quarterly report our conclusions about the effectiveness of the disclosure controls and procedures based on our evaluation as of the Evaluation Date;</w:t>
      </w:r>
    </w:p>
    <w:p>
      <w:pPr>
        <w:spacing w:after="0" w:line="161"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5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and</w:t>
      </w:r>
    </w:p>
    <w:p>
      <w:pPr>
        <w:spacing w:after="0" w:line="225" w:lineRule="exact"/>
        <w:rPr>
          <w:rFonts w:ascii="Times New Roman" w:cs="Times New Roman" w:eastAsia="Times New Roman" w:hAnsi="Times New Roman"/>
          <w:sz w:val="18"/>
          <w:szCs w:val="18"/>
          <w:color w:val="auto"/>
        </w:rPr>
      </w:pPr>
    </w:p>
    <w:p>
      <w:pPr>
        <w:jc w:val="both"/>
        <w:ind w:left="340" w:right="40" w:hanging="332"/>
        <w:spacing w:after="0" w:line="266" w:lineRule="auto"/>
        <w:tabs>
          <w:tab w:leader="none" w:pos="35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11, 2003</w:t>
      </w:r>
    </w:p>
    <w:p>
      <w:pPr>
        <w:sectPr>
          <w:pgSz w:w="11900" w:h="16838" w:orient="portrait"/>
          <w:cols w:equalWidth="0" w:num="1">
            <w:col w:w="11400"/>
          </w:cols>
          <w:pgMar w:left="240" w:top="121" w:right="259" w:bottom="0" w:gutter="0" w:footer="0" w:header="0"/>
        </w:sectPr>
      </w:pPr>
    </w:p>
    <w:bookmarkStart w:id="19" w:name="page20"/>
    <w:bookmarkEnd w:id="19"/>
    <w:p>
      <w:pPr>
        <w:ind w:left="4160"/>
        <w:spacing w:after="0"/>
        <w:rPr>
          <w:sz w:val="20"/>
          <w:szCs w:val="20"/>
          <w:color w:val="auto"/>
        </w:rPr>
      </w:pPr>
      <w:r>
        <w:rPr>
          <w:rFonts w:ascii="Times New Roman" w:cs="Times New Roman" w:eastAsia="Times New Roman" w:hAnsi="Times New Roman"/>
          <w:sz w:val="18"/>
          <w:szCs w:val="18"/>
          <w:i w:val="1"/>
          <w:iCs w:val="1"/>
          <w:color w:val="auto"/>
        </w:rPr>
        <w:t>/s/ W. G. Stover, Jr.</w:t>
      </w:r>
    </w:p>
    <w:p>
      <w:pPr>
        <w:spacing w:after="0" w:line="2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2647950</wp:posOffset>
            </wp:positionH>
            <wp:positionV relativeFrom="paragraph">
              <wp:posOffset>-130810</wp:posOffset>
            </wp:positionV>
            <wp:extent cx="38417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75565</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3.7</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BYLAWS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OFFICES</w:t>
      </w:r>
    </w:p>
    <w:p>
      <w:pPr>
        <w:spacing w:after="0" w:line="225"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color w:val="auto"/>
        </w:rPr>
        <w:t>The registered office shall be 100 West Tenth Street, in the City of Wilmington, County of New Castle, State of Delaware.</w:t>
      </w:r>
    </w:p>
    <w:p>
      <w:pPr>
        <w:spacing w:after="0" w:line="225"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SECTION 2. The corporation may also have offices at such other places both within and without the State of Delaware as the Board of Directors may from time to time determine or the business of the corporation may require.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MEETINGS OF STOCKHOLDERS</w:t>
      </w:r>
    </w:p>
    <w:p>
      <w:pPr>
        <w:spacing w:after="0" w:line="225" w:lineRule="exact"/>
        <w:rPr>
          <w:sz w:val="20"/>
          <w:szCs w:val="20"/>
          <w:color w:val="auto"/>
        </w:rPr>
      </w:pPr>
    </w:p>
    <w:p>
      <w:pPr>
        <w:ind w:right="140" w:firstLine="648"/>
        <w:spacing w:after="0" w:line="275" w:lineRule="auto"/>
        <w:rPr>
          <w:sz w:val="20"/>
          <w:szCs w:val="20"/>
          <w:color w:val="auto"/>
        </w:rPr>
      </w:pPr>
      <w:r>
        <w:rPr>
          <w:rFonts w:ascii="Times New Roman" w:cs="Times New Roman" w:eastAsia="Times New Roman" w:hAnsi="Times New Roman"/>
          <w:sz w:val="18"/>
          <w:szCs w:val="18"/>
          <w:color w:val="auto"/>
        </w:rPr>
        <w:t>SECTION 1. All meetings of the stockholders shall be held at the principal office of the corporation in the City of Boise, State of Idaho, or at such other place either within or without the State of Delaware as shall be designated in the notice of the meeting or in a duly executed waiver of notice thereof.</w:t>
      </w:r>
    </w:p>
    <w:p>
      <w:pPr>
        <w:spacing w:after="0" w:line="39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SECTION 2. Annual meetings of stockholders shall be held on such day and such hour as shall be designated from time to time by the Board of Directors and stated in the notice of the meeting. At such meeting, the stockholders shall elect a Board of Directors and transact such other business as may properly be brought before the meeting.</w:t>
      </w:r>
    </w:p>
    <w:p>
      <w:pPr>
        <w:spacing w:after="0" w:line="17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SECTION 3. Written notice of the annual meeting stating the place, date and hour of the meeting shall be given to each stockholder entitled to vote at such meeting not less than ten nor more than sixty days before the date of the meeting.</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SECTION 4. The officer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8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SECTION 5. Special meetings of the stockholders, for any purpose or purposes, unless otherwise prescribed by statute or by the Certificate of Incorporation, may be called by the Board of Directors, the Chairman of the Board, the president, or by the holders of shares entitled to cast not less than twenty percent (20%) of the votes at the meeting. Such request shall state the purpose or purposes of the proposed meeting.</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SECTION 6. Written notice of a special meeting stating the place, date and hour of the meeting and the purpose or purposes for which the meeting is called, shall be given to each stockholder entitled to vote at such meeting not less than ten nor more than sixty days before the date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7"/>
          <w:szCs w:val="17"/>
          <w:color w:val="auto"/>
        </w:rPr>
        <w:t>Business transacted at any special meeting of stockholders shall be limited to the purposes stated in the notice.</w:t>
      </w:r>
    </w:p>
    <w:p>
      <w:pPr>
        <w:spacing w:after="0" w:line="22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SECTION 8. The holders of a majority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thirty days, or if after the adjournment a new record date is fixed for the adjourned meeting, a notice of the adjourned meeting shall be given to each stockholder of record entitled to vote at the meeting.</w:t>
      </w:r>
    </w:p>
    <w:p>
      <w:pPr>
        <w:spacing w:after="0" w:line="189"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SECTION 9.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the question.</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SECTION 10. Unless otherwise provided in the Certificate of Incorporation, each stockholder shall at every meeting of the stockholders be entitled to one vote in person or by proxy for each share of the capital stock having voting power held by such stockholder, regardless of class, but no proxy shall be voted on or after three years from its date, unless the proxy provides for a longer period. Vote may be viva voice or by ballot; provided, however, that elections for directors must be by ballot upon demand by a shareholder at the meeting and before the voting begins. At all elections of directors of the corporation each stockholder having voting power shall be entitled to exercise the right of cumulative voting as provided in the Certificate of Incorporation.</w:t>
      </w:r>
    </w:p>
    <w:p>
      <w:pPr>
        <w:spacing w:after="0" w:line="18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SECTION 11. Unless otherwise provided in the Certificate of Incorporation, any action required to be taken at any annual or special meeting of stockholders of the corporation, or any action which may be taken at any annual or special meeting of the stockholders, may be taken without a meeting, without prior notice and without a vote, of a consent in writing, setting forth the action so taken, shall be signed by the holders of outstanding stock having not less than the minimum number of votes that would be necessary to authorize or take such action at a meeting at which notice of the taking of the corporate action without a meeting by less than unanimous written consent shall be given to those stockholders who have not consented in writing.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III</w:t>
      </w:r>
    </w:p>
    <w:p>
      <w:pPr>
        <w:sectPr>
          <w:pgSz w:w="11900" w:h="16838" w:orient="portrait"/>
          <w:cols w:equalWidth="0" w:num="1">
            <w:col w:w="11420"/>
          </w:cols>
          <w:pgMar w:left="240" w:top="117" w:right="239" w:bottom="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DIRECTORS</w:t>
      </w:r>
    </w:p>
    <w:p>
      <w:pPr>
        <w:spacing w:after="0" w:line="225" w:lineRule="exact"/>
        <w:rPr>
          <w:sz w:val="20"/>
          <w:szCs w:val="20"/>
          <w:color w:val="auto"/>
        </w:rPr>
      </w:pPr>
    </w:p>
    <w:p>
      <w:pPr>
        <w:jc w:val="both"/>
        <w:ind w:right="120" w:firstLine="648"/>
        <w:spacing w:after="0" w:line="313" w:lineRule="auto"/>
        <w:rPr>
          <w:sz w:val="20"/>
          <w:szCs w:val="20"/>
          <w:color w:val="auto"/>
        </w:rPr>
      </w:pPr>
      <w:r>
        <w:rPr>
          <w:rFonts w:ascii="Times New Roman" w:cs="Times New Roman" w:eastAsia="Times New Roman" w:hAnsi="Times New Roman"/>
          <w:sz w:val="17"/>
          <w:szCs w:val="17"/>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3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SECTION 2. The directors shall be elected at each annual meeting of shareholders, but if any such annual meeting is not held, or the directors are not elected thereat, the directors may be elected at any special meeting of the shareholders held for that purpose. All directors shall hold office until the expiration of the term for which elected and until their respective successors are elected, except in the case of death, resignation or removal of any director. A director need not be a shareholder.</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SECTION 3. Any director may resign effective upon giving written notice to the Chairman of the Board, the President, the Secretary or the Board of Directors of the corporation, unless the notice specifies a late time for the effectiveness of such resignation. If the resignation is effective at a future time, a successor may be elected to take office when the resignation becomes effective.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SECTION 4. The entire Board of Directors or any individual director may be removed from office, prior to the expiration of their or his term of office only in the manner and within the limitations provided by the General Corporation Law of Delaware.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 reduction of the authorized number of directors shall have the effect of removing any director prior to the expiration of such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of office.</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SECTION 5. A vacancy in the Board of Directors shall be deemed to exist in case of the death, resignation or removal of any director, or if the authorized number of directors be increased, or if the shareholders fail at any annual or special meeting of shareholders at which any director or directors are elected to elect the full authorized number of directors to be voted for at that meeting.</w:t>
      </w:r>
    </w:p>
    <w:p>
      <w:pPr>
        <w:spacing w:after="0" w:line="176" w:lineRule="exact"/>
        <w:rPr>
          <w:sz w:val="20"/>
          <w:szCs w:val="20"/>
          <w:color w:val="auto"/>
        </w:rPr>
      </w:pPr>
    </w:p>
    <w:p>
      <w:pPr>
        <w:ind w:right="20" w:firstLine="1297"/>
        <w:spacing w:after="0" w:line="266" w:lineRule="auto"/>
        <w:rPr>
          <w:sz w:val="20"/>
          <w:szCs w:val="20"/>
          <w:color w:val="auto"/>
        </w:rPr>
      </w:pPr>
      <w:r>
        <w:rPr>
          <w:rFonts w:ascii="Times New Roman" w:cs="Times New Roman" w:eastAsia="Times New Roman" w:hAnsi="Times New Roman"/>
          <w:sz w:val="18"/>
          <w:szCs w:val="18"/>
          <w:color w:val="auto"/>
        </w:rPr>
        <w:t>Vacancies in the Board of Directors may be filled by a majority of the directors then in office, whether or not less than a quorum, or by a sole remaining director. Each director so elected shall hold office until the expiration of the term for which he was elected and until his successor is elected at an annual or a special meeting of the shareholders, or until his death, resignation or removal.</w:t>
      </w:r>
    </w:p>
    <w:p>
      <w:pPr>
        <w:spacing w:after="0" w:line="176" w:lineRule="exact"/>
        <w:rPr>
          <w:sz w:val="20"/>
          <w:szCs w:val="20"/>
          <w:color w:val="auto"/>
        </w:rPr>
      </w:pPr>
    </w:p>
    <w:p>
      <w:pPr>
        <w:ind w:right="60" w:firstLine="1297"/>
        <w:spacing w:after="0" w:line="282" w:lineRule="auto"/>
        <w:rPr>
          <w:sz w:val="20"/>
          <w:szCs w:val="20"/>
          <w:color w:val="auto"/>
        </w:rPr>
      </w:pPr>
      <w:r>
        <w:rPr>
          <w:rFonts w:ascii="Times New Roman" w:cs="Times New Roman" w:eastAsia="Times New Roman" w:hAnsi="Times New Roman"/>
          <w:sz w:val="18"/>
          <w:szCs w:val="18"/>
          <w:color w:val="auto"/>
        </w:rPr>
        <w:t>The shareholders may elect a director or directors at any time to fill any vacancy or vacancies not filled by the directors. Any such election by written consent shall require the consent of a majority of the outstanding shares entitled to vote.</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SECTION 6. The business of the corporation shall be managed by or under the direction of its Board of Directors which may exercise all such powers of the corporation and do all such lawful acts and things as are not by statute or by the Certificate of Incorporation or these Bylaws directed or required to be exercised or done by the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MEETINGS OF THE BOARD OF DIRECTORS</w:t>
      </w:r>
    </w:p>
    <w:p>
      <w:pPr>
        <w:spacing w:after="0" w:line="225"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SECTION 7. The Board of Directors of the corporation may hold meetings, both regular and special, either within or without the State of Delaware.</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SECTION 8. The first meeting of each newly elected Board of Directors shall be held at such time and place as shall be fixed by the vote of the stockholders at the annual meeting and no notice of such meeting shall be necessary to the newly elected directors in order legally to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spacing w:after="0" w:line="188"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SECTION 9. Regular meetings of the Board of Directors may be held without notice at such time and at such place as shall from time to time be determined by the Board.</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SECTION 10. Special meetings of the Board may be called by the president on two days’ notice to each director, either personally or by mail or by telegram; special meetings shall be called by the president or secretary in like manner and on like notice on the written request of the Chairman of the Board or two directors.</w:t>
      </w:r>
    </w:p>
    <w:p>
      <w:pPr>
        <w:spacing w:after="0" w:line="176"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color w:val="auto"/>
        </w:rPr>
        <w:t>SECTION 11. At all meetings of the Board a majority of the authorized number of directors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shall not be present at any meeting of the Board of Directors, the directors present thereat may adjourn the meeting from time to time, without notice other than announcement at the meeting, until a quorum shall be present.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SECTION 12. 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and the writing or writings are filed with the minutes of proceedings of the Board or committee.</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SECTION 13. Unless otherwise restricted by the Certificate of Incorporation or these Bylaws,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the meeting.</w:t>
      </w:r>
    </w:p>
    <w:p>
      <w:pPr>
        <w:sectPr>
          <w:pgSz w:w="11900" w:h="16838" w:orient="portrait"/>
          <w:cols w:equalWidth="0" w:num="1">
            <w:col w:w="11400"/>
          </w:cols>
          <w:pgMar w:left="240" w:top="121" w:right="259" w:bottom="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COMMITTEES OF DIRECTORS</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SECTION 14. The Board of Directors may, by resolution passed by a majority of the authorized number of directors, appoint an executive committee consisting of two or more of the directors of the corporation. The Board may designate one or more directors as alternate members of any committee, who may replace any absent or disqualified member at any meeting of the committee. The executive committee, to the extent provided in the resolution of the Board of Directors and subject to any limitation by statute, shall have and may exercise all the powers and authority of the Board of Directors in the management of the business and affairs of the corporation, and may authorize the seal of the corporation to be affixed to all papers which may require it; but it shall not have the power or authority in reference to amending the Certificate of Incorporation, adopting an agreement of merger or consolidation, recommending to the stockholders the sale, lease or exchange of all or substantially all the corporation’s property and assets, recommending to the stockholders a dissolution of the corporation or a revocation of a dissolution, or amending the Bylaws of the corporation; and, unless the resolution or the Certificate of Incorporation expressly so provide, it shall not have the power or authority to declare a dividend or to authorize the issuance of stock.</w:t>
      </w:r>
    </w:p>
    <w:p>
      <w:pPr>
        <w:spacing w:after="0" w:line="18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SECTION 15. The Board of Directors may, by resolution adopted by a majority of the authorized number of directors, designate such other committees, each consisting of 2 or more directors, as it may from time to time deem advisable to perform such general or special duties as may from time to time be delegated to any such committee by the Board of Directors, subject to the limitations imposed by statute or by the Certificate of Incorporation or by these Bylaws. The Board may designate one or more directors as alternate members of any committee, who may replace any absent member at any meeting of the committee.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OF DIRECTORS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17. Unless otherwise restricted by the Certificate of Incorporation or these Bylaws, the Board of Directors shall have the authority to fix the compensation of directors. The directors may be paid their expenses, if any, of attendance of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NOTICES</w:t>
      </w:r>
    </w:p>
    <w:p>
      <w:pPr>
        <w:spacing w:after="0" w:line="22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SECTION 1.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 Notice to directors may also be given by telegram.</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SECTION 2. Whenever any notice is required to be given under the provisions of the Delaware statutes or of the Certificate of Incorporation or of these Bylaws, a waiver thereof in writing, signed by the person or persons entitled to said notice, whether before or after the time stated therein, shall be deemed equivalent thereto.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w:t>
      </w:r>
    </w:p>
    <w:p>
      <w:pPr>
        <w:spacing w:after="0" w:line="22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SECTION 1. The officers of the corporation shall be chosen by the Board of Directors, and shall be a president, a vice-president, a secretary, and a treasurer. The Board of Directors may also choose additional vice-presidents, and one or more assistant secretaries and assistant treasurers. Any number of offices may be held by the same person, unless the Certificate of Incorporation or these Bylaws otherwise provide.</w:t>
      </w:r>
    </w:p>
    <w:p>
      <w:pPr>
        <w:spacing w:after="0" w:line="17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SECTION 2. The Board of Directors at its first meeting after each annual meeting of stockholders shall choose a president, one or more vice-presidents, a secretary and a treasurer.</w:t>
      </w:r>
    </w:p>
    <w:p>
      <w:pPr>
        <w:spacing w:after="0" w:line="162"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SECTION 3. The Board of Directors may appoint such other officers and agents as it shall deem necessary who shall hold their offices for such terms and shall exercise such powers and perform such duties as shall be determined from time to time by the Board.</w:t>
      </w:r>
    </w:p>
    <w:p>
      <w:pPr>
        <w:spacing w:after="0" w:line="162"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color w:val="auto"/>
        </w:rPr>
        <w:t>The salaries of all officers and agents of the corporation shall be fixed by the Board of Directors.</w:t>
      </w:r>
    </w:p>
    <w:p>
      <w:pPr>
        <w:spacing w:after="0" w:line="22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SECTION 5.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176" w:lineRule="exact"/>
        <w:rPr>
          <w:sz w:val="20"/>
          <w:szCs w:val="20"/>
          <w:color w:val="auto"/>
        </w:rPr>
      </w:pPr>
    </w:p>
    <w:p>
      <w:pPr>
        <w:ind w:right="140" w:firstLine="1297"/>
        <w:spacing w:after="0" w:line="266" w:lineRule="auto"/>
        <w:rPr>
          <w:sz w:val="20"/>
          <w:szCs w:val="20"/>
          <w:color w:val="auto"/>
        </w:rPr>
      </w:pPr>
      <w:r>
        <w:rPr>
          <w:rFonts w:ascii="Times New Roman" w:cs="Times New Roman" w:eastAsia="Times New Roman" w:hAnsi="Times New Roman"/>
          <w:sz w:val="18"/>
          <w:szCs w:val="18"/>
          <w:color w:val="auto"/>
        </w:rPr>
        <w:t>Any officer may resign at any time by giving 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CHAIRMAN OF THE BOARD</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SECTION 6. The Chairman of the Board, if there shall be such an officer, shall, if present, preside at all meetings of the Board of Directors, and exercise and perform such other powers and duties as may be from time to time assigned to him by the Board of Directors or prescribed by these Bylaws.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PRESIDENT</w:t>
      </w:r>
    </w:p>
    <w:p>
      <w:pPr>
        <w:sectPr>
          <w:pgSz w:w="11900" w:h="16838" w:orient="portrait"/>
          <w:cols w:equalWidth="0" w:num="1">
            <w:col w:w="11400"/>
          </w:cols>
          <w:pgMar w:left="240" w:top="337" w:right="259" w:bottom="185" w:gutter="0" w:footer="0" w:header="0"/>
        </w:sectPr>
      </w:pPr>
    </w:p>
    <w:bookmarkStart w:id="23" w:name="page24"/>
    <w:bookmarkEnd w:id="23"/>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SECTION 7. Subject to such supervisory powers, if any, as may be given by the Board of Directors to the Chairman of the Board, if there be such an officer, the President shall be the general manager of the corporation and shall, subject to the control of the Board of Directors, have general supervision, direction, and control of the business and officers of the corporation. He shall preside at all meetings of the shareholders and in the absence of the Chairman of the Board or if there be none, at all meetings of the Board of Directors. He shall be ex officio a member of all the standing committees, including the executive committee, if any, and shall have the general powers and duties of management usually vested in the office of president of a corporation, and shall have such other powers and duties as may be prescribed by the Board of Directors or by these Bylaws.</w:t>
      </w:r>
    </w:p>
    <w:p>
      <w:pPr>
        <w:spacing w:after="0" w:line="18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SECTION 8. He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VICE-PRESIDENTS</w:t>
      </w:r>
    </w:p>
    <w:p>
      <w:pPr>
        <w:spacing w:after="0" w:line="225" w:lineRule="exact"/>
        <w:rPr>
          <w:sz w:val="20"/>
          <w:szCs w:val="20"/>
          <w:color w:val="auto"/>
        </w:rPr>
      </w:pPr>
    </w:p>
    <w:p>
      <w:pPr>
        <w:jc w:val="both"/>
        <w:ind w:right="240" w:firstLine="648"/>
        <w:spacing w:after="0" w:line="261" w:lineRule="auto"/>
        <w:rPr>
          <w:sz w:val="20"/>
          <w:szCs w:val="20"/>
          <w:color w:val="auto"/>
        </w:rPr>
      </w:pPr>
      <w:r>
        <w:rPr>
          <w:rFonts w:ascii="Times New Roman" w:cs="Times New Roman" w:eastAsia="Times New Roman" w:hAnsi="Times New Roman"/>
          <w:sz w:val="18"/>
          <w:szCs w:val="18"/>
          <w:color w:val="auto"/>
        </w:rPr>
        <w:t>SECTION 9. In the absence of the president or in the event of his inability or refusal to act, the vice president (or in the event there be more than one vice president, the vice-presidents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 AND ASSISTANT SECRETARY</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SECTION 10.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or president, under whose supervision he shall be placed. He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18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SECTION 11.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TREASURER AND ASSISTANT TREASURERS</w:t>
      </w:r>
    </w:p>
    <w:p>
      <w:pPr>
        <w:spacing w:after="0" w:line="225"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SECTION 12.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SECTION 13. 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176"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SECTION 14. If required by the Board of Directors, he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SECTION 15. If 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Board of Directors may from time to time prescribe.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STOCK</w:t>
      </w:r>
    </w:p>
    <w:p>
      <w:pPr>
        <w:spacing w:after="0" w:line="22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SECTION 1. Every holder of stock in the corporation shall be entitled to have a certificate, signed by, or in the name of the corporation by, the chairman or vice chairman of the Board of Directors, or the president or a vice president and the treasurer or an assistant treasurer, or the secretary or an assistant secretary of the corporation, certifying the number of shares owned by him in the corporation.</w:t>
      </w:r>
    </w:p>
    <w:p>
      <w:pPr>
        <w:spacing w:after="0" w:line="176" w:lineRule="exact"/>
        <w:rPr>
          <w:sz w:val="20"/>
          <w:szCs w:val="20"/>
          <w:color w:val="auto"/>
        </w:rPr>
      </w:pPr>
    </w:p>
    <w:p>
      <w:pPr>
        <w:ind w:firstLine="1297"/>
        <w:spacing w:after="0" w:line="282" w:lineRule="auto"/>
        <w:rPr>
          <w:sz w:val="20"/>
          <w:szCs w:val="20"/>
          <w:color w:val="auto"/>
        </w:rPr>
      </w:pPr>
      <w:r>
        <w:rPr>
          <w:rFonts w:ascii="Times New Roman" w:cs="Times New Roman" w:eastAsia="Times New Roman" w:hAnsi="Times New Roman"/>
          <w:sz w:val="18"/>
          <w:szCs w:val="18"/>
          <w:color w:val="auto"/>
        </w:rPr>
        <w:t>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162" w:lineRule="exact"/>
        <w:rPr>
          <w:sz w:val="20"/>
          <w:szCs w:val="20"/>
          <w:color w:val="auto"/>
        </w:rPr>
      </w:pPr>
    </w:p>
    <w:p>
      <w:pPr>
        <w:ind w:right="80" w:firstLine="1297"/>
        <w:spacing w:after="0" w:line="261" w:lineRule="auto"/>
        <w:rPr>
          <w:sz w:val="20"/>
          <w:szCs w:val="20"/>
          <w:color w:val="auto"/>
        </w:rPr>
      </w:pPr>
      <w:r>
        <w:rPr>
          <w:rFonts w:ascii="Times New Roman" w:cs="Times New Roman" w:eastAsia="Times New Roman" w:hAnsi="Times New Roman"/>
          <w:sz w:val="18"/>
          <w:szCs w:val="18"/>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Delaware, in lieu of the foregoing</w:t>
      </w:r>
    </w:p>
    <w:p>
      <w:pPr>
        <w:sectPr>
          <w:pgSz w:w="11900" w:h="16838" w:orient="portrait"/>
          <w:cols w:equalWidth="0" w:num="1">
            <w:col w:w="11400"/>
          </w:cols>
          <w:pgMar w:left="240" w:top="121" w:right="259" w:bottom="0" w:gutter="0" w:footer="0" w:header="0"/>
        </w:sectPr>
      </w:pPr>
    </w:p>
    <w:bookmarkStart w:id="24" w:name="page25"/>
    <w:bookmarkEnd w:id="24"/>
    <w:p>
      <w:pPr>
        <w:ind w:right="460"/>
        <w:spacing w:after="0" w:line="261" w:lineRule="auto"/>
        <w:rPr>
          <w:sz w:val="20"/>
          <w:szCs w:val="20"/>
          <w:color w:val="auto"/>
        </w:rPr>
      </w:pPr>
      <w:r>
        <w:rPr>
          <w:rFonts w:ascii="Times New Roman" w:cs="Times New Roman" w:eastAsia="Times New Roman" w:hAnsi="Times New Roman"/>
          <w:sz w:val="18"/>
          <w:szCs w:val="18"/>
          <w:color w:val="auto"/>
        </w:rPr>
        <w:t>requirements, there may be set forth on the face of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80"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SECTION 2. Any or all of the signatures on the certificate may be facsimile. In case any officer, transfer agent or registrar who has signed or whose facsimile signature have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LOST CERTIFICATES</w:t>
      </w:r>
    </w:p>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SECTION 3. The Board of Directors may direct a new certificate or certificates to be issued in place of any certificate or certificates theretofore issues by the corporation alleged to have been lost, stolen or destroyed, upon the making of an affidavit to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OF STOCK</w:t>
      </w:r>
    </w:p>
    <w:p>
      <w:pPr>
        <w:spacing w:after="0" w:line="225"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SECTION 4.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FIXING RECORD DATE</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SECTION 5.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such other action. A</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determination of shareholders of record entitled to notice of or to vote at a meeting of stockholders shall apply to any adjournment of the meeting; provided, however, that the Board of Directors may fix a new record date for the adjourned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STOCKHOLDERS</w:t>
      </w:r>
    </w:p>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SECTION 6.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SECTION 7. The accounting books and records, and minutes of proceedings of the shareholders and the Board of Directors and committees of the Board shall be open to inspection upon written demand made upon the corporation by any shareholder or the holder of a voting trust certificate, at any reasonable time during usual business hours, for a purpose reasonably related to his interest as a shareholder, or as the holder of such voting trust certificate. The record of shareholders shall also be open to inspection by any shareholder or holder of a voting trust certificate at any time during usual business hours upon written demand on the corporation, for a purpose reasonably related to such holder’s interest as a shareholder or holder of a voting trust certificate. Such inspection may be made in person or by an agent or attorney, and shall include the right to copy and to make extracts.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w:t>
      </w:r>
    </w:p>
    <w:p>
      <w:pPr>
        <w:spacing w:after="0" w:line="225"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SECTION 1. Dividends upon the capital stock of the corporation, subject to the provision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SECTION 2. Before payment of any dividend, there may be set aside out of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CHECKS</w:t>
      </w:r>
    </w:p>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SECTION 3. All checks or demands for money and notes of the corporation shall be signed by such officer or officers or such other person or persons as the Board of Directors may from time to time designate.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YEAR</w:t>
      </w:r>
    </w:p>
    <w:p>
      <w:pPr>
        <w:spacing w:after="0" w:line="225"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color w:val="auto"/>
        </w:rPr>
        <w:t>The fiscal year of the corporation shall be fixed by resolution of the Board of Directors.</w:t>
      </w:r>
    </w:p>
    <w:p>
      <w:pPr>
        <w:sectPr>
          <w:pgSz w:w="11900" w:h="16838" w:orient="portrait"/>
          <w:cols w:equalWidth="0" w:num="1">
            <w:col w:w="11400"/>
          </w:cols>
          <w:pgMar w:left="240" w:top="121" w:right="259" w:bottom="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SEAL</w:t>
      </w:r>
    </w:p>
    <w:p>
      <w:pPr>
        <w:spacing w:after="0" w:line="225"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SECTION 5.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INDEMNIFICATION</w:t>
      </w:r>
    </w:p>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SECTION 6. The corporation shall indemnify its officers, directors, employees and agents to the extent permitted by the General Corporation Law of Delaware.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AMENDMENTS</w:t>
      </w:r>
    </w:p>
    <w:p>
      <w:pPr>
        <w:spacing w:after="0" w:line="22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SECTION 1. These Bylaws may be altered, amended or repealed or new Bylaws may be adopted by the stockholders or by the Board of Directors at any regular meeting of the stockholders or of the Board of Directors or at any special meeting of the stockholders or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Nancy A. Stanger, the secretary of Micron Technology, Inc., a Delaware corporation, hereby certify: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bylaws, comprising 14 pages, were adopted as the bylaws of Micron Technology on May 21, 1984.</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DATED:</w:t>
        <w:tab/>
        <w:t>May 25, 1984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Nancy A. Stanger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Nancy A. Stanger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FIRST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the undersigned, being the President and Secretary, respectively, of MICRON TECHNOLOGY, INC., a corporation organized and existing under the laws of the State of Delaware, do hereby certify that a meeting of the Board of Directors of this Corporation was held on December 17, 1984 and an amendment to the Bylaws of MICRON TECHNOLOGY, INC. was unanimously adopted.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amendment adopted was pursuant to a Resolution reading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The Board hereby approves that the second paragraph of Article II Section 10 of the Bylaws of the Company be amended to read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notice at the meeting prior to the voting of the stockholder’s intention to cumulate votes. If any stockholder has given such notice, all stockholders may cumulate their votes for candidates in nomination.”</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WITNESS WHEREOF, we have hereunto set our hands and the seal of the Corporation this 5th day of July, 1985.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2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Joseph L. Parkinson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L. Parkinson,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2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 Secretary</w:t>
      </w:r>
    </w:p>
    <w:p>
      <w:pPr>
        <w:sectPr>
          <w:pgSz w:w="11900" w:h="16838" w:orient="portrait"/>
          <w:cols w:equalWidth="0" w:num="1">
            <w:col w:w="11380"/>
          </w:cols>
          <w:pgMar w:left="240" w:top="337" w:right="279" w:bottom="0" w:gutter="0" w:footer="0" w:header="0"/>
        </w:sectPr>
      </w:pPr>
    </w:p>
    <w:p>
      <w:pPr>
        <w:spacing w:after="0" w:line="207" w:lineRule="exact"/>
        <w:rPr>
          <w:sz w:val="20"/>
          <w:szCs w:val="20"/>
          <w:color w:val="auto"/>
        </w:rPr>
      </w:pPr>
    </w:p>
    <w:p>
      <w:pPr>
        <w:spacing w:after="0" w:line="578" w:lineRule="auto"/>
        <w:rPr>
          <w:sz w:val="20"/>
          <w:szCs w:val="20"/>
          <w:color w:val="auto"/>
        </w:rPr>
      </w:pPr>
      <w:r>
        <w:rPr>
          <w:rFonts w:ascii="Times New Roman" w:cs="Times New Roman" w:eastAsia="Times New Roman" w:hAnsi="Times New Roman"/>
          <w:sz w:val="17"/>
          <w:szCs w:val="17"/>
          <w:color w:val="auto"/>
        </w:rPr>
        <w:t>STATE OF IDAHO County of Ada</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ss.</w:t>
      </w:r>
    </w:p>
    <w:p>
      <w:pPr>
        <w:sectPr>
          <w:pgSz w:w="11900" w:h="16838" w:orient="portrait"/>
          <w:cols w:equalWidth="0" w:num="3">
            <w:col w:w="1440" w:space="660"/>
            <w:col w:w="60" w:space="180"/>
            <w:col w:w="9040"/>
          </w:cols>
          <w:pgMar w:left="240" w:top="337" w:right="279" w:bottom="0" w:gutter="0" w:footer="0" w:header="0"/>
          <w:type w:val="continuous"/>
        </w:sectPr>
      </w:pPr>
    </w:p>
    <w:bookmarkStart w:id="26" w:name="page27"/>
    <w:bookmarkEnd w:id="26"/>
    <w:p>
      <w:pPr>
        <w:ind w:right="360"/>
        <w:spacing w:after="0" w:line="266" w:lineRule="auto"/>
        <w:rPr>
          <w:sz w:val="20"/>
          <w:szCs w:val="20"/>
          <w:color w:val="auto"/>
        </w:rPr>
      </w:pPr>
      <w:r>
        <w:rPr>
          <w:rFonts w:ascii="Times New Roman" w:cs="Times New Roman" w:eastAsia="Times New Roman" w:hAnsi="Times New Roman"/>
          <w:sz w:val="18"/>
          <w:szCs w:val="18"/>
          <w:color w:val="auto"/>
        </w:rPr>
        <w:t>On this 5th day of July, 1985, before me, the undersigned, personally appeared JOSEPH L. PARKINSON and CATHY L. SMITH, known to me to be the President and Secretary, respectively, of MICRON TECHNOLOGY, INC., the corporation that executed the instrument or the persons who executed the instrument on behalf of said corporation, and acknowledged to me that such corporation executed the same.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I have hereunto set my hand and affixed my official seal in said County the day and year first 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Jill L. Henson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Notary Public for Idaho Residing at Boise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SECOND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March 3, 1986:</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have hereunto set my hand and affixed the corporate seal of said corporation effective as of the 3rd day of March, 1986.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THIRD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November 24, 1986:</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140" w:firstLine="648"/>
        <w:spacing w:after="0" w:line="313" w:lineRule="auto"/>
        <w:rPr>
          <w:sz w:val="20"/>
          <w:szCs w:val="20"/>
          <w:color w:val="auto"/>
        </w:rPr>
      </w:pPr>
      <w:r>
        <w:rPr>
          <w:rFonts w:ascii="Times New Roman" w:cs="Times New Roman" w:eastAsia="Times New Roman" w:hAnsi="Times New Roman"/>
          <w:sz w:val="17"/>
          <w:szCs w:val="17"/>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24th day of November, 1986.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FOURTH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September 28, 1987:</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140" w:firstLine="648"/>
        <w:spacing w:after="0" w:line="313" w:lineRule="auto"/>
        <w:rPr>
          <w:sz w:val="20"/>
          <w:szCs w:val="20"/>
          <w:color w:val="auto"/>
        </w:rPr>
      </w:pPr>
      <w:r>
        <w:rPr>
          <w:rFonts w:ascii="Times New Roman" w:cs="Times New Roman" w:eastAsia="Times New Roman" w:hAnsi="Times New Roman"/>
          <w:sz w:val="17"/>
          <w:szCs w:val="17"/>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28th day of September, 1987.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ectPr>
          <w:pgSz w:w="11900" w:h="16838" w:orient="portrait"/>
          <w:cols w:equalWidth="0" w:num="1">
            <w:col w:w="11420"/>
          </w:cols>
          <w:pgMar w:left="240" w:top="121" w:right="239" w:bottom="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(SEAL)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FIFTH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March 28, 1988:</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140" w:firstLine="648"/>
        <w:spacing w:after="0" w:line="313" w:lineRule="auto"/>
        <w:rPr>
          <w:sz w:val="20"/>
          <w:szCs w:val="20"/>
          <w:color w:val="auto"/>
        </w:rPr>
      </w:pPr>
      <w:r>
        <w:rPr>
          <w:rFonts w:ascii="Times New Roman" w:cs="Times New Roman" w:eastAsia="Times New Roman" w:hAnsi="Times New Roman"/>
          <w:sz w:val="17"/>
          <w:szCs w:val="17"/>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28th day of March, 1988.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SIXTH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October 3, 1988:</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17th day of October, 1988.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SEVENTH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September 25, 1989:</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140" w:firstLine="648"/>
        <w:spacing w:after="0" w:line="313" w:lineRule="auto"/>
        <w:rPr>
          <w:sz w:val="20"/>
          <w:szCs w:val="20"/>
          <w:color w:val="auto"/>
        </w:rPr>
      </w:pPr>
      <w:r>
        <w:rPr>
          <w:rFonts w:ascii="Times New Roman" w:cs="Times New Roman" w:eastAsia="Times New Roman" w:hAnsi="Times New Roman"/>
          <w:sz w:val="17"/>
          <w:szCs w:val="17"/>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28th day September, 1989.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37" w:right="239" w:bottom="198"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CERTIFICATE OF EIGHTH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October 30, 1989:</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140" w:firstLine="648"/>
        <w:spacing w:after="0" w:line="313" w:lineRule="auto"/>
        <w:rPr>
          <w:sz w:val="20"/>
          <w:szCs w:val="20"/>
          <w:color w:val="auto"/>
        </w:rPr>
      </w:pPr>
      <w:r>
        <w:rPr>
          <w:rFonts w:ascii="Times New Roman" w:cs="Times New Roman" w:eastAsia="Times New Roman" w:hAnsi="Times New Roman"/>
          <w:sz w:val="17"/>
          <w:szCs w:val="17"/>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30th day of October, 1989.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NINTH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August 27, 1990: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140" w:firstLine="648"/>
        <w:spacing w:after="0" w:line="313" w:lineRule="auto"/>
        <w:rPr>
          <w:sz w:val="20"/>
          <w:szCs w:val="20"/>
          <w:color w:val="auto"/>
        </w:rPr>
      </w:pPr>
      <w:r>
        <w:rPr>
          <w:rFonts w:ascii="Times New Roman" w:cs="Times New Roman" w:eastAsia="Times New Roman" w:hAnsi="Times New Roman"/>
          <w:sz w:val="17"/>
          <w:szCs w:val="17"/>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27th day of August, 1990.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TENTH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September 24, 1990: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24th day of September, 1990.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ELEVENTH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ectPr>
          <w:pgSz w:w="11900" w:h="16838" w:orient="portrait"/>
          <w:cols w:equalWidth="0" w:num="1">
            <w:col w:w="11420"/>
          </w:cols>
          <w:pgMar w:left="240" w:top="337" w:right="239" w:bottom="0" w:gutter="0" w:footer="0" w:header="0"/>
        </w:sectPr>
      </w:pPr>
    </w:p>
    <w:bookmarkStart w:id="29" w:name="page30"/>
    <w:bookmarkEnd w:id="29"/>
    <w:p>
      <w:pPr>
        <w:ind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July 27, 1992:</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25"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27th day of July, 1992.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TWELFTH AMENDMENT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May 23, 1994: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I of the Bylaws of this corporation are hereby amended to read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I. The authorized number of directors of the Corporation shall be ten.</w:t>
      </w:r>
    </w:p>
    <w:p>
      <w:pPr>
        <w:spacing w:after="0" w:line="225" w:lineRule="exact"/>
        <w:rPr>
          <w:sz w:val="20"/>
          <w:szCs w:val="20"/>
          <w:color w:val="auto"/>
        </w:rPr>
      </w:pPr>
    </w:p>
    <w:p>
      <w:pPr>
        <w:ind w:left="660" w:right="260" w:firstLine="648"/>
        <w:spacing w:after="0" w:line="282" w:lineRule="auto"/>
        <w:rPr>
          <w:sz w:val="20"/>
          <w:szCs w:val="20"/>
          <w:color w:val="auto"/>
        </w:rPr>
      </w:pPr>
      <w:r>
        <w:rPr>
          <w:rFonts w:ascii="Times New Roman" w:cs="Times New Roman" w:eastAsia="Times New Roman" w:hAnsi="Times New Roman"/>
          <w:sz w:val="18"/>
          <w:szCs w:val="18"/>
          <w:color w:val="auto"/>
        </w:rPr>
        <w:t>The number of directors provided in this Section I may be changed by a Bylaw duly adopted by the affirmative vote of a majority of the outstanding shares entitled to vote or by a resolution of the Board of Directors.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23rd day of May, 1994.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THIRTEENTH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September 1, 1994: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I of the Bylaws of this corporation are hereby amended to read as follows: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SECTION I. The authorized number of directors of the Corporation shall be eleven. The number of directors provided in this Section I may be changed by a Bylaw duly adopted by the affirmative vote of a majority of the outstanding shares entitled to vote or by a resolution of the Board of Directors.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1st day of September, 1994.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FOURTEENTH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ectPr>
          <w:pgSz w:w="11900" w:h="16838" w:orient="portrait"/>
          <w:cols w:equalWidth="0" w:num="1">
            <w:col w:w="11360"/>
          </w:cols>
          <w:pgMar w:left="240" w:top="337" w:right="299" w:bottom="0" w:gutter="0" w:footer="0" w:header="0"/>
        </w:sectPr>
      </w:pPr>
    </w:p>
    <w:bookmarkStart w:id="30" w:name="page31"/>
    <w:bookmarkEnd w:id="30"/>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October 27, 1994: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I of the Bylaws of this corporation are hereby amended to read as follows:</w:t>
      </w:r>
    </w:p>
    <w:p>
      <w:pPr>
        <w:spacing w:after="0" w:line="225" w:lineRule="exact"/>
        <w:rPr>
          <w:sz w:val="20"/>
          <w:szCs w:val="20"/>
          <w:color w:val="auto"/>
        </w:rPr>
      </w:pPr>
    </w:p>
    <w:p>
      <w:pPr>
        <w:ind w:right="100" w:firstLine="648"/>
        <w:spacing w:after="0" w:line="313" w:lineRule="auto"/>
        <w:rPr>
          <w:sz w:val="20"/>
          <w:szCs w:val="20"/>
          <w:color w:val="auto"/>
        </w:rPr>
      </w:pPr>
      <w:r>
        <w:rPr>
          <w:rFonts w:ascii="Times New Roman" w:cs="Times New Roman" w:eastAsia="Times New Roman" w:hAnsi="Times New Roman"/>
          <w:sz w:val="17"/>
          <w:szCs w:val="17"/>
          <w:color w:val="auto"/>
        </w:rPr>
        <w:t>SECTION I. The authorized number of directors of the Corporation shall be ten. The number of directors provided in this Section I may be changed by a Bylaw duly adopted by the affirmative vote of a majority of the outstanding shares entitled to vote or by a resolution of the Board of Directors.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27th day of October, 1994.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CERTIFICATE OF FIFTEENTH</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AMENDMENT TO THE BYLAWS 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 Jan R. Reimer, Assistant Secretary of Micron Technology, Inc., a Delaware corporation, hereby certify that the following resolution was adopted by the Board of Directors on February 5, 1996:</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RESOLVED, that pursuant to Article VIII, Section 1 of the Company s Bylaws, the Board hereby amends Article V, Section 1 of the Bylaws to read in its entirety as follows:</w:t>
      </w:r>
    </w:p>
    <w:p>
      <w:pPr>
        <w:spacing w:after="0" w:line="162"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The officers of the corporation shall be chosen by the Board of Directors, and shall be a president or chief executive officer, a secretary, and a treasurer. The Board of Directors may also choose additional officers, including a president, vice president(s), and one or more assistant secretaries and assistant treasurers. Any number of offices may be held by the same person, unless the Certificate of Incorporation or these Bylaws otherwise provide.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7th day of February, 1996.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 R. Reimer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SIXTEENTH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I, Jan R. Reimer, Assistant Secretary of Micron Technology, Inc., a Delaware corporation, hereby certify that the following resolutions were adopted by the Board of Directors on September 30, 1996:</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that Article II, Section 10 of the Bylaws of this Company be amended to read as follows:</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SECTION 10. 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written notice to Secretary of the corporation of the stockholder’s intention to cumulate votes at least 15 days prior to the date of the meeting. If any stockholder has given such notice, all stockholders may cumulate their votes for candidates in nomination.</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FURTHER, that Article II of the Bylaws of this Company be amended to add Section 12, which will read in its entirety as follows:</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SECTION 12. Advance Notice of Stockholder Nominees and Stockholder Business</w:t>
      </w:r>
    </w:p>
    <w:p>
      <w:pPr>
        <w:spacing w:after="0" w:line="225" w:lineRule="exact"/>
        <w:rPr>
          <w:sz w:val="20"/>
          <w:szCs w:val="20"/>
          <w:color w:val="auto"/>
        </w:rPr>
      </w:pPr>
    </w:p>
    <w:p>
      <w:pPr>
        <w:ind w:left="780" w:right="60" w:firstLine="6"/>
        <w:spacing w:after="0" w:line="266" w:lineRule="auto"/>
        <w:tabs>
          <w:tab w:leader="none" w:pos="107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properly brought before an annual meeting or special meeting, nominations for the election of directors or other business must be (i) 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w:t>
      </w:r>
    </w:p>
    <w:p>
      <w:pPr>
        <w:spacing w:after="0" w:line="176" w:lineRule="exact"/>
        <w:rPr>
          <w:rFonts w:ascii="Times New Roman" w:cs="Times New Roman" w:eastAsia="Times New Roman" w:hAnsi="Times New Roman"/>
          <w:sz w:val="18"/>
          <w:szCs w:val="18"/>
          <w:color w:val="auto"/>
        </w:rPr>
      </w:pPr>
    </w:p>
    <w:p>
      <w:pPr>
        <w:jc w:val="both"/>
        <w:ind w:left="780" w:firstLine="6"/>
        <w:spacing w:after="0" w:line="277" w:lineRule="auto"/>
        <w:tabs>
          <w:tab w:leader="none" w:pos="10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 of the corporation not less than one hundred twenty (120) calendar days in advance of the date specified in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w:t>
      </w:r>
    </w:p>
    <w:p>
      <w:pPr>
        <w:sectPr>
          <w:pgSz w:w="11900" w:h="16838" w:orient="portrait"/>
          <w:cols w:equalWidth="0" w:num="1">
            <w:col w:w="11380"/>
          </w:cols>
          <w:pgMar w:left="240" w:top="121" w:right="279" w:bottom="0" w:gutter="0" w:footer="0" w:header="0"/>
        </w:sectPr>
      </w:pPr>
    </w:p>
    <w:bookmarkStart w:id="31" w:name="page32"/>
    <w:bookmarkEnd w:id="31"/>
    <w:p>
      <w:pPr>
        <w:ind w:left="780" w:right="40"/>
        <w:spacing w:after="0" w:line="255" w:lineRule="auto"/>
        <w:rPr>
          <w:sz w:val="20"/>
          <w:szCs w:val="20"/>
          <w:color w:val="auto"/>
        </w:rPr>
      </w:pPr>
      <w:r>
        <w:rPr>
          <w:rFonts w:ascii="Times New Roman" w:cs="Times New Roman" w:eastAsia="Times New Roman" w:hAnsi="Times New Roman"/>
          <w:sz w:val="18"/>
          <w:szCs w:val="18"/>
          <w:color w:val="auto"/>
        </w:rPr>
        <w:t>contemplated at the time of the previous year’s proxy statement, notice by the stockholder to be timely must be so received a reasonable time before the solicitation is made.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address, as they appear on the corporation’s books, of the stockholder proposing such business,</w:t>
      </w:r>
    </w:p>
    <w:p>
      <w:pPr>
        <w:spacing w:after="0" w:line="3" w:lineRule="exact"/>
        <w:rPr>
          <w:sz w:val="20"/>
          <w:szCs w:val="20"/>
          <w:color w:val="auto"/>
        </w:rPr>
      </w:pPr>
    </w:p>
    <w:p>
      <w:pPr>
        <w:ind w:left="780" w:right="100" w:firstLine="6"/>
        <w:spacing w:after="0" w:line="251" w:lineRule="auto"/>
        <w:tabs>
          <w:tab w:leader="none" w:pos="10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and number of shares of the corporation which are beneficially owned by the stockholder, (iv) any material interest of the stockholder in such business and (v) any other information that is required to be provided by the stockholder pursuant to Regulation 14A under the securities Exchange Act of 1934, as amended (the “Exchange Act”), in his capacity as a proponent to a stockholder proposal. Notwithstanding the foregoing, in order to include information with respect to a stockholder proposal in the proxy statement and form of proxy for a stockholders’ meeting, stockholders must provide notice as required by the regulations promulgated under the Exchange Act. Notwithstanding anything in these bylaws to the contrary, no business shall be conducted at any annual meeting except in accordance with the procedures set forth in this Section 12. The chairman of the annual meeting shall, if the facts warrant, determine and declare at the meeting that business was not properly brought before the meeting and in accordance with the provisions of this Section 12, and, if he should so determine, he shall so declare at the meeting that any such business not properly brought before the meeting shall not be transacted.</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80" w:right="40" w:firstLine="6"/>
        <w:spacing w:after="0" w:line="253" w:lineRule="auto"/>
        <w:tabs>
          <w:tab w:leader="none" w:pos="11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persons who are nominated in accordance with the procedures set forth in this paragraph (c) shall be eligible for election as directors. Nominations of persons for election to the Board of Directors of the corporation may be made at a meeting of stockholders by or at the direction of the Board of Directors or by any stockholder of the corporation entitled to vote in the election of directors at the meeting who complies with the notice procedures set forth in this paragraph (c). Such nominations, other than those made by or at the direction of the Board of Directors, shall be made pursuant to timely notice in writing to the Secretary of the corporation in accordance with the provisions of paragraph (b) of this Section 12. Such stockholder’s notice shall set forth (i) as to each person, if any, whom the stockholder proposes to nominate for election or re-election as a director: (A) the name, age, business address and residence address of such person, (B) the principal occupation or employment of such person,</w:t>
      </w:r>
    </w:p>
    <w:p>
      <w:pPr>
        <w:spacing w:after="0" w:line="3" w:lineRule="exact"/>
        <w:rPr>
          <w:rFonts w:ascii="Times New Roman" w:cs="Times New Roman" w:eastAsia="Times New Roman" w:hAnsi="Times New Roman"/>
          <w:sz w:val="18"/>
          <w:szCs w:val="18"/>
          <w:color w:val="auto"/>
        </w:rPr>
      </w:pPr>
    </w:p>
    <w:p>
      <w:pPr>
        <w:ind w:left="780"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the class and number of shares of the corporation which are beneficially owned by such person, (D) a description of all arrangements or understandings between the stockholder and each nominee and any other person or persons (naming such person or persons) pursuant to which the nominations are to be made by the stockholder and (E) any other information relating to such person that is required to be disclosed in solicitations of proxies for elections of directors, or is otherwise required, in each case pursuant to Regulation 14A under the Exchange Act (including without limitation such person’s written consent to being named in the proxy statement, if any, as a nominee and to serving as a director if elected); and (ii) as to such stockholder giving notice, the information required to be provided pursuant to paragraph (b) of this Section 12. At the request of the Board of Directors, any person nominated by a stockholder for election as a director shall furnish to the Secretary of the corporation that information required to be set forth in the stockholder’s notice of nomination which pertains to the nominee. No person shall be eligible for election as a director of the corporation unless nominated in accordance with the procedures set forth in this paragraph (c). The chairman of the meeting shall, if the facts warrant, determine and declare at the meeting that a nomination was not made in accordance with the procedures prescribed by these bylaws; and if he should so determine, he shall so declare at the meeting, and the defective nomination shall be disregarded.</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FURTHER, that Article III, Section 1 of the Bylaws of this Company be amended to read as follows: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seven. The number of directors provided in this Section 1 may be changed by a Bylaw duly adopted by the affirmative vote of a majority of the outstanding shares entitled to vote or by a resolution of the Board of Directors.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30th day of September, 1996.</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Jan R. Reimer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(SEAL)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SEVENTEENTH AMENDMENT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 Jan R. Reimer, Assistant Secretary of Micron Technology, Inc., a Delaware corporation, hereby certify that the following resolutions were adopted by the Board of Directors on June 30, 1997:</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Article III, Section 1 of the Bylaws of this Company be amended to read as follows:</w:t>
      </w:r>
    </w:p>
    <w:p>
      <w:pPr>
        <w:spacing w:after="0" w:line="229" w:lineRule="exact"/>
        <w:rPr>
          <w:sz w:val="20"/>
          <w:szCs w:val="20"/>
          <w:color w:val="auto"/>
        </w:rPr>
      </w:pPr>
    </w:p>
    <w:p>
      <w:pPr>
        <w:ind w:left="660" w:right="60"/>
        <w:spacing w:after="0" w:line="266"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corporation effective as of the 30th day of June, 1997.</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Jan R. Reimer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(SEAL)</w:t>
      </w:r>
    </w:p>
    <w:p>
      <w:pPr>
        <w:sectPr>
          <w:pgSz w:w="11900" w:h="16838" w:orient="portrait"/>
          <w:cols w:equalWidth="0" w:num="1">
            <w:col w:w="11420"/>
          </w:cols>
          <w:pgMar w:left="240" w:top="121"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EIGHTEENTH AMENDMENT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0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 Jan R. Reimer, Assistant Secretary of Micron Technology, Inc., a Delaware corporation, hereby certify that the following resolutions were adopted by the Board of Directors on April 14, 1998:</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Article III, Section 1 of the Bylaws of this Company be amended to read as follows:</w:t>
      </w:r>
    </w:p>
    <w:p>
      <w:pPr>
        <w:spacing w:after="0" w:line="229" w:lineRule="exact"/>
        <w:rPr>
          <w:sz w:val="20"/>
          <w:szCs w:val="20"/>
          <w:color w:val="auto"/>
        </w:rPr>
      </w:pPr>
    </w:p>
    <w:p>
      <w:pPr>
        <w:ind w:left="660" w:firstLine="648"/>
        <w:spacing w:after="0" w:line="266"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corporation effective as of the 20th day of July, 1998.</w:t>
      </w:r>
    </w:p>
    <w:p>
      <w:pPr>
        <w:spacing w:after="0" w:line="229"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/s/ Jan R. Reimer</w:t>
      </w:r>
    </w:p>
    <w:p>
      <w:pPr>
        <w:spacing w:after="0" w:line="27"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-130810</wp:posOffset>
            </wp:positionV>
            <wp:extent cx="25558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(SEAL)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NINETEENTH AMENDMENT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0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 Jan R. Reimer, Assistant Secretary of Micron Technology, Inc., a Delaware corporation, hereby certify that the following resolutions were adopted by the Board of Directors on November 23, 1998:</w:t>
      </w:r>
    </w:p>
    <w:p>
      <w:pPr>
        <w:spacing w:after="0" w:line="3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Article III, Section 1 of the Bylaws of this Company be amended to read as follows:</w:t>
      </w:r>
    </w:p>
    <w:p>
      <w:pPr>
        <w:spacing w:after="0" w:line="229" w:lineRule="exact"/>
        <w:rPr>
          <w:sz w:val="20"/>
          <w:szCs w:val="20"/>
          <w:color w:val="auto"/>
        </w:rPr>
      </w:pPr>
    </w:p>
    <w:p>
      <w:pPr>
        <w:ind w:left="660" w:right="100" w:firstLine="648"/>
        <w:spacing w:after="0" w:line="266"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corporation effective as of the 23rd day of November, 1998.</w:t>
      </w:r>
    </w:p>
    <w:p>
      <w:pPr>
        <w:spacing w:after="0" w:line="22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/s/ Jan R. Reimer</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0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(SEAL)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TWENTIETH AMENDMENT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0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 Jan R. Reimer, Assistant Secretary of Micron Technology, Inc., a Delaware corporation, hereby certify that the following resolutions were adopted by the Board of Directors on June 16, 1999:</w:t>
      </w:r>
    </w:p>
    <w:p>
      <w:pPr>
        <w:spacing w:after="0" w:line="158" w:lineRule="exact"/>
        <w:rPr>
          <w:sz w:val="20"/>
          <w:szCs w:val="20"/>
          <w:color w:val="auto"/>
        </w:rPr>
      </w:pPr>
    </w:p>
    <w:p>
      <w:pPr>
        <w:ind w:left="6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RESOLVED, </w:t>
      </w:r>
      <w:r>
        <w:rPr>
          <w:rFonts w:ascii="Times New Roman" w:cs="Times New Roman" w:eastAsia="Times New Roman" w:hAnsi="Times New Roman"/>
          <w:sz w:val="18"/>
          <w:szCs w:val="18"/>
          <w:color w:val="auto"/>
        </w:rPr>
        <w:t>that pursuant to Article VIII, Section 1 of the Company’s Bylaws, the Board hereby amends Article III, Sections 14 and 15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Bylaws to read in their entirety as follows:</w:t>
      </w:r>
    </w:p>
    <w:p>
      <w:pPr>
        <w:spacing w:after="0" w:line="159" w:lineRule="exact"/>
        <w:rPr>
          <w:sz w:val="20"/>
          <w:szCs w:val="20"/>
          <w:color w:val="auto"/>
        </w:rPr>
      </w:pPr>
    </w:p>
    <w:p>
      <w:pPr>
        <w:ind w:left="660" w:firstLine="648"/>
        <w:spacing w:after="0" w:line="254" w:lineRule="auto"/>
        <w:rPr>
          <w:sz w:val="20"/>
          <w:szCs w:val="20"/>
          <w:color w:val="auto"/>
        </w:rPr>
      </w:pPr>
      <w:r>
        <w:rPr>
          <w:rFonts w:ascii="Times New Roman" w:cs="Times New Roman" w:eastAsia="Times New Roman" w:hAnsi="Times New Roman"/>
          <w:sz w:val="18"/>
          <w:szCs w:val="18"/>
          <w:color w:val="auto"/>
        </w:rPr>
        <w:t>“SECTION 14. The Board of Directors may, by resolution passed by a majority of the authorized number of directors, appoint an executive committee consisting of one or more of the directors of the corporation. The Board may designate one or more directors as alternate members of any committee, who may replace any absent or disqualified member at any meeting of the committee. The executive committee, to the extent provided in the resolution of the Board of Directors and subject to any limitation by statute, shall have and may exercise all the powers and authority of the Board of Directors in the management of the business and affairs of the corporation, and may authorize the seal of the corporation to be affixed to all papers which may require it; but it shall not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or the Certificate of Incorporation expressly so provide, it shall not have the power of authority to declare a dividend or to authorize the issuance of stock.</w:t>
      </w:r>
    </w:p>
    <w:p>
      <w:pPr>
        <w:spacing w:after="0" w:line="186" w:lineRule="exact"/>
        <w:rPr>
          <w:sz w:val="20"/>
          <w:szCs w:val="20"/>
          <w:color w:val="auto"/>
        </w:rPr>
      </w:pPr>
    </w:p>
    <w:p>
      <w:pPr>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SECTION 15. The Board of Directors may, by resolution adopted by a majority of the authorized number of directors, designate such other committees, each consisting of one or more directors, as it may from time to time deem advisable to perform such general or special duties as may from time to time be delegated to any such committee by the Board of Directors, subject to the limitations imposed by statute or the Certificate of</w:t>
      </w:r>
    </w:p>
    <w:p>
      <w:pPr>
        <w:sectPr>
          <w:pgSz w:w="11900" w:h="16838" w:orient="portrait"/>
          <w:cols w:equalWidth="0" w:num="1">
            <w:col w:w="11400"/>
          </w:cols>
          <w:pgMar w:left="240" w:top="549" w:right="259" w:bottom="0" w:gutter="0" w:footer="0" w:header="0"/>
        </w:sectPr>
      </w:pPr>
    </w:p>
    <w:bookmarkStart w:id="33" w:name="page34"/>
    <w:bookmarkEnd w:id="33"/>
    <w:p>
      <w:pPr>
        <w:ind w:left="660" w:right="280"/>
        <w:spacing w:after="0" w:line="282" w:lineRule="auto"/>
        <w:rPr>
          <w:sz w:val="20"/>
          <w:szCs w:val="20"/>
          <w:color w:val="auto"/>
        </w:rPr>
      </w:pPr>
      <w:r>
        <w:rPr>
          <w:rFonts w:ascii="Times New Roman" w:cs="Times New Roman" w:eastAsia="Times New Roman" w:hAnsi="Times New Roman"/>
          <w:sz w:val="18"/>
          <w:szCs w:val="18"/>
          <w:color w:val="auto"/>
        </w:rPr>
        <w:t>Incorporation or by these Bylaws. The Board may designate one or more directors as alternate members of any committee, who may replace any absent member at any meeting of the committee.”</w:t>
      </w:r>
    </w:p>
    <w:p>
      <w:pPr>
        <w:spacing w:after="0" w:line="158" w:lineRule="exact"/>
        <w:rPr>
          <w:sz w:val="20"/>
          <w:szCs w:val="20"/>
          <w:color w:val="auto"/>
        </w:rPr>
      </w:pPr>
    </w:p>
    <w:p>
      <w:pPr>
        <w:ind w:left="660" w:right="6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any and all actions taken prior to the adoption of the foregoing resolution by the “Employee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of the Board are hereby ratified, confirmed, approved and adopted as actions of the Company.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corporation effective as of the 16th day of June, 1999.</w:t>
      </w:r>
    </w:p>
    <w:p>
      <w:pPr>
        <w:spacing w:after="0" w:line="200" w:lineRule="exact"/>
        <w:rPr>
          <w:sz w:val="20"/>
          <w:szCs w:val="20"/>
          <w:color w:val="auto"/>
        </w:rPr>
      </w:pPr>
    </w:p>
    <w:p>
      <w:pPr>
        <w:spacing w:after="0" w:line="245"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/s/ Jan R. Reimer</w:t>
      </w:r>
    </w:p>
    <w:p>
      <w:pPr>
        <w:spacing w:after="0" w:line="27"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-130810</wp:posOffset>
            </wp:positionV>
            <wp:extent cx="25730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0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(SEAL)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TWENTY-FIRST AMENDMENT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0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 Jan R. Reimer, Assistant Secretary of Micron Technology, Inc., a Delaware corporation, hereby certify that the following resolutions were adopted by the Board of Directors on November 23, 1999:</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pursuant to Article VIII, Section 1 of the Company’s Bylaws, the Board hereby amends Article III, Section 1 of the</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Bylaws to read in its entirety as follows:</w:t>
      </w:r>
    </w:p>
    <w:p>
      <w:pPr>
        <w:spacing w:after="0" w:line="207" w:lineRule="exact"/>
        <w:rPr>
          <w:sz w:val="20"/>
          <w:szCs w:val="20"/>
          <w:color w:val="auto"/>
        </w:rPr>
      </w:pPr>
    </w:p>
    <w:p>
      <w:pPr>
        <w:ind w:left="660" w:right="40" w:firstLine="648"/>
        <w:spacing w:after="0" w:line="266"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seven. The number of directors provided in this Section 1 may be changed by a Bylaw duly adopted by the affirmative vote of a majority of the outstanding shares entitled to vote or by a resolution of the Board of Directors.</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Board hereby amends Article II, Section 12 of the Company’s Bylaws to read in its entirely as follows: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12. Advance Notice of Stockholder Nominees and Stockholder Business</w:t>
      </w:r>
    </w:p>
    <w:p>
      <w:pPr>
        <w:spacing w:after="0" w:line="225" w:lineRule="exact"/>
        <w:rPr>
          <w:sz w:val="20"/>
          <w:szCs w:val="20"/>
          <w:color w:val="auto"/>
        </w:rPr>
      </w:pPr>
    </w:p>
    <w:p>
      <w:pPr>
        <w:ind w:left="660" w:firstLine="645"/>
        <w:spacing w:after="0" w:line="289" w:lineRule="auto"/>
        <w:tabs>
          <w:tab w:leader="none" w:pos="2003"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properly brought before an annual meeting or special meeting, nominations for the election of directors or other business must be (i) 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w:t>
      </w:r>
    </w:p>
    <w:p>
      <w:pPr>
        <w:spacing w:after="0" w:line="158" w:lineRule="exact"/>
        <w:rPr>
          <w:rFonts w:ascii="Times New Roman" w:cs="Times New Roman" w:eastAsia="Times New Roman" w:hAnsi="Times New Roman"/>
          <w:sz w:val="17"/>
          <w:szCs w:val="17"/>
          <w:color w:val="auto"/>
        </w:rPr>
      </w:pPr>
    </w:p>
    <w:p>
      <w:pPr>
        <w:ind w:left="660" w:firstLine="645"/>
        <w:spacing w:after="0" w:line="252" w:lineRule="auto"/>
        <w:tabs>
          <w:tab w:leader="none" w:pos="201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 of the corporation not less than one hundred twenty (120) calendar days in advance of the date of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address, as they appear on the corporation’s books, of the stockholder proposing such business, (iii) the class and number of shares of the corporation which are beneficially owned by the stockholder, (iv) any material interest of the stockholder in such business and (v) any other information that is required to be provided by the stockholder pursuant to Regulation 14A under the Securities Exchange Act of 1934, as amended (the “Exchange Act”), in his capacity as a proponent to a stockholder proposal. Notwithstanding the foregoing, in order to include information with respect to a stockholder proposal in the proxy statement and form of proxy for a stockholders’ meeting, stockholders must provide notice as required by the regulations promulgated under the Exchange Act. Notwithstanding anything in these bylaws to the contrary, no business shall be conducted at any annual meeting except in accordance with the procedures set forth in this Section 12. The chairman of the annual meeting shall, if the facts warrant, determine and declare at the meeting that business was not properly brought before the meeting and in accordance with the provisions of this Section 12, and, if he should so determine, he shall so declare at the meeting that any such business not properly brought before the meeting shall not be transacted.</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firstLine="645"/>
        <w:spacing w:after="0" w:line="253" w:lineRule="auto"/>
        <w:tabs>
          <w:tab w:leader="none" w:pos="20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persons who are nominated in accordance with the procedures set forth in this paragraph (c) shall be eligible for election as directors. Nominations of persons for election to the Board of Directors of the corporation may be made at a meeting of stockholders by or at the direction of the Board of Directors or by any stockholder of the corporation entitled to vote in the election of directors at the meeting who complies with the notice procedures set forth in this paragraph (c). Such nominations, other than those made by or at the direction of the Board of Directors, shall be made pursuant to timely notice in writing to the Secretary of the corporation in accordance with the provisions of paragraph (b) of this Section 12. Such stockholder’s notice shall set forth (i) as to each person, if any, whom the stockholder proposes to nominate for election or re-election as a director: (A) the name, age, business address and residence address of such person, (B) the principal occupation or employment of such person, (C) the class and number of shares of the corporation which are beneficially owned by such person, (D) a description of all arrangements or understandings between the stockholder and each nominee and any other person or persons (naming such person or persons) pursuant to which the nominations are to be made by the stockholder and (E) any other information relating to such person that is required to be disclosed in solicitations of proxies for elections of directors, or is otherwise required, in each case pursuant to Regulation 14A under the Exchange Act (including without limitation such person’s written consent to being named in the proxy statement, if any, as a nominee and to serving as a director if elected); and (ii) as to such stockholder giving notice, the information required to be provided pursuant to paragraph (b) of this Section 12. At the request of the</w:t>
      </w:r>
    </w:p>
    <w:p>
      <w:pPr>
        <w:sectPr>
          <w:pgSz w:w="11900" w:h="16838" w:orient="portrait"/>
          <w:cols w:equalWidth="0" w:num="1">
            <w:col w:w="11400"/>
          </w:cols>
          <w:pgMar w:left="240" w:top="121" w:right="259" w:bottom="0" w:gutter="0" w:footer="0" w:header="0"/>
        </w:sectPr>
      </w:pPr>
    </w:p>
    <w:bookmarkStart w:id="34" w:name="page35"/>
    <w:bookmarkEnd w:id="34"/>
    <w:p>
      <w:pPr>
        <w:ind w:left="660" w:right="60"/>
        <w:spacing w:after="0" w:line="261" w:lineRule="auto"/>
        <w:rPr>
          <w:sz w:val="20"/>
          <w:szCs w:val="20"/>
          <w:color w:val="auto"/>
        </w:rPr>
      </w:pPr>
      <w:r>
        <w:rPr>
          <w:rFonts w:ascii="Times New Roman" w:cs="Times New Roman" w:eastAsia="Times New Roman" w:hAnsi="Times New Roman"/>
          <w:sz w:val="18"/>
          <w:szCs w:val="18"/>
          <w:color w:val="auto"/>
        </w:rPr>
        <w:t>Board of Directors, any person nominated by a stockholder for election as a director shall furnish to the Secretary of the corporation that information required to be set forth in the stockholder’s notice of nomination which pertains to the nominee. The chairman of the meeting shall, if the facts warrant, determine and declare at the meeting that a nomination was not made in accordance with the procedures prescribed by these bylaws; and if he should so determine, he shall so declare at the meeting, and the defective nomination shall be disregarded.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corporation effective as of the 23rd day of November, 1999.</w:t>
      </w:r>
    </w:p>
    <w:p>
      <w:pPr>
        <w:spacing w:after="0" w:line="22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 Jan R. Reimer</w:t>
      </w:r>
    </w:p>
    <w:p>
      <w:pPr>
        <w:spacing w:after="0" w:line="2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-130810</wp:posOffset>
            </wp:positionV>
            <wp:extent cx="31216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(SEAL)</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CERTIFICATE OF TWENTY-SECOND AMENDMENT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07"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I, Jan R. Reimer, Assistant Corporate Secretary of Micron Technology, Inc., a Delaware corporation (the “Company”), hereby certify that the following resolutions were adopted by the Board of Directors on September 10, 2002:</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Bylaws of the Company have been amended by the Board from time to time as it has deemed advisable, necessary or convenient;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Company’s Bylaws indicate that the President of the Company will participate as an ex officio member of all board committees;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3" w:lineRule="exact"/>
        <w:rPr>
          <w:sz w:val="20"/>
          <w:szCs w:val="20"/>
          <w:color w:val="auto"/>
        </w:rPr>
      </w:pPr>
    </w:p>
    <w:p>
      <w:pPr>
        <w:ind w:right="6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such provisions may be inconsistent with provisions of the Sarbanes-Oxley Act of 2002 (“SOXA”) requiring that certain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committees consist solely of independent directors; and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it is in the best interests of the Company to amend the foregoing Bylaws to comply with SOXA;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Article V, Section 7 of the Bylaws of the Company be, and the same hereby is, amended to read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w:t>
      </w:r>
    </w:p>
    <w:p>
      <w:pPr>
        <w:spacing w:after="0" w:line="225"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color w:val="auto"/>
        </w:rPr>
        <w:t>SECTION 7. Subject to such supervisory powers, if any, as may be given by the Board of Directors to the Chairman of the Board, if there be such an officer, the President shall be the general manager of the corporation and shall, subject to the control of the Board of Directors, have general supervision, direction, and control of the business and officers of the corporation. He shall preside at all meetings of the shareholders and in the absence of the Chairman of the Board or if there be none, at all meetings of the Board of Directors. He shall have the general powers and duties of management usually vested in the office of president of a corporation, and shall have such other powers and duties as may be prescribed by the Board of Directors or by these Bylaws.”</w:t>
      </w:r>
    </w:p>
    <w:p>
      <w:pPr>
        <w:spacing w:after="0" w:line="400" w:lineRule="exact"/>
        <w:rPr>
          <w:sz w:val="20"/>
          <w:szCs w:val="20"/>
          <w:color w:val="auto"/>
        </w:rPr>
      </w:pPr>
    </w:p>
    <w:p>
      <w:pPr>
        <w:ind w:right="40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officers of the Company, including the Secretary and Assistant Secretary, be, and each of them hereby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and directed in the name and on behalf of the Company to do and perform any and all such acts and things, to sign or make such certificates, instruments, notices, statements, filings and to take or omit such other actions as they or each of them in his or her sole discretion may deem necessary or desirable, in order to carry out the intent or purposes of the above resolution.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Company effective as of the 10th day of September, 2002.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vMerge w:val="restart"/>
          </w:tcPr>
          <w:p>
            <w:pPr>
              <w:ind w:left="840"/>
              <w:spacing w:after="0"/>
              <w:rPr>
                <w:sz w:val="20"/>
                <w:szCs w:val="20"/>
                <w:color w:val="auto"/>
              </w:rPr>
            </w:pPr>
            <w:r>
              <w:rPr>
                <w:rFonts w:ascii="Times New Roman" w:cs="Times New Roman" w:eastAsia="Times New Roman" w:hAnsi="Times New Roman"/>
                <w:sz w:val="18"/>
                <w:szCs w:val="18"/>
                <w:color w:val="auto"/>
              </w:rPr>
              <w:t>(SEAL)</w:t>
            </w:r>
          </w:p>
        </w:tc>
        <w:tc>
          <w:tcPr>
            <w:tcW w:w="2880" w:type="dxa"/>
            <w:vAlign w:val="bottom"/>
          </w:tcPr>
          <w:p>
            <w:pPr>
              <w:spacing w:after="0"/>
              <w:rPr>
                <w:sz w:val="20"/>
                <w:szCs w:val="20"/>
                <w:color w:val="auto"/>
              </w:rPr>
            </w:pP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 R. Reimer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520" w:type="dxa"/>
            <w:vAlign w:val="bottom"/>
            <w:vMerge w:val="continue"/>
          </w:tcPr>
          <w:p>
            <w:pPr>
              <w:spacing w:after="0"/>
              <w:rPr>
                <w:sz w:val="19"/>
                <w:szCs w:val="19"/>
                <w:color w:val="auto"/>
              </w:rPr>
            </w:pPr>
          </w:p>
        </w:tc>
        <w:tc>
          <w:tcPr>
            <w:tcW w:w="288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Assistant Corporate Secretary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520" w:type="dxa"/>
            <w:vAlign w:val="bottom"/>
          </w:tcPr>
          <w:p>
            <w:pPr>
              <w:spacing w:after="0"/>
              <w:rPr>
                <w:sz w:val="24"/>
                <w:szCs w:val="24"/>
                <w:color w:val="auto"/>
              </w:rPr>
            </w:pPr>
          </w:p>
        </w:tc>
        <w:tc>
          <w:tcPr>
            <w:tcW w:w="28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33</w:t>
            </w:r>
          </w:p>
        </w:tc>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520" w:type="dxa"/>
            <w:vAlign w:val="bottom"/>
            <w:tcBorders>
              <w:bottom w:val="single" w:sz="8" w:color="808080"/>
            </w:tcBorders>
          </w:tcPr>
          <w:p>
            <w:pPr>
              <w:spacing w:after="0"/>
              <w:rPr>
                <w:sz w:val="9"/>
                <w:szCs w:val="9"/>
                <w:color w:val="auto"/>
              </w:rPr>
            </w:pPr>
          </w:p>
        </w:tc>
        <w:tc>
          <w:tcPr>
            <w:tcW w:w="2880" w:type="dxa"/>
            <w:vAlign w:val="bottom"/>
            <w:tcBorders>
              <w:bottom w:val="single" w:sz="8" w:color="808080"/>
            </w:tcBorders>
          </w:tcPr>
          <w:p>
            <w:pPr>
              <w:spacing w:after="0"/>
              <w:rPr>
                <w:sz w:val="9"/>
                <w:szCs w:val="9"/>
                <w:color w:val="auto"/>
              </w:rPr>
            </w:pPr>
          </w:p>
        </w:tc>
        <w:tc>
          <w:tcPr>
            <w:tcW w:w="50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CERTIFICATE OF TWENTY-THIRD AMENDMENT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07"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I, Jan R. Reimer, Assistant Corporate Secretary of Micron Technology, Inc., a Delaware corporation (the “Company”), hereby certify that the following resolution was adopted by the Board of Directors on April 22, 2003:</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directors desire to reduce the number of directors permitted to serve on the Board of the Directors to six;</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Article III, Section I of the Bylaws of this Company be amended to read in its entirety as</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ind w:left="660" w:right="140" w:firstLine="648"/>
        <w:spacing w:after="0" w:line="266"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six. The number of directors provided in this Section 1 may be changed by a Bylaw duly adopted by the affirmative vote of a majority of the outstanding shares entitled to vote or by a resolution of the Board of Directors.</w:t>
      </w:r>
    </w:p>
    <w:p>
      <w:pPr>
        <w:sectPr>
          <w:pgSz w:w="11900" w:h="16838" w:orient="portrait"/>
          <w:cols w:equalWidth="0" w:num="1">
            <w:col w:w="11440"/>
          </w:cols>
          <w:pgMar w:left="240" w:top="121" w:right="219" w:bottom="0" w:gutter="0" w:footer="0" w:header="0"/>
        </w:sectPr>
      </w:pPr>
    </w:p>
    <w:bookmarkStart w:id="35" w:name="page36"/>
    <w:bookmarkEnd w:id="35"/>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I hereunto set my hand and affix the corporate seal of said Company effective as of the 22nd day of April, 2003.</w:t>
      </w:r>
    </w:p>
    <w:p>
      <w:pPr>
        <w:sectPr>
          <w:pgSz w:w="11900" w:h="16838" w:orient="portrait"/>
          <w:cols w:equalWidth="0" w:num="1">
            <w:col w:w="11440"/>
          </w:cols>
          <w:pgMar w:left="240" w:top="117" w:right="219" w:bottom="1440" w:gutter="0" w:footer="0" w:header="0"/>
        </w:sect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vMerge w:val="restart"/>
          </w:tcPr>
          <w:p>
            <w:pPr>
              <w:ind w:left="820"/>
              <w:spacing w:after="0"/>
              <w:rPr>
                <w:sz w:val="20"/>
                <w:szCs w:val="20"/>
                <w:color w:val="auto"/>
              </w:rPr>
            </w:pPr>
            <w:r>
              <w:rPr>
                <w:rFonts w:ascii="Times New Roman" w:cs="Times New Roman" w:eastAsia="Times New Roman" w:hAnsi="Times New Roman"/>
                <w:sz w:val="18"/>
                <w:szCs w:val="18"/>
                <w:color w:val="auto"/>
              </w:rPr>
              <w:t>(SEAL)</w:t>
            </w:r>
          </w:p>
        </w:tc>
        <w:tc>
          <w:tcPr>
            <w:tcW w:w="3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Assistant</w:t>
            </w:r>
          </w:p>
        </w:tc>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 R. Reimer</w:t>
            </w: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500" w:type="dxa"/>
            <w:vAlign w:val="bottom"/>
            <w:vMerge w:val="continue"/>
          </w:tcPr>
          <w:p>
            <w:pPr>
              <w:spacing w:after="0"/>
              <w:rPr>
                <w:sz w:val="19"/>
                <w:szCs w:val="19"/>
                <w:color w:val="auto"/>
              </w:rPr>
            </w:pPr>
          </w:p>
        </w:tc>
        <w:tc>
          <w:tcPr>
            <w:tcW w:w="3280" w:type="dxa"/>
            <w:vAlign w:val="bottom"/>
            <w:vMerge w:val="continue"/>
          </w:tcPr>
          <w:p>
            <w:pPr>
              <w:spacing w:after="0"/>
              <w:rPr>
                <w:sz w:val="19"/>
                <w:szCs w:val="19"/>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Secretary</w:t>
            </w: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500" w:type="dxa"/>
            <w:vAlign w:val="bottom"/>
          </w:tcPr>
          <w:p>
            <w:pPr>
              <w:spacing w:after="0"/>
              <w:rPr>
                <w:sz w:val="24"/>
                <w:szCs w:val="24"/>
                <w:color w:val="auto"/>
              </w:rPr>
            </w:pPr>
          </w:p>
        </w:tc>
        <w:tc>
          <w:tcPr>
            <w:tcW w:w="32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34</w:t>
            </w:r>
          </w:p>
        </w:tc>
        <w:tc>
          <w:tcPr>
            <w:tcW w:w="2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50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c>
          <w:tcPr>
            <w:tcW w:w="2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type w:val="continuous"/>
        </w:sectPr>
      </w:pPr>
    </w:p>
    <w:bookmarkStart w:id="36" w:name="page37"/>
    <w:bookmarkEnd w:id="36"/>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 Steven R. Appleton, certify, pursuant to 18 U.S.C. Section 1350, as adopted pursuant to Section 906 of the Sarbanes-Oxley Act of 2002, that the quarterly report of Micron Technology, Inc. on Form 10-Q for the quarter ended May 29, 2003, fully complies with the requirements of Section 13(a) or 15(d) of the Securities Exchange Act of 1934 and that information contained in such quarterly report on Form 10-Q fairly presents, in all material respects, the financial condition and results of operations of Micron Technology, Inc.</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Date: July 11, 2003</w:t>
            </w:r>
          </w:p>
        </w:tc>
        <w:tc>
          <w:tcPr>
            <w:tcW w:w="17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By:</w:t>
            </w:r>
          </w:p>
        </w:tc>
        <w:tc>
          <w:tcPr>
            <w:tcW w:w="7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Steven R. Appleton</w:t>
            </w:r>
          </w:p>
        </w:tc>
      </w:tr>
      <w:tr>
        <w:trPr>
          <w:trHeight w:val="191"/>
        </w:trPr>
        <w:tc>
          <w:tcPr>
            <w:tcW w:w="25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140" w:type="dxa"/>
            <w:vAlign w:val="bottom"/>
          </w:tcPr>
          <w:p>
            <w:pPr>
              <w:ind w:left="760"/>
              <w:spacing w:after="0" w:line="191" w:lineRule="exact"/>
              <w:rPr>
                <w:sz w:val="20"/>
                <w:szCs w:val="20"/>
                <w:color w:val="auto"/>
              </w:rPr>
            </w:pPr>
            <w:r>
              <w:rPr>
                <w:rFonts w:ascii="Times New Roman" w:cs="Times New Roman" w:eastAsia="Times New Roman" w:hAnsi="Times New Roman"/>
                <w:sz w:val="18"/>
                <w:szCs w:val="18"/>
                <w:color w:val="auto"/>
              </w:rPr>
              <w:t>Steven R. Appleton</w:t>
            </w:r>
          </w:p>
        </w:tc>
      </w:tr>
      <w:tr>
        <w:trPr>
          <w:trHeight w:val="216"/>
        </w:trPr>
        <w:tc>
          <w:tcPr>
            <w:tcW w:w="2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1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Chairman of the Board, Chief Executive Officer</w:t>
            </w:r>
          </w:p>
        </w:tc>
      </w:tr>
      <w:tr>
        <w:trPr>
          <w:trHeight w:val="234"/>
        </w:trPr>
        <w:tc>
          <w:tcPr>
            <w:tcW w:w="25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1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and President</w:t>
            </w:r>
          </w:p>
        </w:tc>
      </w:tr>
    </w:tbl>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 W. G. Stover, Jr., certify, pursuant to 18 U.S.C. Section 1350, as adopted pursuant to Section 906 of the Sarbanes-Oxley Act of 2002, that the quarterly report of Micron Technology, Inc. on Form 10-Q for the quarter ended May 29, 2003, fully complies with the requirements of Section 13(a) or 15(d) of the Securities Exchange Act of 1934 and that information contained in such quarterly report on Form 10-Q fairly presents, in all material respects, the financial condition and results of operations of Micron Technology, Inc.</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Date: July 11, 2003</w:t>
            </w:r>
          </w:p>
        </w:tc>
        <w:tc>
          <w:tcPr>
            <w:tcW w:w="17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By:</w:t>
            </w:r>
          </w:p>
        </w:tc>
        <w:tc>
          <w:tcPr>
            <w:tcW w:w="7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W. G. Stover, Jr.</w:t>
            </w:r>
          </w:p>
        </w:tc>
        <w:tc>
          <w:tcPr>
            <w:tcW w:w="20" w:type="dxa"/>
            <w:vAlign w:val="bottom"/>
          </w:tcPr>
          <w:p>
            <w:pPr>
              <w:spacing w:after="0"/>
              <w:rPr>
                <w:sz w:val="20"/>
                <w:szCs w:val="20"/>
                <w:color w:val="auto"/>
              </w:rPr>
            </w:pPr>
          </w:p>
        </w:tc>
      </w:tr>
      <w:tr>
        <w:trPr>
          <w:trHeight w:val="191"/>
        </w:trPr>
        <w:tc>
          <w:tcPr>
            <w:tcW w:w="2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140" w:type="dxa"/>
            <w:vAlign w:val="bottom"/>
          </w:tcPr>
          <w:p>
            <w:pPr>
              <w:ind w:left="760"/>
              <w:spacing w:after="0" w:line="191" w:lineRule="exact"/>
              <w:rPr>
                <w:sz w:val="20"/>
                <w:szCs w:val="20"/>
                <w:color w:val="auto"/>
              </w:rPr>
            </w:pPr>
            <w:r>
              <w:rPr>
                <w:rFonts w:ascii="Times New Roman" w:cs="Times New Roman" w:eastAsia="Times New Roman" w:hAnsi="Times New Roman"/>
                <w:sz w:val="18"/>
                <w:szCs w:val="18"/>
                <w:color w:val="auto"/>
              </w:rPr>
              <w:t>W. G. Stover, Jr.</w:t>
            </w:r>
          </w:p>
        </w:tc>
        <w:tc>
          <w:tcPr>
            <w:tcW w:w="20" w:type="dxa"/>
            <w:vAlign w:val="bottom"/>
          </w:tcPr>
          <w:p>
            <w:pPr>
              <w:spacing w:after="0"/>
              <w:rPr>
                <w:sz w:val="16"/>
                <w:szCs w:val="16"/>
                <w:color w:val="auto"/>
              </w:rPr>
            </w:pPr>
          </w:p>
        </w:tc>
      </w:tr>
      <w:tr>
        <w:trPr>
          <w:trHeight w:val="216"/>
        </w:trPr>
        <w:tc>
          <w:tcPr>
            <w:tcW w:w="2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1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Vice President of Finance and</w:t>
            </w:r>
          </w:p>
        </w:tc>
        <w:tc>
          <w:tcPr>
            <w:tcW w:w="20" w:type="dxa"/>
            <w:vAlign w:val="bottom"/>
          </w:tcPr>
          <w:p>
            <w:pPr>
              <w:spacing w:after="0"/>
              <w:rPr>
                <w:sz w:val="18"/>
                <w:szCs w:val="18"/>
                <w:color w:val="auto"/>
              </w:rPr>
            </w:pPr>
          </w:p>
        </w:tc>
      </w:tr>
      <w:tr>
        <w:trPr>
          <w:trHeight w:val="234"/>
        </w:trPr>
        <w:tc>
          <w:tcPr>
            <w:tcW w:w="25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1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Chief Financial Officer</w:t>
            </w:r>
          </w:p>
        </w:tc>
        <w:tc>
          <w:tcPr>
            <w:tcW w:w="20" w:type="dxa"/>
            <w:vAlign w:val="bottom"/>
          </w:tcPr>
          <w:p>
            <w:pPr>
              <w:spacing w:after="0"/>
              <w:rPr>
                <w:sz w:val="20"/>
                <w:szCs w:val="20"/>
                <w:color w:val="auto"/>
              </w:rPr>
            </w:pPr>
          </w:p>
        </w:tc>
      </w:tr>
      <w:tr>
        <w:trPr>
          <w:trHeight w:val="321"/>
        </w:trPr>
        <w:tc>
          <w:tcPr>
            <w:tcW w:w="254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71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1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3"/>
    </w:lvl>
    <w:lvl w:ilvl="1">
      <w:lvlJc w:val="left"/>
      <w:lvlText w:val="%2."/>
      <w:numFmt w:val="lowerLetter"/>
      <w:start w:val="1"/>
    </w:lvl>
  </w:abstractNum>
  <w:abstractNum w:abstractNumId="9">
    <w:nsid w:val="140E0F76"/>
    <w:multiLevelType w:val="hybridMultilevel"/>
    <w:lvl w:ilvl="0">
      <w:lvlJc w:val="left"/>
      <w:lvlText w:val="%1."/>
      <w:numFmt w:val="decimal"/>
      <w:start w:val="1"/>
    </w:lvl>
    <w:lvl w:ilvl="1">
      <w:lvlJc w:val="left"/>
      <w:lvlText w:val="%2."/>
      <w:numFmt w:val="lowerLetter"/>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Roman"/>
      <w:start w:val="3"/>
    </w:lvl>
  </w:abstractNum>
  <w:abstractNum w:abstractNumId="12">
    <w:nsid w:val="DED7263"/>
    <w:multiLevelType w:val="hybridMultilevel"/>
    <w:lvl w:ilvl="0">
      <w:lvlJc w:val="left"/>
      <w:lvlText w:val="(%1)"/>
      <w:numFmt w:val="lowerLetter"/>
      <w:start w:val="3"/>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2019-12-13T13:27:51Z</dcterms:created>
  <dcterms:modified xsi:type="dcterms:W3CDTF">2019-12-13T13:27:51Z</dcterms:modified>
</cp:coreProperties>
</file>