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AS FILED WITH THE SECURITIES AND EXCHANGE COMMISSION ON JUNE 3, 1997</w:t>
      </w:r>
    </w:p>
    <w:p>
      <w:pPr>
        <w:spacing w:after="0" w:line="188" w:lineRule="exact"/>
        <w:rPr>
          <w:sz w:val="24"/>
          <w:szCs w:val="24"/>
          <w:color w:val="auto"/>
        </w:rPr>
      </w:pPr>
    </w:p>
    <w:p>
      <w:pPr>
        <w:ind w:left="4621"/>
        <w:spacing w:after="0"/>
        <w:rPr>
          <w:sz w:val="20"/>
          <w:szCs w:val="20"/>
          <w:color w:val="auto"/>
        </w:rPr>
      </w:pPr>
      <w:r>
        <w:rPr>
          <w:rFonts w:ascii="Courier New" w:cs="Courier New" w:eastAsia="Courier New" w:hAnsi="Courier New"/>
          <w:sz w:val="16"/>
          <w:szCs w:val="16"/>
          <w:color w:val="auto"/>
        </w:rPr>
        <w:t>REGISTRATION NO. 333-18441</w:t>
      </w:r>
    </w:p>
    <w:p>
      <w:pPr>
        <w:spacing w:after="0" w:line="4"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1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AND EXCHANGE COMMISSION</w:t>
      </w:r>
    </w:p>
    <w:p>
      <w:pPr>
        <w:spacing w:after="0" w:line="3" w:lineRule="exact"/>
        <w:rPr>
          <w:rFonts w:ascii="Courier New" w:cs="Courier New" w:eastAsia="Courier New" w:hAnsi="Courier New"/>
          <w:sz w:val="16"/>
          <w:szCs w:val="16"/>
          <w:color w:val="auto"/>
        </w:rPr>
      </w:pPr>
    </w:p>
    <w:p>
      <w:pPr>
        <w:ind w:left="2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AMENDMENT NO. 1</w:t>
      </w:r>
    </w:p>
    <w:p>
      <w:pPr>
        <w:spacing w:after="0" w:line="188" w:lineRule="exact"/>
        <w:rPr>
          <w:sz w:val="24"/>
          <w:szCs w:val="24"/>
          <w:color w:val="auto"/>
        </w:rPr>
      </w:pPr>
    </w:p>
    <w:p>
      <w:pPr>
        <w:ind w:left="3461"/>
        <w:spacing w:after="0"/>
        <w:rPr>
          <w:sz w:val="20"/>
          <w:szCs w:val="20"/>
          <w:color w:val="auto"/>
        </w:rPr>
      </w:pPr>
      <w:r>
        <w:rPr>
          <w:rFonts w:ascii="Courier New" w:cs="Courier New" w:eastAsia="Courier New" w:hAnsi="Courier New"/>
          <w:sz w:val="16"/>
          <w:szCs w:val="16"/>
          <w:color w:val="auto"/>
        </w:rPr>
        <w:t>TO</w:t>
      </w:r>
    </w:p>
    <w:p>
      <w:pPr>
        <w:spacing w:after="0" w:line="4"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FORM S-3</w:t>
      </w:r>
    </w:p>
    <w:p>
      <w:pPr>
        <w:spacing w:after="0" w:line="4"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REGISTRATION STATEMENT</w:t>
      </w:r>
    </w:p>
    <w:p>
      <w:pPr>
        <w:spacing w:after="0" w:line="4" w:lineRule="exact"/>
        <w:rPr>
          <w:sz w:val="24"/>
          <w:szCs w:val="24"/>
          <w:color w:val="auto"/>
        </w:rPr>
      </w:pPr>
    </w:p>
    <w:p>
      <w:pPr>
        <w:ind w:left="3561"/>
        <w:spacing w:after="0"/>
        <w:rPr>
          <w:sz w:val="20"/>
          <w:szCs w:val="20"/>
          <w:color w:val="auto"/>
        </w:rPr>
      </w:pPr>
      <w:r>
        <w:rPr>
          <w:rFonts w:ascii="Courier New" w:cs="Courier New" w:eastAsia="Courier New" w:hAnsi="Courier New"/>
          <w:sz w:val="16"/>
          <w:szCs w:val="16"/>
          <w:color w:val="auto"/>
        </w:rPr>
        <w:t>UNDER</w:t>
      </w:r>
    </w:p>
    <w:p>
      <w:pPr>
        <w:spacing w:after="0" w:line="4" w:lineRule="exact"/>
        <w:rPr>
          <w:sz w:val="24"/>
          <w:szCs w:val="24"/>
          <w:color w:val="auto"/>
        </w:rPr>
      </w:pPr>
    </w:p>
    <w:p>
      <w:pPr>
        <w:ind w:left="2501"/>
        <w:spacing w:after="0"/>
        <w:rPr>
          <w:sz w:val="20"/>
          <w:szCs w:val="20"/>
          <w:color w:val="auto"/>
        </w:rPr>
      </w:pPr>
      <w:r>
        <w:rPr>
          <w:rFonts w:ascii="Courier New" w:cs="Courier New" w:eastAsia="Courier New" w:hAnsi="Courier New"/>
          <w:sz w:val="16"/>
          <w:szCs w:val="16"/>
          <w:color w:val="auto"/>
        </w:rPr>
        <w:t>THE SECURITIES ACT OF 1933</w:t>
      </w:r>
    </w:p>
    <w:p>
      <w:pPr>
        <w:spacing w:after="0" w:line="188"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MICRON TECHNOLOGY, INC.</w:t>
      </w:r>
    </w:p>
    <w:p>
      <w:pPr>
        <w:spacing w:after="0" w:line="4"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8" w:lineRule="exact"/>
        <w:rPr>
          <w:sz w:val="24"/>
          <w:szCs w:val="24"/>
          <w:color w:val="auto"/>
        </w:rPr>
      </w:pPr>
    </w:p>
    <w:tbl>
      <w:tblPr>
        <w:tblLayout w:type="fixed"/>
        <w:tblInd w:w="681" w:type="dxa"/>
        <w:tblCellMar>
          <w:top w:w="0" w:type="dxa"/>
          <w:left w:w="0" w:type="dxa"/>
          <w:bottom w:w="0" w:type="dxa"/>
          <w:right w:w="0" w:type="dxa"/>
        </w:tblCellMar>
      </w:tblPr>
      <w:tr>
        <w:trPr>
          <w:trHeight w:val="181"/>
        </w:trPr>
        <w:tc>
          <w:tcPr>
            <w:tcW w:w="5660" w:type="dxa"/>
            <w:vAlign w:val="bottom"/>
          </w:tcPr>
          <w:p>
            <w:pPr>
              <w:ind w:left="240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spacing w:after="0"/>
              <w:rPr>
                <w:sz w:val="15"/>
                <w:szCs w:val="15"/>
                <w:color w:val="auto"/>
              </w:rPr>
            </w:pPr>
          </w:p>
        </w:tc>
      </w:tr>
      <w:tr>
        <w:trPr>
          <w:trHeight w:val="554"/>
        </w:trPr>
        <w:tc>
          <w:tcPr>
            <w:tcW w:w="5660" w:type="dxa"/>
            <w:vAlign w:val="bottom"/>
          </w:tcPr>
          <w:p>
            <w:pPr>
              <w:ind w:left="1340"/>
              <w:spacing w:after="0"/>
              <w:rPr>
                <w:sz w:val="20"/>
                <w:szCs w:val="20"/>
                <w:color w:val="auto"/>
              </w:rPr>
            </w:pPr>
            <w:r>
              <w:rPr>
                <w:rFonts w:ascii="Courier New" w:cs="Courier New" w:eastAsia="Courier New" w:hAnsi="Courier New"/>
                <w:sz w:val="16"/>
                <w:szCs w:val="16"/>
                <w:color w:val="auto"/>
              </w:rPr>
              <w:t>DELAWARE</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75-1618004</w:t>
            </w:r>
          </w:p>
        </w:tc>
      </w:tr>
      <w:tr>
        <w:trPr>
          <w:trHeight w:val="185"/>
        </w:trPr>
        <w:tc>
          <w:tcPr>
            <w:tcW w:w="5660" w:type="dxa"/>
            <w:vAlign w:val="bottom"/>
          </w:tcPr>
          <w:p>
            <w:pPr>
              <w:jc w:val="right"/>
              <w:ind w:right="2420"/>
              <w:spacing w:after="0"/>
              <w:rPr>
                <w:sz w:val="20"/>
                <w:szCs w:val="20"/>
                <w:color w:val="auto"/>
              </w:rPr>
            </w:pPr>
            <w:r>
              <w:rPr>
                <w:rFonts w:ascii="Courier New" w:cs="Courier New" w:eastAsia="Courier New" w:hAnsi="Courier New"/>
                <w:sz w:val="16"/>
                <w:szCs w:val="16"/>
                <w:color w:val="auto"/>
              </w:rPr>
              <w:t>(STATE OR OTHER JURISDICTION OF</w:t>
            </w:r>
          </w:p>
        </w:tc>
        <w:tc>
          <w:tcPr>
            <w:tcW w:w="182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(I.R.S. EMPLOYER</w:t>
            </w:r>
          </w:p>
        </w:tc>
      </w:tr>
      <w:tr>
        <w:trPr>
          <w:trHeight w:val="185"/>
        </w:trPr>
        <w:tc>
          <w:tcPr>
            <w:tcW w:w="5660" w:type="dxa"/>
            <w:vAlign w:val="bottom"/>
          </w:tcPr>
          <w:p>
            <w:pPr>
              <w:jc w:val="right"/>
              <w:ind w:right="2420"/>
              <w:spacing w:after="0"/>
              <w:rPr>
                <w:sz w:val="20"/>
                <w:szCs w:val="20"/>
                <w:color w:val="auto"/>
              </w:rPr>
            </w:pPr>
            <w:r>
              <w:rPr>
                <w:rFonts w:ascii="Courier New" w:cs="Courier New" w:eastAsia="Courier New" w:hAnsi="Courier New"/>
                <w:sz w:val="16"/>
                <w:szCs w:val="16"/>
                <w:color w:val="auto"/>
              </w:rPr>
              <w:t>INCORPORATION OR ORGANIZATION)</w:t>
            </w:r>
          </w:p>
        </w:tc>
        <w:tc>
          <w:tcPr>
            <w:tcW w:w="1820" w:type="dxa"/>
            <w:vAlign w:val="bottom"/>
          </w:tcPr>
          <w:p>
            <w:pPr>
              <w:spacing w:after="0"/>
              <w:rPr>
                <w:sz w:val="20"/>
                <w:szCs w:val="20"/>
                <w:color w:val="auto"/>
              </w:rPr>
            </w:pPr>
            <w:r>
              <w:rPr>
                <w:rFonts w:ascii="Courier New" w:cs="Courier New" w:eastAsia="Courier New" w:hAnsi="Courier New"/>
                <w:sz w:val="16"/>
                <w:szCs w:val="16"/>
                <w:color w:val="auto"/>
                <w:w w:val="98"/>
              </w:rPr>
              <w:t>IDENTIFICATION NO.)</w:t>
            </w:r>
          </w:p>
        </w:tc>
      </w:tr>
      <w:tr>
        <w:trPr>
          <w:trHeight w:val="370"/>
        </w:trPr>
        <w:tc>
          <w:tcPr>
            <w:tcW w:w="5660" w:type="dxa"/>
            <w:vAlign w:val="bottom"/>
          </w:tcPr>
          <w:p>
            <w:pPr>
              <w:jc w:val="center"/>
              <w:ind w:left="380"/>
              <w:spacing w:after="0"/>
              <w:rPr>
                <w:sz w:val="20"/>
                <w:szCs w:val="20"/>
                <w:color w:val="auto"/>
              </w:rPr>
            </w:pPr>
            <w:r>
              <w:rPr>
                <w:rFonts w:ascii="Courier New" w:cs="Courier New" w:eastAsia="Courier New" w:hAnsi="Courier New"/>
                <w:sz w:val="16"/>
                <w:szCs w:val="16"/>
                <w:color w:val="auto"/>
              </w:rPr>
              <w:t>8000 SOUTH FEDERAL WAY</w:t>
            </w:r>
          </w:p>
        </w:tc>
        <w:tc>
          <w:tcPr>
            <w:tcW w:w="1820" w:type="dxa"/>
            <w:vAlign w:val="bottom"/>
          </w:tcPr>
          <w:p>
            <w:pPr>
              <w:spacing w:after="0"/>
              <w:rPr>
                <w:sz w:val="24"/>
                <w:szCs w:val="24"/>
                <w:color w:val="auto"/>
              </w:rPr>
            </w:pPr>
          </w:p>
        </w:tc>
      </w:tr>
      <w:tr>
        <w:trPr>
          <w:trHeight w:val="185"/>
        </w:trPr>
        <w:tc>
          <w:tcPr>
            <w:tcW w:w="5660" w:type="dxa"/>
            <w:vAlign w:val="bottom"/>
          </w:tcPr>
          <w:p>
            <w:pPr>
              <w:jc w:val="center"/>
              <w:ind w:left="380"/>
              <w:spacing w:after="0"/>
              <w:rPr>
                <w:sz w:val="20"/>
                <w:szCs w:val="20"/>
                <w:color w:val="auto"/>
              </w:rPr>
            </w:pPr>
            <w:r>
              <w:rPr>
                <w:rFonts w:ascii="Courier New" w:cs="Courier New" w:eastAsia="Courier New" w:hAnsi="Courier New"/>
                <w:sz w:val="16"/>
                <w:szCs w:val="16"/>
                <w:color w:val="auto"/>
                <w:w w:val="99"/>
              </w:rPr>
              <w:t>P.O. BOX 6</w:t>
            </w:r>
          </w:p>
        </w:tc>
        <w:tc>
          <w:tcPr>
            <w:tcW w:w="1820" w:type="dxa"/>
            <w:vAlign w:val="bottom"/>
          </w:tcPr>
          <w:p>
            <w:pPr>
              <w:spacing w:after="0"/>
              <w:rPr>
                <w:sz w:val="16"/>
                <w:szCs w:val="16"/>
                <w:color w:val="auto"/>
              </w:rPr>
            </w:pPr>
          </w:p>
        </w:tc>
      </w:tr>
      <w:tr>
        <w:trPr>
          <w:trHeight w:val="185"/>
        </w:trPr>
        <w:tc>
          <w:tcPr>
            <w:tcW w:w="5660" w:type="dxa"/>
            <w:vAlign w:val="bottom"/>
          </w:tcPr>
          <w:p>
            <w:pPr>
              <w:jc w:val="center"/>
              <w:ind w:left="480"/>
              <w:spacing w:after="0"/>
              <w:rPr>
                <w:sz w:val="20"/>
                <w:szCs w:val="20"/>
                <w:color w:val="auto"/>
              </w:rPr>
            </w:pPr>
            <w:r>
              <w:rPr>
                <w:rFonts w:ascii="Courier New" w:cs="Courier New" w:eastAsia="Courier New" w:hAnsi="Courier New"/>
                <w:sz w:val="16"/>
                <w:szCs w:val="16"/>
                <w:color w:val="auto"/>
              </w:rPr>
              <w:t>BOISE, IDAHO 83707-0006</w:t>
            </w:r>
          </w:p>
        </w:tc>
        <w:tc>
          <w:tcPr>
            <w:tcW w:w="1820" w:type="dxa"/>
            <w:vAlign w:val="bottom"/>
          </w:tcPr>
          <w:p>
            <w:pPr>
              <w:spacing w:after="0"/>
              <w:rPr>
                <w:sz w:val="16"/>
                <w:szCs w:val="16"/>
                <w:color w:val="auto"/>
              </w:rPr>
            </w:pPr>
          </w:p>
        </w:tc>
      </w:tr>
      <w:tr>
        <w:trPr>
          <w:trHeight w:val="185"/>
        </w:trPr>
        <w:tc>
          <w:tcPr>
            <w:tcW w:w="5660" w:type="dxa"/>
            <w:vAlign w:val="bottom"/>
          </w:tcPr>
          <w:p>
            <w:pPr>
              <w:ind w:left="2400"/>
              <w:spacing w:after="0"/>
              <w:rPr>
                <w:sz w:val="20"/>
                <w:szCs w:val="20"/>
                <w:color w:val="auto"/>
              </w:rPr>
            </w:pPr>
            <w:r>
              <w:rPr>
                <w:rFonts w:ascii="Courier New" w:cs="Courier New" w:eastAsia="Courier New" w:hAnsi="Courier New"/>
                <w:sz w:val="16"/>
                <w:szCs w:val="16"/>
                <w:color w:val="auto"/>
              </w:rPr>
              <w:t>(208) 368-4000</w:t>
            </w:r>
          </w:p>
        </w:tc>
        <w:tc>
          <w:tcPr>
            <w:tcW w:w="1820" w:type="dxa"/>
            <w:vAlign w:val="bottom"/>
          </w:tcPr>
          <w:p>
            <w:pPr>
              <w:spacing w:after="0"/>
              <w:rPr>
                <w:sz w:val="16"/>
                <w:szCs w:val="16"/>
                <w:color w:val="auto"/>
              </w:rPr>
            </w:pPr>
          </w:p>
        </w:tc>
      </w:tr>
      <w:tr>
        <w:trPr>
          <w:trHeight w:val="185"/>
        </w:trPr>
        <w:tc>
          <w:tcPr>
            <w:tcW w:w="5660" w:type="dxa"/>
            <w:vAlign w:val="bottom"/>
          </w:tcPr>
          <w:p>
            <w:pPr>
              <w:jc w:val="center"/>
              <w:ind w:left="480"/>
              <w:spacing w:after="0"/>
              <w:rPr>
                <w:sz w:val="20"/>
                <w:szCs w:val="20"/>
                <w:color w:val="auto"/>
              </w:rPr>
            </w:pPr>
            <w:r>
              <w:rPr>
                <w:rFonts w:ascii="Courier New" w:cs="Courier New" w:eastAsia="Courier New" w:hAnsi="Courier New"/>
                <w:sz w:val="16"/>
                <w:szCs w:val="16"/>
                <w:color w:val="auto"/>
              </w:rPr>
              <w:t>(ADDRESS, INCLUDING ZIP CODE, AND TELEPHONE NUMBER,</w:t>
            </w:r>
          </w:p>
        </w:tc>
        <w:tc>
          <w:tcPr>
            <w:tcW w:w="1820" w:type="dxa"/>
            <w:vAlign w:val="bottom"/>
          </w:tcPr>
          <w:p>
            <w:pPr>
              <w:spacing w:after="0"/>
              <w:rPr>
                <w:sz w:val="16"/>
                <w:szCs w:val="16"/>
                <w:color w:val="auto"/>
              </w:rPr>
            </w:pPr>
          </w:p>
        </w:tc>
      </w:tr>
      <w:tr>
        <w:trPr>
          <w:trHeight w:val="185"/>
        </w:trPr>
        <w:tc>
          <w:tcPr>
            <w:tcW w:w="7480" w:type="dxa"/>
            <w:vAlign w:val="bottom"/>
            <w:gridSpan w:val="2"/>
          </w:tcPr>
          <w:p>
            <w:pPr>
              <w:jc w:val="center"/>
              <w:ind w:right="1160"/>
              <w:spacing w:after="0"/>
              <w:rPr>
                <w:sz w:val="20"/>
                <w:szCs w:val="20"/>
                <w:color w:val="auto"/>
              </w:rPr>
            </w:pPr>
            <w:r>
              <w:rPr>
                <w:rFonts w:ascii="Courier New" w:cs="Courier New" w:eastAsia="Courier New" w:hAnsi="Courier New"/>
                <w:sz w:val="16"/>
                <w:szCs w:val="16"/>
                <w:color w:val="auto"/>
                <w:w w:val="99"/>
              </w:rPr>
              <w:t>INCLUDING AREA CODE, OF REGISTRANT'S PRINCIPAL EXECUTIVE OFFICES)</w:t>
            </w:r>
          </w:p>
        </w:tc>
      </w:tr>
      <w:tr>
        <w:trPr>
          <w:trHeight w:val="370"/>
        </w:trPr>
        <w:tc>
          <w:tcPr>
            <w:tcW w:w="5660" w:type="dxa"/>
            <w:vAlign w:val="bottom"/>
          </w:tcPr>
          <w:p>
            <w:pPr>
              <w:jc w:val="center"/>
              <w:ind w:left="480"/>
              <w:spacing w:after="0"/>
              <w:rPr>
                <w:sz w:val="20"/>
                <w:szCs w:val="20"/>
                <w:color w:val="auto"/>
              </w:rPr>
            </w:pPr>
            <w:r>
              <w:rPr>
                <w:rFonts w:ascii="Courier New" w:cs="Courier New" w:eastAsia="Courier New" w:hAnsi="Courier New"/>
                <w:sz w:val="16"/>
                <w:szCs w:val="16"/>
                <w:color w:val="auto"/>
              </w:rPr>
              <w:t>WILBUR G. STOVER, JR.</w:t>
            </w:r>
          </w:p>
        </w:tc>
        <w:tc>
          <w:tcPr>
            <w:tcW w:w="1820" w:type="dxa"/>
            <w:vAlign w:val="bottom"/>
          </w:tcPr>
          <w:p>
            <w:pPr>
              <w:spacing w:after="0"/>
              <w:rPr>
                <w:sz w:val="24"/>
                <w:szCs w:val="24"/>
                <w:color w:val="auto"/>
              </w:rPr>
            </w:pPr>
          </w:p>
        </w:tc>
      </w:tr>
      <w:tr>
        <w:trPr>
          <w:trHeight w:val="185"/>
        </w:trPr>
        <w:tc>
          <w:tcPr>
            <w:tcW w:w="5660" w:type="dxa"/>
            <w:vAlign w:val="bottom"/>
          </w:tcPr>
          <w:p>
            <w:pPr>
              <w:jc w:val="center"/>
              <w:ind w:left="480"/>
              <w:spacing w:after="0"/>
              <w:rPr>
                <w:sz w:val="20"/>
                <w:szCs w:val="20"/>
                <w:color w:val="auto"/>
              </w:rPr>
            </w:pPr>
            <w:r>
              <w:rPr>
                <w:rFonts w:ascii="Courier New" w:cs="Courier New" w:eastAsia="Courier New" w:hAnsi="Courier New"/>
                <w:sz w:val="16"/>
                <w:szCs w:val="16"/>
                <w:color w:val="auto"/>
              </w:rPr>
              <w:t>VICE PRESIDENT OF FINANCE AND CHIEF FINANCIAL OFFICER</w:t>
            </w:r>
          </w:p>
        </w:tc>
        <w:tc>
          <w:tcPr>
            <w:tcW w:w="1820" w:type="dxa"/>
            <w:vAlign w:val="bottom"/>
          </w:tcPr>
          <w:p>
            <w:pPr>
              <w:spacing w:after="0"/>
              <w:rPr>
                <w:sz w:val="16"/>
                <w:szCs w:val="16"/>
                <w:color w:val="auto"/>
              </w:rPr>
            </w:pPr>
          </w:p>
        </w:tc>
      </w:tr>
    </w:tbl>
    <w:p>
      <w:pPr>
        <w:spacing w:after="0" w:line="4"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MICRON TECHNOLOGY, INC.</w:t>
      </w:r>
    </w:p>
    <w:p>
      <w:pPr>
        <w:spacing w:after="0" w:line="4"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8000 SOUTH FEDERAL WAY</w:t>
      </w:r>
    </w:p>
    <w:p>
      <w:pPr>
        <w:spacing w:after="0" w:line="4"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BOISE, IDAHO 83707-0006</w:t>
      </w:r>
    </w:p>
    <w:p>
      <w:pPr>
        <w:spacing w:after="0" w:line="4" w:lineRule="exact"/>
        <w:rPr>
          <w:sz w:val="24"/>
          <w:szCs w:val="24"/>
          <w:color w:val="auto"/>
        </w:rPr>
      </w:pPr>
    </w:p>
    <w:p>
      <w:pPr>
        <w:ind w:left="101"/>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4"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OF AGENT FOR SERVICE)</w:t>
      </w:r>
    </w:p>
    <w:p>
      <w:pPr>
        <w:spacing w:after="0" w:line="188"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718"/>
        <w:spacing w:after="0"/>
        <w:rPr>
          <w:sz w:val="20"/>
          <w:szCs w:val="20"/>
          <w:color w:val="auto"/>
        </w:rPr>
      </w:pPr>
      <w:r>
        <w:rPr>
          <w:rFonts w:ascii="Courier New" w:cs="Courier New" w:eastAsia="Courier New" w:hAnsi="Courier New"/>
          <w:sz w:val="16"/>
          <w:szCs w:val="16"/>
          <w:color w:val="auto"/>
        </w:rPr>
        <w:t>COPIES TO:</w:t>
      </w:r>
    </w:p>
    <w:p>
      <w:pPr>
        <w:spacing w:after="0" w:line="4" w:lineRule="exact"/>
        <w:rPr>
          <w:sz w:val="24"/>
          <w:szCs w:val="24"/>
          <w:color w:val="auto"/>
        </w:rPr>
      </w:pPr>
    </w:p>
    <w:p>
      <w:pPr>
        <w:ind w:left="2981"/>
        <w:spacing w:after="0"/>
        <w:rPr>
          <w:sz w:val="20"/>
          <w:szCs w:val="20"/>
          <w:color w:val="auto"/>
        </w:rPr>
      </w:pPr>
      <w:r>
        <w:rPr>
          <w:rFonts w:ascii="Courier New" w:cs="Courier New" w:eastAsia="Courier New" w:hAnsi="Courier New"/>
          <w:sz w:val="16"/>
          <w:szCs w:val="16"/>
          <w:color w:val="auto"/>
        </w:rPr>
        <w:t>LARRY W. SONSINI</w:t>
      </w:r>
    </w:p>
    <w:p>
      <w:pPr>
        <w:spacing w:after="0" w:line="4" w:lineRule="exact"/>
        <w:rPr>
          <w:sz w:val="24"/>
          <w:szCs w:val="24"/>
          <w:color w:val="auto"/>
        </w:rPr>
      </w:pPr>
    </w:p>
    <w:p>
      <w:pPr>
        <w:ind w:left="3161"/>
        <w:spacing w:after="0"/>
        <w:rPr>
          <w:sz w:val="20"/>
          <w:szCs w:val="20"/>
          <w:color w:val="auto"/>
        </w:rPr>
      </w:pPr>
      <w:r>
        <w:rPr>
          <w:rFonts w:ascii="Courier New" w:cs="Courier New" w:eastAsia="Courier New" w:hAnsi="Courier New"/>
          <w:sz w:val="16"/>
          <w:szCs w:val="16"/>
          <w:color w:val="auto"/>
        </w:rPr>
        <w:t>JOHN A. FORE</w:t>
      </w:r>
    </w:p>
    <w:p>
      <w:pPr>
        <w:spacing w:after="0" w:line="4"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color w:val="auto"/>
        </w:rPr>
        <w:t>PATRICK J. SCHULTHEIS</w:t>
      </w:r>
    </w:p>
    <w:p>
      <w:pPr>
        <w:spacing w:after="0" w:line="4" w:lineRule="exact"/>
        <w:rPr>
          <w:sz w:val="24"/>
          <w:szCs w:val="24"/>
          <w:color w:val="auto"/>
        </w:rPr>
      </w:pPr>
    </w:p>
    <w:p>
      <w:pPr>
        <w:ind w:left="2201"/>
        <w:spacing w:after="0"/>
        <w:rPr>
          <w:sz w:val="20"/>
          <w:szCs w:val="20"/>
          <w:color w:val="auto"/>
        </w:rPr>
      </w:pPr>
      <w:r>
        <w:rPr>
          <w:rFonts w:ascii="Courier New" w:cs="Courier New" w:eastAsia="Courier New" w:hAnsi="Courier New"/>
          <w:sz w:val="16"/>
          <w:szCs w:val="16"/>
          <w:color w:val="auto"/>
        </w:rPr>
        <w:t>WILSON SONSINI GOODRICH &amp; ROSATI</w:t>
      </w:r>
    </w:p>
    <w:p>
      <w:pPr>
        <w:spacing w:after="0" w:line="4" w:lineRule="exact"/>
        <w:rPr>
          <w:sz w:val="24"/>
          <w:szCs w:val="24"/>
          <w:color w:val="auto"/>
        </w:rPr>
      </w:pPr>
    </w:p>
    <w:p>
      <w:pPr>
        <w:ind w:left="2601"/>
        <w:spacing w:after="0"/>
        <w:rPr>
          <w:sz w:val="20"/>
          <w:szCs w:val="20"/>
          <w:color w:val="auto"/>
        </w:rPr>
      </w:pPr>
      <w:r>
        <w:rPr>
          <w:rFonts w:ascii="Courier New" w:cs="Courier New" w:eastAsia="Courier New" w:hAnsi="Courier New"/>
          <w:sz w:val="16"/>
          <w:szCs w:val="16"/>
          <w:color w:val="auto"/>
        </w:rPr>
        <w:t>PROFESSIONAL CORPORATION</w:t>
      </w:r>
    </w:p>
    <w:p>
      <w:pPr>
        <w:spacing w:after="0" w:line="4" w:lineRule="exact"/>
        <w:rPr>
          <w:sz w:val="24"/>
          <w:szCs w:val="24"/>
          <w:color w:val="auto"/>
        </w:rPr>
      </w:pPr>
    </w:p>
    <w:p>
      <w:pPr>
        <w:ind w:left="2881"/>
        <w:spacing w:after="0"/>
        <w:rPr>
          <w:sz w:val="20"/>
          <w:szCs w:val="20"/>
          <w:color w:val="auto"/>
        </w:rPr>
      </w:pPr>
      <w:r>
        <w:rPr>
          <w:rFonts w:ascii="Courier New" w:cs="Courier New" w:eastAsia="Courier New" w:hAnsi="Courier New"/>
          <w:sz w:val="16"/>
          <w:szCs w:val="16"/>
          <w:color w:val="auto"/>
        </w:rPr>
        <w:t>650 PAGE MILL ROAD</w:t>
      </w:r>
    </w:p>
    <w:p>
      <w:pPr>
        <w:spacing w:after="0" w:line="4" w:lineRule="exact"/>
        <w:rPr>
          <w:sz w:val="24"/>
          <w:szCs w:val="24"/>
          <w:color w:val="auto"/>
        </w:rPr>
      </w:pPr>
    </w:p>
    <w:p>
      <w:pPr>
        <w:ind w:left="2501"/>
        <w:spacing w:after="0"/>
        <w:rPr>
          <w:sz w:val="20"/>
          <w:szCs w:val="20"/>
          <w:color w:val="auto"/>
        </w:rPr>
      </w:pPr>
      <w:r>
        <w:rPr>
          <w:rFonts w:ascii="Courier New" w:cs="Courier New" w:eastAsia="Courier New" w:hAnsi="Courier New"/>
          <w:sz w:val="16"/>
          <w:szCs w:val="16"/>
          <w:color w:val="auto"/>
        </w:rPr>
        <w:t>PALO ALTO, CALIFORNIA 94304</w:t>
      </w:r>
    </w:p>
    <w:p>
      <w:pPr>
        <w:spacing w:after="0" w:line="4" w:lineRule="exact"/>
        <w:rPr>
          <w:sz w:val="24"/>
          <w:szCs w:val="24"/>
          <w:color w:val="auto"/>
        </w:rPr>
      </w:pPr>
    </w:p>
    <w:p>
      <w:pPr>
        <w:ind w:left="3641" w:hanging="567"/>
        <w:spacing w:after="0"/>
        <w:tabs>
          <w:tab w:leader="none" w:pos="364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493-9300</w:t>
      </w:r>
    </w:p>
    <w:p>
      <w:pPr>
        <w:spacing w:after="0" w:line="188" w:lineRule="exact"/>
        <w:rPr>
          <w:rFonts w:ascii="Courier New" w:cs="Courier New" w:eastAsia="Courier New" w:hAnsi="Courier New"/>
          <w:sz w:val="16"/>
          <w:szCs w:val="16"/>
          <w:color w:val="auto"/>
        </w:rPr>
      </w:pPr>
    </w:p>
    <w:p>
      <w:pPr>
        <w:ind w:left="30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0" w:lineRule="exact"/>
        <w:rPr>
          <w:sz w:val="24"/>
          <w:szCs w:val="24"/>
          <w:color w:val="auto"/>
        </w:rPr>
      </w:pPr>
    </w:p>
    <w:p>
      <w:pPr>
        <w:ind w:left="1" w:right="2919" w:firstLine="192"/>
        <w:spacing w:after="0" w:line="242"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the effective date of this Registration Statement.</w:t>
      </w:r>
    </w:p>
    <w:p>
      <w:pPr>
        <w:spacing w:after="0" w:line="189" w:lineRule="exact"/>
        <w:rPr>
          <w:sz w:val="24"/>
          <w:szCs w:val="24"/>
          <w:color w:val="auto"/>
        </w:rPr>
      </w:pPr>
    </w:p>
    <w:p>
      <w:pPr>
        <w:ind w:left="1" w:right="3299" w:firstLine="192"/>
        <w:spacing w:after="0" w:line="243"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[_]</w:t>
      </w:r>
    </w:p>
    <w:p>
      <w:pPr>
        <w:spacing w:after="0" w:line="189" w:lineRule="exact"/>
        <w:rPr>
          <w:sz w:val="24"/>
          <w:szCs w:val="24"/>
          <w:color w:val="auto"/>
        </w:rPr>
      </w:pPr>
    </w:p>
    <w:p>
      <w:pPr>
        <w:ind w:left="1" w:right="2719" w:firstLine="192"/>
        <w:spacing w:after="0" w:line="243"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90" w:lineRule="exact"/>
        <w:rPr>
          <w:sz w:val="24"/>
          <w:szCs w:val="24"/>
          <w:color w:val="auto"/>
        </w:rPr>
      </w:pPr>
    </w:p>
    <w:p>
      <w:pPr>
        <w:ind w:left="1" w:right="2919" w:firstLine="192"/>
        <w:spacing w:after="0" w:line="243"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190" w:lineRule="exact"/>
        <w:rPr>
          <w:sz w:val="24"/>
          <w:szCs w:val="24"/>
          <w:color w:val="auto"/>
        </w:rPr>
      </w:pPr>
    </w:p>
    <w:p>
      <w:pPr>
        <w:ind w:left="1" w:right="2819" w:firstLine="192"/>
        <w:spacing w:after="0" w:line="243"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90" w:lineRule="exact"/>
        <w:rPr>
          <w:sz w:val="24"/>
          <w:szCs w:val="24"/>
          <w:color w:val="auto"/>
        </w:rPr>
      </w:pPr>
    </w:p>
    <w:p>
      <w:pPr>
        <w:ind w:left="1" w:right="2919" w:firstLine="192"/>
        <w:spacing w:after="0" w:line="242"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[_]</w:t>
      </w:r>
    </w:p>
    <w:p>
      <w:pPr>
        <w:spacing w:after="0" w:line="187"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9" w:top="793" w:right="1440" w:bottom="0" w:gutter="0" w:footer="0" w:header="0"/>
        </w:sectPr>
      </w:pPr>
    </w:p>
    <w:bookmarkStart w:id="1" w:name="page2"/>
    <w:bookmarkEnd w:id="1"/>
    <w:p>
      <w:pPr>
        <w:ind w:left="1" w:right="2719" w:firstLine="192"/>
        <w:spacing w:after="0" w:line="244"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88" w:lineRule="exact"/>
        <w:rPr>
          <w:sz w:val="20"/>
          <w:szCs w:val="20"/>
          <w:color w:val="auto"/>
        </w:rPr>
      </w:pPr>
    </w:p>
    <w:p>
      <w:pPr>
        <w:ind w:left="201" w:hanging="201"/>
        <w:spacing w:after="0"/>
        <w:tabs>
          <w:tab w:leader="none" w:pos="20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9"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20" w:type="dxa"/>
            <w:vAlign w:val="bottom"/>
          </w:tcPr>
          <w:p>
            <w:pPr>
              <w:spacing w:after="0"/>
              <w:rPr>
                <w:sz w:val="20"/>
                <w:szCs w:val="20"/>
                <w:color w:val="auto"/>
              </w:rPr>
            </w:pPr>
            <w:r>
              <w:rPr>
                <w:rFonts w:ascii="Courier New" w:cs="Courier New" w:eastAsia="Courier New" w:hAnsi="Courier New"/>
                <w:sz w:val="16"/>
                <w:szCs w:val="16"/>
                <w:color w:val="auto"/>
              </w:rPr>
              <w:t>+INFORMATION CONTAINED HEREIN IS</w:t>
            </w:r>
          </w:p>
        </w:tc>
        <w:tc>
          <w:tcPr>
            <w:tcW w:w="4380" w:type="dxa"/>
            <w:vAlign w:val="bottom"/>
          </w:tcPr>
          <w:p>
            <w:pPr>
              <w:ind w:left="40"/>
              <w:spacing w:after="0"/>
              <w:rPr>
                <w:sz w:val="20"/>
                <w:szCs w:val="20"/>
                <w:color w:val="auto"/>
              </w:rPr>
            </w:pPr>
            <w:r>
              <w:rPr>
                <w:rFonts w:ascii="Courier New" w:cs="Courier New" w:eastAsia="Courier New" w:hAnsi="Courier New"/>
                <w:sz w:val="16"/>
                <w:szCs w:val="16"/>
                <w:color w:val="auto"/>
              </w:rPr>
              <w:t>SUBJECT TO COMPLETION OR AMENDMENT. A</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+REGISTRATION STATEMENT RELATING</w:t>
            </w:r>
          </w:p>
        </w:tc>
        <w:tc>
          <w:tcPr>
            <w:tcW w:w="4380" w:type="dxa"/>
            <w:vAlign w:val="bottom"/>
          </w:tcPr>
          <w:p>
            <w:pPr>
              <w:ind w:left="40"/>
              <w:spacing w:after="0"/>
              <w:rPr>
                <w:sz w:val="20"/>
                <w:szCs w:val="20"/>
                <w:color w:val="auto"/>
              </w:rPr>
            </w:pPr>
            <w:r>
              <w:rPr>
                <w:rFonts w:ascii="Courier New" w:cs="Courier New" w:eastAsia="Courier New" w:hAnsi="Courier New"/>
                <w:sz w:val="16"/>
                <w:szCs w:val="16"/>
                <w:color w:val="auto"/>
              </w:rPr>
              <w:t>TO THESE SECURITIES HAS BEEN FILED WITH THE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500" w:type="dxa"/>
            <w:vAlign w:val="bottom"/>
            <w:gridSpan w:val="2"/>
          </w:tcPr>
          <w:p>
            <w:pPr>
              <w:spacing w:after="0"/>
              <w:rPr>
                <w:sz w:val="20"/>
                <w:szCs w:val="20"/>
                <w:color w:val="auto"/>
              </w:rPr>
            </w:pPr>
            <w:r>
              <w:rPr>
                <w:rFonts w:ascii="Courier New" w:cs="Courier New" w:eastAsia="Courier New" w:hAnsi="Courier New"/>
                <w:sz w:val="16"/>
                <w:szCs w:val="16"/>
                <w:color w:val="auto"/>
              </w:rPr>
              <w:t>+SECURITIES AND EXCHANGE COMMISSION. THESE SECURITIES MAY NOT BE SOLD NOR MAY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+OFFERS TO BUY BE ACCEPTED PRIOR</w:t>
            </w:r>
          </w:p>
        </w:tc>
        <w:tc>
          <w:tcPr>
            <w:tcW w:w="4380" w:type="dxa"/>
            <w:vAlign w:val="bottom"/>
          </w:tcPr>
          <w:p>
            <w:pPr>
              <w:ind w:left="40"/>
              <w:spacing w:after="0"/>
              <w:rPr>
                <w:sz w:val="20"/>
                <w:szCs w:val="20"/>
                <w:color w:val="auto"/>
              </w:rPr>
            </w:pPr>
            <w:r>
              <w:rPr>
                <w:rFonts w:ascii="Courier New" w:cs="Courier New" w:eastAsia="Courier New" w:hAnsi="Courier New"/>
                <w:sz w:val="16"/>
                <w:szCs w:val="16"/>
                <w:color w:val="auto"/>
              </w:rPr>
              <w:t>TO THE TIME THE REGISTRATION STATEMENT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500" w:type="dxa"/>
            <w:vAlign w:val="bottom"/>
            <w:gridSpan w:val="2"/>
          </w:tcPr>
          <w:p>
            <w:pPr>
              <w:spacing w:after="0"/>
              <w:rPr>
                <w:sz w:val="20"/>
                <w:szCs w:val="20"/>
                <w:color w:val="auto"/>
              </w:rPr>
            </w:pPr>
            <w:r>
              <w:rPr>
                <w:rFonts w:ascii="Courier New" w:cs="Courier New" w:eastAsia="Courier New" w:hAnsi="Courier New"/>
                <w:sz w:val="16"/>
                <w:szCs w:val="16"/>
                <w:color w:val="auto"/>
              </w:rPr>
              <w:t>+BECOMES EFFECTIVE. THIS PROSPECTUS SHALL NOT CONSTITUTE AN OFFER TO SELL OR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+THE SOLICITATION OF AN OFFER TO</w:t>
            </w:r>
          </w:p>
        </w:tc>
        <w:tc>
          <w:tcPr>
            <w:tcW w:w="4380" w:type="dxa"/>
            <w:vAlign w:val="bottom"/>
          </w:tcPr>
          <w:p>
            <w:pPr>
              <w:ind w:left="40"/>
              <w:spacing w:after="0"/>
              <w:rPr>
                <w:sz w:val="20"/>
                <w:szCs w:val="20"/>
                <w:color w:val="auto"/>
              </w:rPr>
            </w:pPr>
            <w:r>
              <w:rPr>
                <w:rFonts w:ascii="Courier New" w:cs="Courier New" w:eastAsia="Courier New" w:hAnsi="Courier New"/>
                <w:sz w:val="16"/>
                <w:szCs w:val="16"/>
                <w:color w:val="auto"/>
              </w:rPr>
              <w:t>BUY NOR SHALL THERE BE ANY SALE OF THESE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500" w:type="dxa"/>
            <w:vAlign w:val="bottom"/>
            <w:gridSpan w:val="2"/>
          </w:tcPr>
          <w:p>
            <w:pPr>
              <w:spacing w:after="0"/>
              <w:rPr>
                <w:sz w:val="20"/>
                <w:szCs w:val="20"/>
                <w:color w:val="auto"/>
              </w:rPr>
            </w:pPr>
            <w:r>
              <w:rPr>
                <w:rFonts w:ascii="Courier New" w:cs="Courier New" w:eastAsia="Courier New" w:hAnsi="Courier New"/>
                <w:sz w:val="16"/>
                <w:szCs w:val="16"/>
                <w:color w:val="auto"/>
              </w:rPr>
              <w:t>+SECURITIES IN ANY STATE IN WHICH SUCH OFFER, SOLICITATION OR SALE WOULD BE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500" w:type="dxa"/>
            <w:vAlign w:val="bottom"/>
            <w:gridSpan w:val="2"/>
          </w:tcPr>
          <w:p>
            <w:pPr>
              <w:spacing w:after="0"/>
              <w:rPr>
                <w:sz w:val="20"/>
                <w:szCs w:val="20"/>
                <w:color w:val="auto"/>
              </w:rPr>
            </w:pPr>
            <w:r>
              <w:rPr>
                <w:rFonts w:ascii="Courier New" w:cs="Courier New" w:eastAsia="Courier New" w:hAnsi="Courier New"/>
                <w:sz w:val="16"/>
                <w:szCs w:val="16"/>
                <w:color w:val="auto"/>
              </w:rPr>
              <w:t>+UNLAWFUL PRIOR TO REGISTRATION OR QUALIFICATION UNDER THE SECURITIES LAWS OF</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+ANY SUCH STATE.</w:t>
            </w:r>
          </w:p>
        </w:tc>
        <w:tc>
          <w:tcPr>
            <w:tcW w:w="43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69" w:right="1440" w:bottom="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SUBJECT TO COMPLETION, DATED JUNE 3, 1997</w:t>
      </w:r>
    </w:p>
    <w:p>
      <w:pPr>
        <w:spacing w:after="0" w:line="4"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$1,000,000,000</w:t>
      </w:r>
    </w:p>
    <w:p>
      <w:pPr>
        <w:spacing w:after="0" w:line="188" w:lineRule="exact"/>
        <w:rPr>
          <w:sz w:val="20"/>
          <w:szCs w:val="20"/>
          <w:color w:val="auto"/>
        </w:rPr>
      </w:pPr>
    </w:p>
    <w:p>
      <w:pPr>
        <w:sectPr>
          <w:pgSz w:w="11900" w:h="16838" w:orient="portrait"/>
          <w:cols w:equalWidth="0" w:num="2">
            <w:col w:w="960" w:space="680"/>
            <w:col w:w="8579"/>
          </w:cols>
          <w:pgMar w:left="240" w:top="669" w:right="1440" w:bottom="0" w:gutter="0" w:footer="0" w:header="0"/>
          <w:type w:val="continuous"/>
        </w:sectPr>
      </w:pPr>
    </w:p>
    <w:p>
      <w:pPr>
        <w:ind w:left="2680"/>
        <w:spacing w:after="0"/>
        <w:rPr>
          <w:sz w:val="20"/>
          <w:szCs w:val="20"/>
          <w:color w:val="auto"/>
        </w:rPr>
      </w:pPr>
      <w:r>
        <w:rPr>
          <w:rFonts w:ascii="Courier New" w:cs="Courier New" w:eastAsia="Courier New" w:hAnsi="Courier New"/>
          <w:sz w:val="16"/>
          <w:szCs w:val="16"/>
          <w:color w:val="auto"/>
        </w:rPr>
        <w:t>MICRON TECHNOLOGY, INC.</w:t>
      </w:r>
    </w:p>
    <w:p>
      <w:pPr>
        <w:spacing w:after="0" w:line="4"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DEBT SECURITIES AND COMMON STOCK</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69" w:right="1440" w:bottom="0" w:gutter="0" w:footer="0" w:header="0"/>
          <w:type w:val="continuous"/>
        </w:sectPr>
      </w:pPr>
    </w:p>
    <w:p>
      <w:pPr>
        <w:spacing w:after="0" w:line="190"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Micron Technology, Inc. ("MTI" or the "Company") may from time to time offer, together or separately, (1) its debt securities (the "Debt Securities"), which may be either senior debt securities (the "Senior Debt Securities") or subordinated debt securities (the "Subordinated Debt Securities") and (2) shares of its common stock, par value $0.10 per share (the "Common Stock"). The Debt Securities and the Common Stock are collectively referred to herein as the "Securities".</w:t>
      </w:r>
    </w:p>
    <w:p>
      <w:pPr>
        <w:spacing w:after="0" w:line="188" w:lineRule="exact"/>
        <w:rPr>
          <w:sz w:val="20"/>
          <w:szCs w:val="20"/>
          <w:color w:val="auto"/>
        </w:rPr>
      </w:pPr>
    </w:p>
    <w:p>
      <w:pPr>
        <w:ind w:right="2639" w:firstLine="192"/>
        <w:spacing w:after="0" w:line="261" w:lineRule="auto"/>
        <w:rPr>
          <w:sz w:val="20"/>
          <w:szCs w:val="20"/>
          <w:color w:val="auto"/>
        </w:rPr>
      </w:pPr>
      <w:r>
        <w:rPr>
          <w:rFonts w:ascii="Courier New" w:cs="Courier New" w:eastAsia="Courier New" w:hAnsi="Courier New"/>
          <w:sz w:val="15"/>
          <w:szCs w:val="15"/>
          <w:color w:val="auto"/>
        </w:rPr>
        <w:t>The Securities offered pursuant to this Prospectus may be issued in one or more series or issuances and will be limited to $1,000,000,000 aggregate public offering price (or its equivalent (based on the applicable exchange rate at the time of the sale) in one or more foreign currencies, currency units or composite currencies as shall be designated by the Company). Certain specific terms of the particular Securities in respect of which this Prospectus is being delivered are set forth in the accompanying Prospectus Supplement (the "Prospectus Supplement"), including, where applicable, (i) in the case of Debt Securities, the specific title, aggregate principal amount, the denomination, whether such Debt Securities are secured or unsecured obligations, whether such Debt Securities are senior or subordinated, maturity, premium, if any, the interest rate or rates (which may be fixed, floating or adjustable), the time and method of calculating payment of interest, if any, the place or places where principal of (and premium, if any) and interest, if any, on such Debt Securities will be payable, the currency in which principal of (and premium, if any) and interest, if any, on such Debt Securities will be payable, any terms of redemption at the option of the Company or the Holder, any sinking fund provisions, terms for any conversion into other Securities, the initial public offering price and other special terms and (ii) in the case of Common Stock, the number of shares offered for sale by the Company and the initial public offering price or method of determining the initial public offering price. If so specified in the applicable Prospectus Supplement, Debt Securities of a series may be issued in whole or in part in the form of one or more temporary or permanent global securities. The Company's Common Stock is listed on the New York Stock Exchange under the symbol "MU". Any Common Stock sold pursuant to a Prospectus Supplement will be listed on such exchange, subject to official notice of issuance.</w:t>
      </w:r>
    </w:p>
    <w:p>
      <w:pPr>
        <w:spacing w:after="0" w:line="200" w:lineRule="exact"/>
        <w:rPr>
          <w:sz w:val="20"/>
          <w:szCs w:val="20"/>
          <w:color w:val="auto"/>
        </w:rPr>
      </w:pPr>
    </w:p>
    <w:p>
      <w:pPr>
        <w:spacing w:after="0" w:line="354" w:lineRule="exact"/>
        <w:rPr>
          <w:sz w:val="20"/>
          <w:szCs w:val="20"/>
          <w:color w:val="auto"/>
        </w:rPr>
      </w:pPr>
    </w:p>
    <w:p>
      <w:pPr>
        <w:ind w:right="2639" w:firstLine="192"/>
        <w:spacing w:after="0" w:line="244" w:lineRule="auto"/>
        <w:rPr>
          <w:sz w:val="20"/>
          <w:szCs w:val="20"/>
          <w:color w:val="auto"/>
        </w:rPr>
      </w:pPr>
      <w:r>
        <w:rPr>
          <w:rFonts w:ascii="Courier New" w:cs="Courier New" w:eastAsia="Courier New" w:hAnsi="Courier New"/>
          <w:sz w:val="16"/>
          <w:szCs w:val="16"/>
          <w:color w:val="auto"/>
        </w:rPr>
        <w:t>Unless otherwise specified in a Prospectus Supplement, the Senior Debt Securities, when issued, will be unsecured and will rank equally with all other unsecured and unsubordinated indebtedness of the Company. The Subordinated Debt Securities, when issued, will be subordinated in right of payment to all Senior Debt (as defined) of the Company, including any outstanding Senior Debt Securities. See "Description of Debt Securities--Subordination of Subordinated Debt Securities".</w:t>
      </w:r>
    </w:p>
    <w:p>
      <w:pPr>
        <w:spacing w:after="0" w:line="188" w:lineRule="exact"/>
        <w:rPr>
          <w:sz w:val="20"/>
          <w:szCs w:val="20"/>
          <w:color w:val="auto"/>
        </w:rPr>
      </w:pPr>
    </w:p>
    <w:p>
      <w:pPr>
        <w:ind w:right="3019" w:firstLine="192"/>
        <w:spacing w:after="0" w:line="274" w:lineRule="auto"/>
        <w:rPr>
          <w:sz w:val="20"/>
          <w:szCs w:val="20"/>
          <w:color w:val="auto"/>
        </w:rPr>
      </w:pPr>
      <w:r>
        <w:rPr>
          <w:rFonts w:ascii="Courier New" w:cs="Courier New" w:eastAsia="Courier New" w:hAnsi="Courier New"/>
          <w:sz w:val="15"/>
          <w:szCs w:val="15"/>
          <w:color w:val="auto"/>
        </w:rPr>
        <w:t>The Prospectus Supplement may contain information concerning U.S. federal income tax considerations, if applicable to the Securities offered.</w:t>
      </w:r>
    </w:p>
    <w:p>
      <w:pPr>
        <w:spacing w:after="0" w:line="166" w:lineRule="exact"/>
        <w:rPr>
          <w:sz w:val="20"/>
          <w:szCs w:val="20"/>
          <w:color w:val="auto"/>
        </w:rPr>
      </w:pPr>
    </w:p>
    <w:p>
      <w:pPr>
        <w:ind w:right="2639" w:firstLine="192"/>
        <w:spacing w:after="0" w:line="263" w:lineRule="auto"/>
        <w:rPr>
          <w:sz w:val="20"/>
          <w:szCs w:val="20"/>
          <w:color w:val="auto"/>
        </w:rPr>
      </w:pPr>
      <w:r>
        <w:rPr>
          <w:rFonts w:ascii="Courier New" w:cs="Courier New" w:eastAsia="Courier New" w:hAnsi="Courier New"/>
          <w:sz w:val="15"/>
          <w:szCs w:val="15"/>
          <w:color w:val="auto"/>
        </w:rPr>
        <w:t>The Securities may be sold directly, through agents, underwriters or dealers as designated from time to time, or through a combination of such methods. See "Plan of Distribution". If agents of the Company or any dealers or underwriters are involved in the sale of the Securities in respect of which the Prospectus is being delivered, the names of such agents, dealers or underwriters and any applicable commissions or discounts, if any, are set forth in or may be calculated from the Prospectus Supplement with respect to such Securities.</w:t>
      </w:r>
    </w:p>
    <w:p>
      <w:pPr>
        <w:spacing w:after="0" w:line="175" w:lineRule="exact"/>
        <w:rPr>
          <w:sz w:val="20"/>
          <w:szCs w:val="20"/>
          <w:color w:val="auto"/>
        </w:rPr>
      </w:pPr>
    </w:p>
    <w:p>
      <w:pPr>
        <w:ind w:right="3119" w:firstLine="192"/>
        <w:spacing w:after="0" w:line="242" w:lineRule="auto"/>
        <w:rPr>
          <w:sz w:val="20"/>
          <w:szCs w:val="20"/>
          <w:color w:val="auto"/>
        </w:rPr>
      </w:pPr>
      <w:r>
        <w:rPr>
          <w:rFonts w:ascii="Courier New" w:cs="Courier New" w:eastAsia="Courier New" w:hAnsi="Courier New"/>
          <w:sz w:val="16"/>
          <w:szCs w:val="16"/>
          <w:color w:val="auto"/>
        </w:rPr>
        <w:t>This Prospectus may not be used to consummate sales of Securities unless accompanied by a Prospectus Supplement.</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SEE "RISK FACTORS" ON PAGE 3 OF THIS PROSPECTUS FOR A DESCRIPTION OF CERTAIN FACTORS THAT SHOULD BE CONSIDERED IN CONNECTION WITH AN INVESTMENT IN THE SECURITIES.</w:t>
      </w:r>
    </w:p>
    <w:p>
      <w:pPr>
        <w:spacing w:after="0" w:line="2"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2639"/>
        <w:spacing w:after="0"/>
        <w:tabs>
          <w:tab w:leader="none" w:pos="180" w:val="left"/>
          <w:tab w:leader="none" w:pos="180" w:val="left"/>
          <w:tab w:leader="none" w:pos="180" w:val="left"/>
        </w:tabs>
        <w:rPr>
          <w:sz w:val="20"/>
          <w:szCs w:val="20"/>
          <w:color w:val="auto"/>
        </w:rPr>
      </w:pPr>
      <w:r>
        <w:rPr>
          <w:rFonts w:ascii="Courier New" w:cs="Courier New" w:eastAsia="Courier New" w:hAnsi="Courier New"/>
          <w:sz w:val="16"/>
          <w:szCs w:val="16"/>
          <w:color w:val="auto"/>
        </w:rPr>
        <w:t>THESE</w:t>
        <w:tab/>
        <w:t>SECURITIES HAVE NOT BEEN APPROVED</w:t>
        <w:tab/>
        <w:t>OR DISAPPROVED BY THE SECURITIES</w:t>
      </w:r>
      <w:r>
        <w:rPr>
          <w:sz w:val="20"/>
          <w:szCs w:val="20"/>
          <w:color w:val="auto"/>
        </w:rPr>
        <w:tab/>
      </w:r>
      <w:r>
        <w:rPr>
          <w:rFonts w:ascii="Courier New" w:cs="Courier New" w:eastAsia="Courier New" w:hAnsi="Courier New"/>
          <w:sz w:val="15"/>
          <w:szCs w:val="15"/>
          <w:color w:val="auto"/>
        </w:rPr>
        <w:t>AND</w:t>
      </w:r>
    </w:p>
    <w:p>
      <w:pPr>
        <w:spacing w:after="0" w:line="4" w:lineRule="exact"/>
        <w:rPr>
          <w:sz w:val="20"/>
          <w:szCs w:val="20"/>
          <w:color w:val="auto"/>
        </w:rPr>
      </w:pPr>
    </w:p>
    <w:p>
      <w:pPr>
        <w:jc w:val="center"/>
        <w:ind w:right="2619"/>
        <w:spacing w:after="0"/>
        <w:tabs>
          <w:tab w:leader="none" w:pos="180" w:val="left"/>
          <w:tab w:leader="none" w:pos="260" w:val="left"/>
          <w:tab w:leader="none" w:pos="160" w:val="left"/>
          <w:tab w:leader="none" w:pos="160" w:val="left"/>
          <w:tab w:leader="none" w:pos="180" w:val="left"/>
          <w:tab w:leader="none" w:pos="180" w:val="left"/>
          <w:tab w:leader="none" w:pos="260" w:val="left"/>
          <w:tab w:leader="none" w:pos="160" w:val="left"/>
          <w:tab w:leader="none" w:pos="160" w:val="left"/>
        </w:tabs>
        <w:rPr>
          <w:sz w:val="20"/>
          <w:szCs w:val="20"/>
          <w:color w:val="auto"/>
        </w:rPr>
      </w:pPr>
      <w:r>
        <w:rPr>
          <w:rFonts w:ascii="Courier New" w:cs="Courier New" w:eastAsia="Courier New" w:hAnsi="Courier New"/>
          <w:sz w:val="16"/>
          <w:szCs w:val="16"/>
          <w:color w:val="auto"/>
        </w:rPr>
        <w:t>EXCHANGE</w:t>
        <w:tab/>
        <w:t>COMMISSION</w:t>
        <w:tab/>
        <w:t>OR</w:t>
        <w:tab/>
        <w:t>ANY</w:t>
        <w:tab/>
        <w:t>STATE</w:t>
        <w:tab/>
        <w:t>SECURITIES</w:t>
        <w:tab/>
        <w:t>COMMISSION</w:t>
        <w:tab/>
        <w:t>NOR</w:t>
        <w:tab/>
        <w:t>HAS</w:t>
        <w:tab/>
        <w:t>THE</w:t>
      </w:r>
    </w:p>
    <w:p>
      <w:pPr>
        <w:sectPr>
          <w:pgSz w:w="11900" w:h="16838" w:orient="portrait"/>
          <w:cols w:equalWidth="0" w:num="1">
            <w:col w:w="10219"/>
          </w:cols>
          <w:pgMar w:left="240" w:top="669" w:right="1440" w:bottom="0" w:gutter="0" w:footer="0" w:header="0"/>
          <w:type w:val="continuous"/>
        </w:sectPr>
      </w:pPr>
    </w:p>
    <w:bookmarkStart w:id="3" w:name="page4"/>
    <w:bookmarkEnd w:id="3"/>
    <w:p>
      <w:pPr>
        <w:jc w:val="center"/>
        <w:ind w:right="2819"/>
        <w:spacing w:after="0"/>
        <w:tabs>
          <w:tab w:leader="none" w:pos="160" w:val="left"/>
          <w:tab w:leader="none" w:pos="160" w:val="left"/>
          <w:tab w:leader="none" w:pos="180" w:val="left"/>
          <w:tab w:leader="none" w:pos="160" w:val="left"/>
          <w:tab w:leader="none" w:pos="160" w:val="left"/>
          <w:tab w:leader="none" w:pos="180" w:val="left"/>
        </w:tabs>
        <w:rPr>
          <w:sz w:val="20"/>
          <w:szCs w:val="20"/>
          <w:color w:val="auto"/>
        </w:rPr>
      </w:pPr>
      <w:r>
        <w:rPr>
          <w:rFonts w:ascii="Courier New" w:cs="Courier New" w:eastAsia="Courier New" w:hAnsi="Courier New"/>
          <w:sz w:val="16"/>
          <w:szCs w:val="16"/>
          <w:color w:val="auto"/>
        </w:rPr>
        <w:t>SECURITIES</w:t>
        <w:tab/>
        <w:t>AND EXCHANGE</w:t>
        <w:tab/>
        <w:t>COMMISSION</w:t>
        <w:tab/>
        <w:t>OR</w:t>
        <w:tab/>
        <w:t>ANY</w:t>
        <w:tab/>
        <w:t>STATE SECURITIES</w:t>
        <w:tab/>
        <w:t>COMMISSION</w:t>
      </w:r>
    </w:p>
    <w:p>
      <w:pPr>
        <w:spacing w:after="0" w:line="4" w:lineRule="exact"/>
        <w:rPr>
          <w:sz w:val="20"/>
          <w:szCs w:val="20"/>
          <w:color w:val="auto"/>
        </w:rPr>
      </w:pPr>
    </w:p>
    <w:p>
      <w:pPr>
        <w:jc w:val="center"/>
        <w:ind w:right="2839"/>
        <w:spacing w:after="0"/>
        <w:tabs>
          <w:tab w:leader="none" w:pos="180" w:val="left"/>
          <w:tab w:leader="none" w:pos="260" w:val="left"/>
          <w:tab w:leader="none" w:pos="160" w:val="left"/>
          <w:tab w:leader="none" w:pos="260" w:val="left"/>
          <w:tab w:leader="none" w:pos="160" w:val="left"/>
          <w:tab w:leader="none" w:pos="260" w:val="left"/>
          <w:tab w:leader="none" w:pos="180" w:val="left"/>
          <w:tab w:leader="none" w:pos="260" w:val="left"/>
          <w:tab w:leader="none" w:pos="180" w:val="left"/>
        </w:tabs>
        <w:rPr>
          <w:sz w:val="20"/>
          <w:szCs w:val="20"/>
          <w:color w:val="auto"/>
        </w:rPr>
      </w:pPr>
      <w:r>
        <w:rPr>
          <w:rFonts w:ascii="Courier New" w:cs="Courier New" w:eastAsia="Courier New" w:hAnsi="Courier New"/>
          <w:sz w:val="16"/>
          <w:szCs w:val="16"/>
          <w:color w:val="auto"/>
        </w:rPr>
        <w:t>PASSED</w:t>
        <w:tab/>
        <w:t>UPON</w:t>
        <w:tab/>
        <w:t>THE</w:t>
        <w:tab/>
        <w:t>ACCURACY</w:t>
        <w:tab/>
        <w:t>OR</w:t>
        <w:tab/>
        <w:t>ADEQUACY</w:t>
        <w:tab/>
        <w:t>OF</w:t>
        <w:tab/>
        <w:t>THIS</w:t>
        <w:tab/>
        <w:t>PROSPECTUS.</w:t>
      </w:r>
      <w:r>
        <w:rPr>
          <w:sz w:val="20"/>
          <w:szCs w:val="20"/>
          <w:color w:val="auto"/>
        </w:rPr>
        <w:tab/>
      </w:r>
      <w:r>
        <w:rPr>
          <w:rFonts w:ascii="Courier New" w:cs="Courier New" w:eastAsia="Courier New" w:hAnsi="Courier New"/>
          <w:sz w:val="15"/>
          <w:szCs w:val="15"/>
          <w:color w:val="auto"/>
        </w:rPr>
        <w:t>ANY</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REPRESENTATION TO THE CONTRARY IS A CRIMINAL OFFENSE.</w:t>
      </w:r>
    </w:p>
    <w:p>
      <w:pPr>
        <w:spacing w:after="0" w:line="18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240"/>
        <w:spacing w:after="0"/>
        <w:tabs>
          <w:tab w:leader="none" w:pos="4780" w:val="left"/>
        </w:tabs>
        <w:rPr>
          <w:sz w:val="20"/>
          <w:szCs w:val="20"/>
          <w:color w:val="auto"/>
        </w:rPr>
      </w:pPr>
      <w:r>
        <w:rPr>
          <w:rFonts w:ascii="Courier New" w:cs="Courier New" w:eastAsia="Courier New" w:hAnsi="Courier New"/>
          <w:sz w:val="16"/>
          <w:szCs w:val="16"/>
          <w:color w:val="auto"/>
        </w:rPr>
        <w:t>THE DATE OF THIS PROSPECTUS IS JUNE</w:t>
      </w:r>
      <w:r>
        <w:rPr>
          <w:sz w:val="20"/>
          <w:szCs w:val="20"/>
          <w:color w:val="auto"/>
        </w:rPr>
        <w:tab/>
      </w:r>
      <w:r>
        <w:rPr>
          <w:rFonts w:ascii="Courier New" w:cs="Courier New" w:eastAsia="Courier New" w:hAnsi="Courier New"/>
          <w:sz w:val="15"/>
          <w:szCs w:val="15"/>
          <w:color w:val="auto"/>
        </w:rPr>
        <w:t>, 1997.</w:t>
      </w:r>
    </w:p>
    <w:p>
      <w:pPr>
        <w:sectPr>
          <w:pgSz w:w="11900" w:h="16838" w:orient="portrait"/>
          <w:cols w:equalWidth="0" w:num="1">
            <w:col w:w="10019"/>
          </w:cols>
          <w:pgMar w:left="440" w:top="140" w:right="1440" w:bottom="1440" w:gutter="0" w:footer="0" w:header="0"/>
        </w:sectPr>
      </w:pPr>
    </w:p>
    <w:bookmarkStart w:id="4" w:name="page5"/>
    <w:bookmarkEnd w:id="4"/>
    <w:p>
      <w:pPr>
        <w:jc w:val="center"/>
        <w:ind w:right="2619"/>
        <w:spacing w:after="0"/>
        <w:rPr>
          <w:sz w:val="20"/>
          <w:szCs w:val="20"/>
          <w:color w:val="auto"/>
        </w:rPr>
      </w:pPr>
      <w:r>
        <w:rPr>
          <w:rFonts w:ascii="Courier New" w:cs="Courier New" w:eastAsia="Courier New" w:hAnsi="Courier New"/>
          <w:sz w:val="16"/>
          <w:szCs w:val="16"/>
          <w:color w:val="auto"/>
        </w:rPr>
        <w:t>AVAILABLE INFORMATION</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maintained by the Commission at Room 1024, 450 Fifth Street, NW, Washington, D.C. 20549, and at the Commission's Regional Offices located at Citicorp Center, 500 West Madison Street, Suite 1400, Chicago, Illinois 60661 and 7 World Trade Center, Suite 1300, New York, New York 10048. Copies of such material can be obtained from the Public Reference Section of the Commission, 450 Fifth Street, NW, Washington, D.C. 20549, at prescribed rates. The Commission maintains a World Wide Web site that contains reports, proxy and information statements and other information regarding registrants that file electronically with the Commission. The address of the World Wide Web site is http://www.sec.gov. The Common Stock is listed on the New York Stock Exchange. Reports and other information concerning the Company may be inspected at the offices of the New York Stock Exchange, Inc., 20 Broad Street, New York, New York 10005.</w:t>
      </w:r>
    </w:p>
    <w:p>
      <w:pPr>
        <w:spacing w:after="0" w:line="194"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Company has filed with the Commission a registration statement on Form S-3 (herein, together with all amendments and exhibits, referred to as the "Registration Statement") under the Securities Act of 1933, as amended (the "Securities Act"), with respect to the Securities. This Prospectus, which constitutes part of the Registration Statement, does not contain all of the information set forth in the Registration Statement, certain parts of which are omitted in accordance with the rules and regulations of the Commission. For further information with respect to the Company and the Securities offered hereby, reference is made to the Registration Statement and the exhibits and the financial statements, notes and schedules filed as part thereof or incorporated by reference therein, which may be inspected at the public reference facilities of the Commission at the addresses set forth above or through the Commission's World Wide Web site.</w:t>
      </w:r>
    </w:p>
    <w:p>
      <w:pPr>
        <w:spacing w:after="0" w:line="191"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Statements contained in this Prospectus as to the contents of any contract or other document are not necessarily complete, and in each instance are qualified in all respects by reference to the copy of such contract or document filed as an exhibit to the Registration Statement.</w:t>
      </w:r>
    </w:p>
    <w:p>
      <w:pPr>
        <w:spacing w:after="0" w:line="373"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90" w:lineRule="exact"/>
        <w:rPr>
          <w:sz w:val="20"/>
          <w:szCs w:val="20"/>
          <w:color w:val="auto"/>
        </w:rPr>
      </w:pPr>
    </w:p>
    <w:p>
      <w:pPr>
        <w:ind w:right="3599" w:firstLine="192"/>
        <w:spacing w:after="0" w:line="242" w:lineRule="auto"/>
        <w:rPr>
          <w:sz w:val="20"/>
          <w:szCs w:val="20"/>
          <w:color w:val="auto"/>
        </w:rPr>
      </w:pPr>
      <w:r>
        <w:rPr>
          <w:rFonts w:ascii="Courier New" w:cs="Courier New" w:eastAsia="Courier New" w:hAnsi="Courier New"/>
          <w:sz w:val="16"/>
          <w:szCs w:val="16"/>
          <w:color w:val="auto"/>
        </w:rPr>
        <w:t>The following documents have been filed with the Commission and are incorporated herein by reference:</w:t>
      </w:r>
    </w:p>
    <w:p>
      <w:pPr>
        <w:spacing w:after="0" w:line="189" w:lineRule="exact"/>
        <w:rPr>
          <w:sz w:val="20"/>
          <w:szCs w:val="20"/>
          <w:color w:val="auto"/>
        </w:rPr>
      </w:pPr>
    </w:p>
    <w:p>
      <w:pPr>
        <w:ind w:left="200" w:right="2919" w:firstLine="183"/>
        <w:spacing w:after="0" w:line="242" w:lineRule="auto"/>
        <w:tabs>
          <w:tab w:leader="none" w:pos="77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as amended by Form 10-K/A, for the fiscal year ended August 29, 1996;</w:t>
      </w:r>
    </w:p>
    <w:p>
      <w:pPr>
        <w:spacing w:after="0" w:line="188" w:lineRule="exact"/>
        <w:rPr>
          <w:rFonts w:ascii="Courier New" w:cs="Courier New" w:eastAsia="Courier New" w:hAnsi="Courier New"/>
          <w:sz w:val="16"/>
          <w:szCs w:val="16"/>
          <w:color w:val="auto"/>
        </w:rPr>
      </w:pPr>
    </w:p>
    <w:p>
      <w:pPr>
        <w:ind w:left="200" w:right="3019" w:firstLine="183"/>
        <w:spacing w:after="0" w:line="242" w:lineRule="auto"/>
        <w:tabs>
          <w:tab w:leader="none" w:pos="77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Reports on Form 10-Q for the quarters ended November 28, 1996 and February 27, 1997; and</w:t>
      </w:r>
    </w:p>
    <w:p>
      <w:pPr>
        <w:spacing w:after="0" w:line="188" w:lineRule="exact"/>
        <w:rPr>
          <w:rFonts w:ascii="Courier New" w:cs="Courier New" w:eastAsia="Courier New" w:hAnsi="Courier New"/>
          <w:sz w:val="16"/>
          <w:szCs w:val="16"/>
          <w:color w:val="auto"/>
        </w:rPr>
      </w:pPr>
    </w:p>
    <w:p>
      <w:pPr>
        <w:ind w:left="200" w:right="3399" w:firstLine="183"/>
        <w:spacing w:after="0" w:line="242" w:lineRule="auto"/>
        <w:tabs>
          <w:tab w:leader="none" w:pos="77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Registration Statement on Form 8-A (No. 1-10658), declared effective by the Commission on November 28, 1990.</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All documents filed by the Company pursuant to Sections 13(a), 13(c), 14 or 15(d) of the Exchange Act after the date of this Registration Statement of which this Prospectus forms a part and prior to the termination of the offering of the Securities offered hereby shall be deemed to be incorporated by reference into this Prospectus and be a part hereof from the date of filing such documents.</w:t>
      </w:r>
    </w:p>
    <w:p>
      <w:pPr>
        <w:spacing w:after="0" w:line="188"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deemed to be modified or superseded for purposes of the Registration Statement or this Prospectus to the extent that a statement contained herein, in a Prospectus Supplement or in any other document subsequently filed with the Commission which also is or is deemed to be incorporated by reference herein modifies or supersedes such statement. Any such statement so modified or superseded shall not be deemed, except as so modified or superseded, to constitute a part of the Registration Statement or this Prospectus.</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9" w:right="1440" w:bottom="1440" w:gutter="0" w:footer="0" w:header="0"/>
        </w:sectPr>
      </w:pPr>
    </w:p>
    <w:bookmarkStart w:id="5" w:name="page6"/>
    <w:bookmarkEnd w:id="5"/>
    <w:p>
      <w:pPr>
        <w:ind w:right="2719" w:firstLine="192"/>
        <w:spacing w:after="0" w:line="244" w:lineRule="auto"/>
        <w:rPr>
          <w:sz w:val="20"/>
          <w:szCs w:val="20"/>
          <w:color w:val="auto"/>
        </w:rPr>
      </w:pPr>
      <w:r>
        <w:rPr>
          <w:rFonts w:ascii="Courier New" w:cs="Courier New" w:eastAsia="Courier New" w:hAnsi="Courier New"/>
          <w:sz w:val="16"/>
          <w:szCs w:val="16"/>
          <w:color w:val="auto"/>
        </w:rPr>
        <w:t>The Company will furnish without charge to each person, including any beneficial owner, to whom this Prospectus is delivered, on the written or oral request of such person, a copy of any or all of the documents incorporated by reference, other than exhibits to such documents (unless such exhibits are specifically incorporated by reference into such documents). Requests should be directed to Roderic W. Lewis, Vice President of Legal Affairs, General Counsel and Corporate Secretary, Micron Technology, Inc., 8000 South Federal Way, P.O. Box 6 Boise, ID 83707-0006, telephone (208) 368-4000.</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THE COMPANY</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Micron Technology, Inc. ("MTI" or the "Company") and its subsidiaries principally design, develop, manufacture and market semiconductor memory products, personal computers and custom complex printed circuit board, memory module and system level assemblies. MTI was incorporated in Idaho in 1978 and reincorporated in Delaware in 1984. The Company's executive offices and principal manufacturing operations are located at 8000 South Federal Way, Boise, Idaho, 83707-0006 and its telephone number is (208) 368-4000.</w:t>
      </w:r>
    </w:p>
    <w:p>
      <w:pPr>
        <w:spacing w:after="0" w:line="18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RISK FACTORS</w:t>
      </w:r>
    </w:p>
    <w:p>
      <w:pPr>
        <w:spacing w:after="0" w:line="190" w:lineRule="exact"/>
        <w:rPr>
          <w:sz w:val="20"/>
          <w:szCs w:val="20"/>
          <w:color w:val="auto"/>
        </w:rPr>
      </w:pPr>
    </w:p>
    <w:p>
      <w:pPr>
        <w:ind w:right="2919" w:firstLine="192"/>
        <w:spacing w:after="0" w:line="244" w:lineRule="auto"/>
        <w:rPr>
          <w:sz w:val="20"/>
          <w:szCs w:val="20"/>
          <w:color w:val="auto"/>
        </w:rPr>
      </w:pPr>
      <w:r>
        <w:rPr>
          <w:rFonts w:ascii="Courier New" w:cs="Courier New" w:eastAsia="Courier New" w:hAnsi="Courier New"/>
          <w:sz w:val="16"/>
          <w:szCs w:val="16"/>
          <w:color w:val="auto"/>
        </w:rPr>
        <w:t>Prior to making an investment decision with respect to the Securities offered hereby, prospective investors should carefully consider the specific factors set forth under the caption "Risk Factors" in the applicable Prospectus Supplement pertaining thereto, together with all of the other information appearing herein or therein or incorporated by reference herein, in light of their particular investment objectives and financial circumstances.</w:t>
      </w:r>
    </w:p>
    <w:p>
      <w:pPr>
        <w:spacing w:after="0" w:line="186"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USE OF PROCEEDS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Unless otherwise indicated in an accompanying Prospectus Supplement, the net proceeds to be received by the Company from the sale of the Securities will be used for general corporate purposes, including capital expenditures and to meet working capital needs. Pending such uses, the Company will invest the net proceeds in interest-bearing securities.</w:t>
      </w:r>
    </w:p>
    <w:p>
      <w:pPr>
        <w:spacing w:after="0" w:line="18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RATIO OF EARNINGS TO FIXED CHARGES</w:t>
      </w:r>
    </w:p>
    <w:p>
      <w:pPr>
        <w:spacing w:after="0" w:line="190" w:lineRule="exact"/>
        <w:rPr>
          <w:sz w:val="20"/>
          <w:szCs w:val="20"/>
          <w:color w:val="auto"/>
        </w:rPr>
      </w:pPr>
    </w:p>
    <w:p>
      <w:pPr>
        <w:ind w:right="3019" w:firstLine="192"/>
        <w:spacing w:after="0" w:line="244" w:lineRule="auto"/>
        <w:rPr>
          <w:sz w:val="20"/>
          <w:szCs w:val="20"/>
          <w:color w:val="auto"/>
        </w:rPr>
      </w:pPr>
      <w:r>
        <w:rPr>
          <w:rFonts w:ascii="Courier New" w:cs="Courier New" w:eastAsia="Courier New" w:hAnsi="Courier New"/>
          <w:sz w:val="16"/>
          <w:szCs w:val="16"/>
          <w:color w:val="auto"/>
        </w:rPr>
        <w:t>Set forth below is the ratio of earnings to fixed charges for each of the years in the five-year period ended August 29, 1996 and for the six-month period ended February 27, 1997. For the purpose of calculating such ratios, "earnings" consist of income from continuing operations before income taxes plus fixed charges and "fixed charges" consist of interest expense (net of capitalized portion) and capitalized interest.</w:t>
      </w:r>
    </w:p>
    <w:p>
      <w:pPr>
        <w:spacing w:after="0" w:line="371" w:lineRule="exact"/>
        <w:rPr>
          <w:sz w:val="20"/>
          <w:szCs w:val="20"/>
          <w:color w:val="auto"/>
        </w:rPr>
      </w:pPr>
    </w:p>
    <w:p>
      <w:pPr>
        <w:jc w:val="center"/>
        <w:ind w:right="1299"/>
        <w:spacing w:after="0"/>
        <w:rPr>
          <w:sz w:val="20"/>
          <w:szCs w:val="20"/>
          <w:color w:val="auto"/>
        </w:rPr>
      </w:pPr>
      <w:r>
        <w:rPr>
          <w:rFonts w:ascii="Courier New" w:cs="Courier New" w:eastAsia="Courier New" w:hAnsi="Courier New"/>
          <w:sz w:val="16"/>
          <w:szCs w:val="16"/>
          <w:color w:val="auto"/>
        </w:rPr>
        <w:t>FISCAL YEAR ENDED</w:t>
      </w:r>
    </w:p>
    <w:p>
      <w:pPr>
        <w:spacing w:after="0" w:line="4" w:lineRule="exact"/>
        <w:rPr>
          <w:sz w:val="20"/>
          <w:szCs w:val="20"/>
          <w:color w:val="auto"/>
        </w:rPr>
      </w:pPr>
    </w:p>
    <w:p>
      <w:pPr>
        <w:jc w:val="center"/>
        <w:ind w:right="119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6720"/>
        <w:spacing w:after="0"/>
        <w:rPr>
          <w:sz w:val="20"/>
          <w:szCs w:val="20"/>
          <w:color w:val="auto"/>
        </w:rPr>
      </w:pPr>
      <w:r>
        <w:rPr>
          <w:rFonts w:ascii="Courier New" w:cs="Courier New" w:eastAsia="Courier New" w:hAnsi="Courier New"/>
          <w:sz w:val="15"/>
          <w:szCs w:val="15"/>
          <w:color w:val="auto"/>
        </w:rPr>
        <w:t>SIX MONTHS</w:t>
      </w:r>
    </w:p>
    <w:p>
      <w:pPr>
        <w:spacing w:after="0" w:line="13" w:lineRule="exact"/>
        <w:rPr>
          <w:sz w:val="20"/>
          <w:szCs w:val="20"/>
          <w:color w:val="auto"/>
        </w:rPr>
      </w:pPr>
    </w:p>
    <w:p>
      <w:pPr>
        <w:ind w:left="6920"/>
        <w:spacing w:after="0"/>
        <w:rPr>
          <w:sz w:val="20"/>
          <w:szCs w:val="20"/>
          <w:color w:val="auto"/>
        </w:rPr>
      </w:pPr>
      <w:r>
        <w:rPr>
          <w:rFonts w:ascii="Courier New" w:cs="Courier New" w:eastAsia="Courier New" w:hAnsi="Courier New"/>
          <w:sz w:val="16"/>
          <w:szCs w:val="16"/>
          <w:color w:val="auto"/>
        </w:rPr>
        <w:t>ENDED</w:t>
      </w:r>
    </w:p>
    <w:p>
      <w:pPr>
        <w:spacing w:after="0" w:line="4" w:lineRule="exact"/>
        <w:rPr>
          <w:sz w:val="20"/>
          <w:szCs w:val="20"/>
          <w:color w:val="auto"/>
        </w:rPr>
      </w:pPr>
    </w:p>
    <w:p>
      <w:pPr>
        <w:ind w:left="2400"/>
        <w:spacing w:after="0"/>
        <w:tabs>
          <w:tab w:leader="none" w:pos="6800" w:val="left"/>
        </w:tabs>
        <w:rPr>
          <w:sz w:val="20"/>
          <w:szCs w:val="20"/>
          <w:color w:val="auto"/>
        </w:rPr>
      </w:pPr>
      <w:r>
        <w:rPr>
          <w:rFonts w:ascii="Courier New" w:cs="Courier New" w:eastAsia="Courier New" w:hAnsi="Courier New"/>
          <w:sz w:val="16"/>
          <w:szCs w:val="16"/>
          <w:color w:val="auto"/>
        </w:rPr>
        <w:t>SEPT. 3, SEPT. 2, SEPT. 1, AUG. 31, AUG. 29,</w:t>
      </w:r>
      <w:r>
        <w:rPr>
          <w:sz w:val="20"/>
          <w:szCs w:val="20"/>
          <w:color w:val="auto"/>
        </w:rPr>
        <w:tab/>
      </w:r>
      <w:r>
        <w:rPr>
          <w:rFonts w:ascii="Courier New" w:cs="Courier New" w:eastAsia="Courier New" w:hAnsi="Courier New"/>
          <w:sz w:val="15"/>
          <w:szCs w:val="15"/>
          <w:color w:val="auto"/>
        </w:rPr>
        <w:t>FEB. 27,</w:t>
      </w:r>
    </w:p>
    <w:p>
      <w:pPr>
        <w:spacing w:after="0" w:line="4" w:lineRule="exact"/>
        <w:rPr>
          <w:sz w:val="20"/>
          <w:szCs w:val="20"/>
          <w:color w:val="auto"/>
        </w:rPr>
      </w:pPr>
    </w:p>
    <w:p>
      <w:pPr>
        <w:ind w:left="2600"/>
        <w:spacing w:after="0"/>
        <w:tabs>
          <w:tab w:leader="none" w:pos="3440" w:val="left"/>
          <w:tab w:leader="none" w:pos="4300" w:val="left"/>
          <w:tab w:leader="none" w:pos="5160" w:val="left"/>
          <w:tab w:leader="none" w:pos="6040" w:val="left"/>
          <w:tab w:leader="none" w:pos="7000" w:val="left"/>
        </w:tabs>
        <w:rPr>
          <w:sz w:val="20"/>
          <w:szCs w:val="20"/>
          <w:color w:val="auto"/>
        </w:rPr>
      </w:pPr>
      <w:r>
        <w:rPr>
          <w:rFonts w:ascii="Courier New" w:cs="Courier New" w:eastAsia="Courier New" w:hAnsi="Courier New"/>
          <w:sz w:val="16"/>
          <w:szCs w:val="16"/>
          <w:color w:val="auto"/>
        </w:rPr>
        <w:t>1992</w:t>
      </w:r>
      <w:r>
        <w:rPr>
          <w:sz w:val="20"/>
          <w:szCs w:val="20"/>
          <w:color w:val="auto"/>
        </w:rPr>
        <w:tab/>
      </w:r>
      <w:r>
        <w:rPr>
          <w:rFonts w:ascii="Courier New" w:cs="Courier New" w:eastAsia="Courier New" w:hAnsi="Courier New"/>
          <w:sz w:val="16"/>
          <w:szCs w:val="16"/>
          <w:color w:val="auto"/>
        </w:rPr>
        <w:t>1993</w:t>
      </w:r>
      <w:r>
        <w:rPr>
          <w:sz w:val="20"/>
          <w:szCs w:val="20"/>
          <w:color w:val="auto"/>
        </w:rPr>
        <w:tab/>
      </w:r>
      <w:r>
        <w:rPr>
          <w:rFonts w:ascii="Courier New" w:cs="Courier New" w:eastAsia="Courier New" w:hAnsi="Courier New"/>
          <w:sz w:val="16"/>
          <w:szCs w:val="16"/>
          <w:color w:val="auto"/>
        </w:rPr>
        <w:t>1994</w:t>
      </w:r>
      <w:r>
        <w:rPr>
          <w:sz w:val="20"/>
          <w:szCs w:val="20"/>
          <w:color w:val="auto"/>
        </w:rPr>
        <w:tab/>
      </w: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 -------- -------- -------- -------- ----------</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Ratio of Earnings to</w:t>
      </w:r>
    </w:p>
    <w:p>
      <w:pPr>
        <w:sectPr>
          <w:pgSz w:w="11900" w:h="16838" w:orient="portrait"/>
          <w:cols w:equalWidth="0" w:num="1">
            <w:col w:w="10219"/>
          </w:cols>
          <w:pgMar w:left="240" w:top="856" w:right="1440" w:bottom="1440" w:gutter="0" w:footer="0" w:header="0"/>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Fixed Charges..........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2.1x</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21.0x</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75.2x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111.3x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59.6x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21.0x</w:t>
      </w:r>
    </w:p>
    <w:p>
      <w:pPr>
        <w:spacing w:after="0" w:line="200" w:lineRule="exact"/>
        <w:rPr>
          <w:sz w:val="20"/>
          <w:szCs w:val="20"/>
          <w:color w:val="auto"/>
        </w:rPr>
      </w:pPr>
    </w:p>
    <w:p>
      <w:pPr>
        <w:sectPr>
          <w:pgSz w:w="11900" w:h="16838" w:orient="portrait"/>
          <w:cols w:equalWidth="0" w:num="7">
            <w:col w:w="2300" w:space="300"/>
            <w:col w:w="380" w:space="380"/>
            <w:col w:w="480" w:space="380"/>
            <w:col w:w="480" w:space="400"/>
            <w:col w:w="560" w:space="300"/>
            <w:col w:w="480" w:space="480"/>
            <w:col w:w="3299"/>
          </w:cols>
          <w:pgMar w:left="240" w:top="856" w:right="1440" w:bottom="1440" w:gutter="0" w:footer="0" w:header="0"/>
          <w:type w:val="continuous"/>
        </w:sectPr>
      </w:pP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56" w:right="1440" w:bottom="1440" w:gutter="0" w:footer="0" w:header="0"/>
          <w:type w:val="continuous"/>
        </w:sectPr>
      </w:pPr>
    </w:p>
    <w:bookmarkStart w:id="6" w:name="page7"/>
    <w:bookmarkEnd w:id="6"/>
    <w:p>
      <w:pPr>
        <w:ind w:left="2121"/>
        <w:spacing w:after="0"/>
        <w:rPr>
          <w:sz w:val="20"/>
          <w:szCs w:val="20"/>
          <w:color w:val="auto"/>
        </w:rPr>
      </w:pPr>
      <w:r>
        <w:rPr>
          <w:rFonts w:ascii="Courier New" w:cs="Courier New" w:eastAsia="Courier New" w:hAnsi="Courier New"/>
          <w:sz w:val="16"/>
          <w:szCs w:val="16"/>
          <w:color w:val="auto"/>
        </w:rPr>
        <w:t>DESCRIPTION OF DEBT SECURITIES</w:t>
      </w:r>
    </w:p>
    <w:p>
      <w:pPr>
        <w:spacing w:after="0" w:line="190"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The Senior Debt Securities are to be issued under an Indenture (the "Senior Indenture"), between the Company, as issuer, and Norwest Bank Minnesota, National Association, as Trustee (the "Trustee"). The Subordinated Debt Securities are to be issued under a separate Indenture (the "Subordinated Indenture"), also between the Company, as issuer, and Norwest Bank Minnesota, National Association, as Trustee. The Senior Indenture and Subordinated Indenture are sometimes referred to collectively as the "Indentures". A copy of the form of each Indenture is filed as an exhibit to the Registration Statement of which this Prospectus is a part. The Debt Securities may be issued from time to time in one or more series. The particular terms of each series, or of Debt Securities forming a part of a series, which are offered by a Prospectus Supplement will be described in such Prospectus Supplement.</w:t>
      </w:r>
    </w:p>
    <w:p>
      <w:pPr>
        <w:spacing w:after="0" w:line="191"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The following summaries of certain provisions of the Indentures do not purport to be complete and are subject, and are qualified in their entirety by reference, to all the provisions of the Indentures, including the definitions therein of certain terms, and, with respect to any particular Debt Securities, to the description of the terms thereof included in the Prospectus Supplement relating thereto. Wherever particular Sections or defined terms of the Indentures are referred to herein or in a Prospectus Supplement, such Sections or defined terms are incorporated by reference herein or therein, as the case may be.</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GENERAL</w:t>
      </w:r>
    </w:p>
    <w:p>
      <w:pPr>
        <w:spacing w:after="0" w:line="190"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The Indentures will provide that Debt Securities in separate series may be issued thereunder from time to time without limitation as to aggregate principal amount. The Company may specify a maximum aggregate principal amount for the Debt Securities of any series. (Section 301) The Debt Securities are to have such terms and provisions which are not inconsistent with the Indentures, including as to maturity, principal and interest, as the Company may determine. Unless otherwise specified in the applicable Prospectus Supplement, the Senior Debt Securities when issued will be unsecured and unsubordinated obligations of the Company and will rank on a parity with all other unsecured and unsubordinated indebtedness of the Company. The Subordinated Debt Securities when issued will be subordinated in right of payment to the prior payment in full of all Senior Debt of the Company, including any outstanding Senior Debt Securities, as described under "Subordination of Subordinated Debt Securities" and in the applicable Prospectus Supplement.</w:t>
      </w:r>
    </w:p>
    <w:p>
      <w:pPr>
        <w:spacing w:after="0" w:line="192" w:lineRule="exact"/>
        <w:rPr>
          <w:sz w:val="20"/>
          <w:szCs w:val="20"/>
          <w:color w:val="auto"/>
        </w:rPr>
      </w:pPr>
    </w:p>
    <w:p>
      <w:pPr>
        <w:ind w:left="1" w:right="2819" w:firstLine="192"/>
        <w:spacing w:after="0" w:line="243" w:lineRule="auto"/>
        <w:rPr>
          <w:sz w:val="20"/>
          <w:szCs w:val="20"/>
          <w:color w:val="auto"/>
        </w:rPr>
      </w:pPr>
      <w:r>
        <w:rPr>
          <w:rFonts w:ascii="Courier New" w:cs="Courier New" w:eastAsia="Courier New" w:hAnsi="Courier New"/>
          <w:sz w:val="16"/>
          <w:szCs w:val="16"/>
          <w:color w:val="auto"/>
        </w:rPr>
        <w:t>The applicable Prospectus Supplement will set forth whether the Debt Securities offered shall be Senior Debt Securities or Subordinated Debt Securities, the price or prices at which the Debt Securities to be offered will be issued and will describe the following terms of such Debt Securities:</w:t>
      </w:r>
    </w:p>
    <w:p>
      <w:pPr>
        <w:spacing w:after="0" w:line="5" w:lineRule="exact"/>
        <w:rPr>
          <w:sz w:val="20"/>
          <w:szCs w:val="20"/>
          <w:color w:val="auto"/>
        </w:rPr>
      </w:pPr>
    </w:p>
    <w:p>
      <w:pPr>
        <w:ind w:left="1" w:right="2719" w:hanging="1"/>
        <w:spacing w:after="0" w:line="244" w:lineRule="auto"/>
        <w:tabs>
          <w:tab w:leader="none" w:pos="38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such Debt Securities; (2) any limit on the aggregate principal amount of such Debt Securities or the series of which they are a part; (3) the Person to whom any interest on a Debt Security of the series shall be payable, if other than the Person in whose name that Debt Security (or one or more predecessor Debt Securities) is registered at the close of business on the Regular Record Date for such interest; (4) the date or dates on which the principal of any of such Debt Securities will be payable; (5) the rate or rates at which any of such Debt Securities will bear interest, if any, the date or dates from which any such interest will accrue, the Interest Payment Dates on which any such interest will be payable and the Regular Record Date for any such interest payable on any Interest Payment Date; (6) the place or places where the principal of and any premium and interest on any of such Debt Securities will be payable; (7) the period or periods within which, the price or prices at which and the terms and conditions on which any of such Debt Securities may be redeemed, in whole or in part, at the option of the Company; (8) the obligation, if any, of the Company to redeem or purchase any of such Debt Securities pursuant to any sinking fund or analogous provision or at the option of the Holder thereof, and the period or periods within which, the price or prices at which and the terms and</w:t>
      </w:r>
    </w:p>
    <w:p>
      <w:pPr>
        <w:spacing w:after="0" w:line="19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854" w:right="1440" w:bottom="1440" w:gutter="0" w:footer="0" w:header="0"/>
        </w:sectPr>
      </w:pPr>
    </w:p>
    <w:bookmarkStart w:id="7" w:name="page8"/>
    <w:bookmarkEnd w:id="7"/>
    <w:p>
      <w:pPr>
        <w:ind w:left="1" w:right="2719"/>
        <w:spacing w:after="0" w:line="244" w:lineRule="auto"/>
        <w:rPr>
          <w:sz w:val="20"/>
          <w:szCs w:val="20"/>
          <w:color w:val="auto"/>
        </w:rPr>
      </w:pPr>
      <w:r>
        <w:rPr>
          <w:rFonts w:ascii="Courier New" w:cs="Courier New" w:eastAsia="Courier New" w:hAnsi="Courier New"/>
          <w:sz w:val="16"/>
          <w:szCs w:val="16"/>
          <w:color w:val="auto"/>
        </w:rPr>
        <w:t>conditions on which any of such Debt Securities will be redeemed or purchased, in whole or in part, pursuant to any such obligation; (9) the denominations in which any of such Debt Securities will be issuable, if other than denominations of $1,000 and any integral multiple thereof; (10) if the amount of principal of or any premium or interest on any of such Debt Securities may be determined with reference to an index or pursuant to a formula, the manner in which such amounts will be determined; (11) if other than the currency of the United States of America, the currency, currencies or currency units in which the principal of or any premium or interest on any of such Debt Securities will be payable (and the manner in which the equivalent of the principal amount thereof in the currency of the United States of America is to be determined for any purpose, including for the purpose of determining the principal amount deemed to be Outstanding at any time); (12) if the principal of or any premium or interest on any of such Debt Securities is to be payable, at the election of the Company or the Holder thereof, in one or more currencies or currency units other than those in which such Debt Securities are stated to be payable, the currency, currencies or currency units in which payment of any such amount as to which such election is made will be payable, the periods within which and the terms and conditions upon which such election is to be made and the amount so payable (or the manner in which such amount is to be determined); (13) if other than the entire principal amount thereof, the portion of the principal amount of any of such Debt Securities which will be payable upon declaration of acceleration of the Maturity thereof; (14) if the principal amount payable at the Stated Maturity of any of such Debt Securities will not be determinable as of any one or more dates prior to the Stated Maturity, the amount which will be deemed to be such principal amount as of any such date for any purpose, including the principal amount thereof which will be due and payable upon any Maturity other than the Stated Maturity or which will be deemed to be Outstanding as of any such date (or, in any such case, the manner in which such deemed principal amount is to be determined);</w:t>
      </w:r>
    </w:p>
    <w:p>
      <w:pPr>
        <w:spacing w:after="0" w:line="15" w:lineRule="exact"/>
        <w:rPr>
          <w:sz w:val="20"/>
          <w:szCs w:val="20"/>
          <w:color w:val="auto"/>
        </w:rPr>
      </w:pPr>
    </w:p>
    <w:p>
      <w:pPr>
        <w:ind w:left="1" w:right="2719" w:hanging="1"/>
        <w:spacing w:after="0" w:line="244" w:lineRule="auto"/>
        <w:tabs>
          <w:tab w:leader="none" w:pos="4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that such Debt Securities, in whole or any specified part, are defeasible pursuant to the provisions of the Indentures described under "Defeasance and Covenant Defeasance--Defeasance and Discharge" or "Defeasance and Covenant Defeasance--Defeasance of Certain Covenants," or under both such captions; (16) if applicable, the terms of any right to convert Debt Securities into shares of Common Stock of the Company or other securities or property; (17) whether any of such Debt Securities will be issuable in whole or in part in the form of one or more Global Securities and, if so, the respective Depositaries for such Global Securities, the form of any legend or legends to be borne by any such Global Security in addition to or in lieu of the legends referred to under "Form, Exchange and Transfer" or "Global Securities" and, if different from those described under such captions, any circumstances under which any such Global Security may be exchanged in whole or in part for Securities registered, and any transfer of such Global Security in whole or in part may be registered, in the names of Persons other than the Depositary for such Global Security or its nominee; (18) any addition to or change in the Events of Default applicable to any of such Debt Securities and any change in the right of the Trustee or the Holders to declare the principal amount of any of such Debt Securities due and payable; (19) any addition to or change in the covenants in the Indentures described under "Restrictive Covenants" applicable to any of such Debt Securities; and (20) any other terms of such Debt Securities not inconsistent with the provisions of the relevant Indenture. (Section 301)</w:t>
      </w:r>
    </w:p>
    <w:p>
      <w:pPr>
        <w:spacing w:after="0" w:line="196"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Debt Securities, including Original Issue Discount Securities, may be sold at a substantial discount below their principal amount. Certain special United States federal income tax considerations (if any) applicable to Debt Securities sold at an original issue discount will be described in the applicable Prospectus Supplement under "United States Taxation". In addition, certain special United States</w:t>
      </w:r>
    </w:p>
    <w:p>
      <w:pPr>
        <w:spacing w:after="0" w:line="188" w:lineRule="exact"/>
        <w:rPr>
          <w:sz w:val="20"/>
          <w:szCs w:val="20"/>
          <w:color w:val="auto"/>
        </w:rPr>
      </w:pPr>
    </w:p>
    <w:p>
      <w:pPr>
        <w:ind w:left="1" w:right="3119"/>
        <w:spacing w:after="0" w:line="243" w:lineRule="auto"/>
        <w:rPr>
          <w:sz w:val="20"/>
          <w:szCs w:val="20"/>
          <w:color w:val="auto"/>
        </w:rPr>
      </w:pPr>
      <w:r>
        <w:rPr>
          <w:rFonts w:ascii="Courier New" w:cs="Courier New" w:eastAsia="Courier New" w:hAnsi="Courier New"/>
          <w:sz w:val="16"/>
          <w:szCs w:val="16"/>
          <w:color w:val="auto"/>
        </w:rPr>
        <w:t>federal income tax or other considerations (if any) applicable to any Debt Securities which are denominated in a currency or currency unit other than United States dollars will be described in the applicable Prospectus Supplement.</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CONVERSION RIGHTS</w:t>
      </w:r>
    </w:p>
    <w:p>
      <w:pPr>
        <w:spacing w:after="0" w:line="190" w:lineRule="exact"/>
        <w:rPr>
          <w:sz w:val="20"/>
          <w:szCs w:val="20"/>
          <w:color w:val="auto"/>
        </w:rPr>
      </w:pPr>
    </w:p>
    <w:p>
      <w:pPr>
        <w:ind w:left="1" w:right="2719" w:firstLine="192"/>
        <w:spacing w:after="0" w:line="243" w:lineRule="auto"/>
        <w:rPr>
          <w:sz w:val="20"/>
          <w:szCs w:val="20"/>
          <w:color w:val="auto"/>
        </w:rPr>
      </w:pPr>
      <w:r>
        <w:rPr>
          <w:rFonts w:ascii="Courier New" w:cs="Courier New" w:eastAsia="Courier New" w:hAnsi="Courier New"/>
          <w:sz w:val="16"/>
          <w:szCs w:val="16"/>
          <w:color w:val="auto"/>
        </w:rPr>
        <w:t>The terms on which Debt Securities of any series are convertible into Common Stock or other securities or property will be set forth in the Prospectus Supplement relating thereto. Such terms shall</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856" w:right="1440" w:bottom="1440" w:gutter="0" w:footer="0" w:header="0"/>
        </w:sectPr>
      </w:pPr>
    </w:p>
    <w:bookmarkStart w:id="8" w:name="page9"/>
    <w:bookmarkEnd w:id="8"/>
    <w:p>
      <w:pPr>
        <w:ind w:right="2719"/>
        <w:spacing w:after="0" w:line="244" w:lineRule="auto"/>
        <w:rPr>
          <w:sz w:val="20"/>
          <w:szCs w:val="20"/>
          <w:color w:val="auto"/>
        </w:rPr>
      </w:pPr>
      <w:r>
        <w:rPr>
          <w:rFonts w:ascii="Courier New" w:cs="Courier New" w:eastAsia="Courier New" w:hAnsi="Courier New"/>
          <w:sz w:val="16"/>
          <w:szCs w:val="16"/>
          <w:color w:val="auto"/>
        </w:rPr>
        <w:t>include provisions as to whether conversion is mandatory or at the option of the Holder and may include provisions pursuant to which the number of shares of Common Stock or other securities or property to be received by the Holders of Debt Securities upon conversion would be calculated according to the market price of Common Stock or other securities or property as of a time stated in the applicable Prospectus Supplement. (Article Fourteen)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SUBORDINATION OF SUBORDINATED DEBT SECURITIES</w:t>
      </w:r>
    </w:p>
    <w:p>
      <w:pPr>
        <w:spacing w:after="0" w:line="190" w:lineRule="exact"/>
        <w:rPr>
          <w:sz w:val="20"/>
          <w:szCs w:val="20"/>
          <w:color w:val="auto"/>
        </w:rPr>
      </w:pPr>
    </w:p>
    <w:p>
      <w:pPr>
        <w:ind w:right="3299" w:firstLine="192"/>
        <w:spacing w:after="0" w:line="242" w:lineRule="auto"/>
        <w:rPr>
          <w:sz w:val="20"/>
          <w:szCs w:val="20"/>
          <w:color w:val="auto"/>
        </w:rPr>
      </w:pPr>
      <w:r>
        <w:rPr>
          <w:rFonts w:ascii="Courier New" w:cs="Courier New" w:eastAsia="Courier New" w:hAnsi="Courier New"/>
          <w:sz w:val="16"/>
          <w:szCs w:val="16"/>
          <w:color w:val="auto"/>
        </w:rPr>
        <w:t>Unless otherwise indicated in the Prospectus Supplement, the following provisions will apply to the Subordinated Debt Securities.</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Subordinated Debt Securities will, to the extent set forth in the Subordinated Indenture, be subordinate in right of payment to the prior payment in full of all Senior Debt, including the Senior Debt Securities. In the event of any insolvency or bankruptcy case or proceeding, or any receivership, liquidation, reorganization, debt restructuring or other similar case or proceeding in connection therewith, relative to the Company or to its creditors, as such, or to its assets, or any liquidation, dissolution or other winding up of the Company, whether voluntary or involuntary and whether or not involving insolvency or bankruptcy, or any assignment for the benefit of creditors or any other marshaling of assets and liabilities of the Company, the holders of Senior Debt will be entitled to receive payment in full of all amounts due or to become due on or in respect of all Senior Debt in cash or other payment satisfactory to the holders of Senior Debt before the Holders of the Subordinated Debt Securities are entitled to receive any payment on account of principal of or any premium or interest on the Subordinated Debt Securities or on account of the purchase, redemption or other acquisition of Subordinated Debt Securities or before the Company may make any sinking fund or defeasance payment to the Trustee or any Paying Agent in accordance with the Subordinated Indenture. Notwithstanding the foregoing, any amounts previously deposited by the Company with the Trustee or Paying Agent in accordance with the subordination provisions of Article Fifteen of the Subordinated Indenture at the time of such deposit may be paid to the Holders of Subordinated Debt Securities ("Defeased Payments"). (Section 1502)</w:t>
      </w:r>
    </w:p>
    <w:p>
      <w:pPr>
        <w:spacing w:after="0" w:line="196" w:lineRule="exact"/>
        <w:rPr>
          <w:sz w:val="20"/>
          <w:szCs w:val="20"/>
          <w:color w:val="auto"/>
        </w:rPr>
      </w:pPr>
    </w:p>
    <w:p>
      <w:pPr>
        <w:jc w:val="both"/>
        <w:ind w:right="2819" w:firstLine="192"/>
        <w:spacing w:after="0" w:line="243" w:lineRule="auto"/>
        <w:rPr>
          <w:sz w:val="20"/>
          <w:szCs w:val="20"/>
          <w:color w:val="auto"/>
        </w:rPr>
      </w:pPr>
      <w:r>
        <w:rPr>
          <w:rFonts w:ascii="Courier New" w:cs="Courier New" w:eastAsia="Courier New" w:hAnsi="Courier New"/>
          <w:sz w:val="16"/>
          <w:szCs w:val="16"/>
          <w:color w:val="auto"/>
        </w:rPr>
        <w:t>By reason of such subordination, in the event of liquidation or insolvency, creditors of the Company who are not holders of Senior Debt may recover less, ratably, than holders of Senior Debt and may recover more, ratably, than the Holders of the Subordinated Debt Securities.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In the event that any Subordinated Debt Securities are declared due and payable before their Stated Maturity as a result of an Event of Default, the holders of the Senior Debt outstanding at the time such Subordinated Debt Securities so become due and payable will be entitled to receive payment in full of all amounts due or to become due on or in respect of all Senior Debt in cash or other payment satisfactory to the holders of Senior Debt before the Holders of the Subordinated Debt Securities are entitled to receive any payment by the Company on account of the principal of or any premium or interest on the Subordinated Debt Securities or on account of the purchase, redemption or other acquisition of Subordinated Debt Securities or before the Company may make any sinking fund or defeasance payment to the Trustee or any Payment Agent in accordance with the Subordinate Indenture (other than Defeased Payments). If the payment of Subordinated Debt Securities is accelerated because of an Event of Default, the Company and the Trustee are required under the Subordinated Indenture to promptly notify holders of Senior Debt of the acceleration. (Section 1503)</w:t>
      </w:r>
    </w:p>
    <w:p>
      <w:pPr>
        <w:spacing w:after="0" w:line="193"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Company may not make any payment of principal (or premium, if any) or interest, if any, in respect of the Subordinated Debt Securities or on account of the purchase, redemption or other acquisition of Subordinated Debt Securities or any payment constituting a sinking fund or defeasance payment to the Trustee or Paying Agent in accordance with the Subordinated Indenture (other than Defeased Payments) if (i) a default in the payment of principal, premium, if any, or interest (including a default under any repurchase or redemption obligation) or other amounts with respect to any Senior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56" w:right="1440" w:bottom="1440" w:gutter="0" w:footer="0" w:header="0"/>
        </w:sectPr>
      </w:pPr>
    </w:p>
    <w:bookmarkStart w:id="9" w:name="page10"/>
    <w:bookmarkEnd w:id="9"/>
    <w:p>
      <w:pPr>
        <w:ind w:left="1" w:right="2719"/>
        <w:spacing w:after="0" w:line="244" w:lineRule="auto"/>
        <w:rPr>
          <w:sz w:val="20"/>
          <w:szCs w:val="20"/>
          <w:color w:val="auto"/>
        </w:rPr>
      </w:pPr>
      <w:r>
        <w:rPr>
          <w:rFonts w:ascii="Courier New" w:cs="Courier New" w:eastAsia="Courier New" w:hAnsi="Courier New"/>
          <w:sz w:val="16"/>
          <w:szCs w:val="16"/>
          <w:color w:val="auto"/>
        </w:rPr>
        <w:t>Debt occurs and is continuing beyond the applicable grace period or (ii) any other event of default occurs and is continuing with respect to Designated Senior Debt (as defined) that permits the holders thereof or their representatives to accelerate the maturity thereof, and the Trustee under the Subordinated Indenture receives a notice of such default (a "Payment Blockage Notice") from the Company, a holder of such Designated Senior Debt or other person permitted to give such notice under the Subordinated Indenture. The Company may and shall resume payments on the Subordinated Debt Securities and may purchase, redeem or otherwise acquire the Subordinated Debt Securities (a) in the case of a payment default, upon the date on which such default is cured or waived or ceases to exist and (b) in the case of a nonpayment default, the earlier of the date on which such nonpayment default is cured or waived or ceases to exist or 179 days after the date on which the applicable Payment Blockage Notice is received (unless the subordination provisions of Article Fifteen of the Indenture prohibit the payment or distribution at the time of such payment or distribution (including, without limitation, in the case of a nonpayment referred to in clause (ii) above, as a result of a payment default with respect to applicable Senior Debt as a consequence of the acceleration of the maturity thereof or otherwise)). No new period of payment blockage may be commenced unless and until 365 days have elapsed since the effectiveness of the immediately prior Payment Blockage Notice. No nonpayment default that existed or was continuing on the date of delivery of any Payment Blockage Notice to the Trustee under the Subordinated Indenture shall be, or be made, the basis for a subsequent Payment Blockage Notice. (Section 1502) In the case of Subordinated Debt Securities that are convertible at the option of the Holder, the payment, issuance and delivery of cash, property or securities (other than stock and certain subordinated securities of the Company) upon conversion of a Subordinated Debt Security will be deemed to constitute payment on account of the principal of such Subordinated Debt Security. (Section 1515)</w:t>
      </w:r>
    </w:p>
    <w:p>
      <w:pPr>
        <w:spacing w:after="0" w:line="200"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"Senior Debt" is defined in the Indenture to mean: the principal of (and premium, if any) and interest, if any (including interest accruing on or after the filing of any petition in bankruptcy or for reorganization relating to the Company whether or not such claim for post-petition interest is allowed in such proceeding), on, rent with respect to, and all fees and other amounts payable in connection with, the following, whether absolute or contingent, secured or unsecured, due or to become due, outstanding on the date of the Subordinated Indenture or thereafter created, incurred or assumed:</w:t>
      </w:r>
    </w:p>
    <w:p>
      <w:pPr>
        <w:spacing w:after="0" w:line="4" w:lineRule="exact"/>
        <w:rPr>
          <w:sz w:val="20"/>
          <w:szCs w:val="20"/>
          <w:color w:val="auto"/>
        </w:rPr>
      </w:pPr>
    </w:p>
    <w:p>
      <w:pPr>
        <w:ind w:left="1" w:right="2719" w:hanging="1"/>
        <w:spacing w:after="0" w:line="244" w:lineRule="auto"/>
        <w:tabs>
          <w:tab w:leader="none" w:pos="38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the Company evidenced by a credit or loan agreement, note, bond, debenture or other written obligation, (b) all obligations of the Company for money borrowed, (c) all obligations of the Company evidenced by a note or similar instrument given in connection with the acquisition of any businesses, properties or assets of any kind, (d) obligations of the Company</w:t>
      </w:r>
    </w:p>
    <w:p>
      <w:pPr>
        <w:spacing w:after="0" w:line="2" w:lineRule="exact"/>
        <w:rPr>
          <w:rFonts w:ascii="Courier New" w:cs="Courier New" w:eastAsia="Courier New" w:hAnsi="Courier New"/>
          <w:sz w:val="16"/>
          <w:szCs w:val="16"/>
          <w:color w:val="auto"/>
        </w:rPr>
      </w:pPr>
    </w:p>
    <w:p>
      <w:pPr>
        <w:ind w:left="1" w:right="2719" w:hanging="1"/>
        <w:spacing w:after="0" w:line="244" w:lineRule="auto"/>
        <w:tabs>
          <w:tab w:leader="none" w:pos="38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lessee under leases required to be capitalized on the balance sheet of the lessee under generally accepted accounting principles, (ii) as lessee under other leases for facilities, equipment or related assets, whether or not capitalized, entered into or leased after the date of the Subordinated Indenture for financing purposes (as determined by the Company) or (iii) under any lease or related document (including a purchase agreement) that provides that the Company is contractually obligated to purchase or cause a third party to purchase the leased property and the obligations of the Company under such lease or related document to purchase or to cause a third party to purchase such leased property, (e) all obligations of the Company under interest rate and currency swaps, caps, floors, collars, hedge agreements, forward contracts, or similar agreements or arrangements, (f) all obligations of the Company with respect to letters of credit, bankers' acceptances or similar facilities (including reimbursement obligations with respect to any of the foregoing), (g) all obligations of the Company issued or assumed as the deferred purchase price of property or services (but excluding trade accounts payable arising in the ordinary course of business), (h) all obligations of the type referred to in clauses (a) through (g) above of another Person and all dividends of another Person, the payment of which, in either case, the Company has assumed or guaranteed (or in effect guaranteed through an agreement to purchase or otherwise (including, without limitation, "take or pay" and similar arrangements)), or for which the Company is responsible or liable, directly or indirectly, jointly or severally, as obligor, guarantor or otherwise, or which is secured by a lien on property of the Company, and all obligations of the</w:t>
      </w:r>
    </w:p>
    <w:p>
      <w:pPr>
        <w:spacing w:after="0" w:line="19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9" w:top="856" w:right="1440" w:bottom="1440" w:gutter="0" w:footer="0" w:header="0"/>
        </w:sectPr>
      </w:pPr>
    </w:p>
    <w:bookmarkStart w:id="10" w:name="page11"/>
    <w:bookmarkEnd w:id="10"/>
    <w:p>
      <w:pPr>
        <w:ind w:right="2919"/>
        <w:spacing w:after="0" w:line="244" w:lineRule="auto"/>
        <w:rPr>
          <w:sz w:val="20"/>
          <w:szCs w:val="20"/>
          <w:color w:val="auto"/>
        </w:rPr>
      </w:pPr>
      <w:r>
        <w:rPr>
          <w:rFonts w:ascii="Courier New" w:cs="Courier New" w:eastAsia="Courier New" w:hAnsi="Courier New"/>
          <w:sz w:val="16"/>
          <w:szCs w:val="16"/>
          <w:color w:val="auto"/>
        </w:rPr>
        <w:t>Company with respect thereto, and (i) renewals, extensions, modifications, replacements, restatements and refundings of, or any indebtedness or obligation issued in exchange for, any such indebtedness or obligation described in clauses (a) through (h) of this paragraph; provided, however, that Senior Debt shall not include the Subordinated Debt Securities or any such indebtedness or obligation if the terms of such indebtedness or obligation (or the terms of the instrument under which, or pursuant to which it is issued) expressly provide that such indebtedness or obligation is not superior in right of payment to the Subordinated Debt Securities.</w:t>
      </w:r>
    </w:p>
    <w:p>
      <w:pPr>
        <w:spacing w:after="0" w:line="189"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"Designated Senior Debt" means certain existing Senior Debt (including the Company's existing bank revolving credit agreement) and the Company's obligations under any other particular Senior Debt in which the instrument creating or evidencing the same or the assumption or guarantee thereof (or related agreements or documents to which the Company is a party) expressly provides that such Senior Debt shall be "Designated Senior Debt" for purposes of the Subordinated Indenture and any Senior Debt so designated as Designated Senior Debt by the Company in the applicable Prospectus Supplement (provided that such instrument, agreement or other document may place limitations and conditions on the right of such Senior Debt to exercise the rights of Designated Senior Debt).</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The Subordinated Indenture does not limit or prohibit the incurrence of additional Senior Debt, which may include indebtedness that is senior to the Subordinated Debt Securities, but subordinate to other obligations of the Company. The Senior Debt Securities, when issued, will constitute Senior Debt.</w:t>
      </w:r>
    </w:p>
    <w:p>
      <w:pPr>
        <w:spacing w:after="0" w:line="190" w:lineRule="exact"/>
        <w:rPr>
          <w:sz w:val="20"/>
          <w:szCs w:val="20"/>
          <w:color w:val="auto"/>
        </w:rPr>
      </w:pPr>
    </w:p>
    <w:p>
      <w:pPr>
        <w:jc w:val="both"/>
        <w:ind w:right="3299" w:firstLine="192"/>
        <w:spacing w:after="0" w:line="243" w:lineRule="auto"/>
        <w:rPr>
          <w:sz w:val="20"/>
          <w:szCs w:val="20"/>
          <w:color w:val="auto"/>
        </w:rPr>
      </w:pPr>
      <w:r>
        <w:rPr>
          <w:rFonts w:ascii="Courier New" w:cs="Courier New" w:eastAsia="Courier New" w:hAnsi="Courier New"/>
          <w:sz w:val="16"/>
          <w:szCs w:val="16"/>
          <w:color w:val="auto"/>
        </w:rPr>
        <w:t>The Prospectus Supplement may further describe the provisions, if any, applicable to the subordination of the Subordinated Debt Securities of a particular series.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EXCHANGE AND TRANSFER</w:t>
      </w:r>
    </w:p>
    <w:p>
      <w:pPr>
        <w:spacing w:after="0" w:line="190" w:lineRule="exact"/>
        <w:rPr>
          <w:sz w:val="20"/>
          <w:szCs w:val="20"/>
          <w:color w:val="auto"/>
        </w:rPr>
      </w:pPr>
    </w:p>
    <w:p>
      <w:pPr>
        <w:ind w:right="2719" w:firstLine="192"/>
        <w:spacing w:after="0" w:line="243" w:lineRule="auto"/>
        <w:rPr>
          <w:sz w:val="20"/>
          <w:szCs w:val="20"/>
          <w:color w:val="auto"/>
        </w:rPr>
      </w:pPr>
      <w:r>
        <w:rPr>
          <w:rFonts w:ascii="Courier New" w:cs="Courier New" w:eastAsia="Courier New" w:hAnsi="Courier New"/>
          <w:sz w:val="16"/>
          <w:szCs w:val="16"/>
          <w:color w:val="auto"/>
        </w:rPr>
        <w:t>The Debt Securities of each series will be issuable only in fully registered form, without coupons, and, unless otherwise specified in the applicable Prospectus Supplement, only in denominations of $1,000 and integral multiples thereof. (Section 302)</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At the option of the Holder, subject to the terms of the Indentures and the limitations applicable to Global Securities, Debt Securities of each series will be exchangeable for other Debt Securities of the same series of any authorized denomination and of a like tenor and aggregate principal amount. (Section 305)</w:t>
      </w:r>
    </w:p>
    <w:p>
      <w:pPr>
        <w:spacing w:after="0" w:line="187"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Subject to the terms of the Indentures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transfer agent designated by the Company for such purpose. No service charge will be made for any registration of transfer or exchange of Debt Securities, but the Company may require payment of a sum sufficient to cover any tax or other governmental charge payable in connection therewith. Such transfer or exchange will be effected upon the Security Registrar or such transfer agent, as the case may be, being satisfied with the documents of title and identity of the person making the request. The Company has appointed the Trustee as Security Registrar. Any transfer agent (in addition to the Security Registrar) initially designated by the Company for any Debt Securities will be named in the applicable Prospectus Supplement. (Section 305) The Company may at any time designate additional transfer agents or rescind the designation of any transfer agent or approve a change in the office through which any transfer agent acts, except that the Company will be required to maintain a transfer agent in each Place of Payment for the Debt Securities of each series. (Section 1002)</w:t>
      </w:r>
    </w:p>
    <w:p>
      <w:pPr>
        <w:spacing w:after="0" w:line="194"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If the Debt Securities of any series (or of any series and specified tenor) are to be redeemed in part, the Company will not be required to (i) issue, register the transfer of or exchange any Debt</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56" w:right="1440" w:bottom="1440" w:gutter="0" w:footer="0" w:header="0"/>
        </w:sectPr>
      </w:pPr>
    </w:p>
    <w:bookmarkStart w:id="11" w:name="page12"/>
    <w:bookmarkEnd w:id="11"/>
    <w:p>
      <w:pPr>
        <w:ind w:right="2719"/>
        <w:spacing w:after="0" w:line="244" w:lineRule="auto"/>
        <w:rPr>
          <w:sz w:val="20"/>
          <w:szCs w:val="20"/>
          <w:color w:val="auto"/>
        </w:rPr>
      </w:pPr>
      <w:r>
        <w:rPr>
          <w:rFonts w:ascii="Courier New" w:cs="Courier New" w:eastAsia="Courier New" w:hAnsi="Courier New"/>
          <w:sz w:val="16"/>
          <w:szCs w:val="16"/>
          <w:color w:val="auto"/>
        </w:rPr>
        <w:t>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(ii) register the transfer of or exchange any Debt Security so selected for redemption, in whole or in part, except the unredeemed portion of any such Debt Security being redeemed in part. (Section 305)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GLOBAL SECURITIES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Some or all of the Debt Securities of any series may be represented, in whole or in part, by one or more global securities which will have an aggregate principal amount equal to that of the Debt Securities represented thereby (a "Global Security"). Each Global Security will be registered in the name of a depositary (the "Depositary") or a nominee thereof identified in the applicable Prospectus Supplement, will be deposited with such Depositary or nominee or a custodian therefor and will bear a legend regarding the restrictions on exchanges and registration of transfer thereof referred to below and any such other matters as may be provided for pursuant to the Indentures.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Notwithstanding any provision of the Indentures or any Debt Security described herein,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has notified the Company that it is unwilling or unable to continue as Depositary for such Global Security or has ceased to be qualified to act as such as required by the Indentures, (ii) there shall have occurred and be continuing an Event of Default with respect to the Debt Securities represented by such Global Security or (iii) there shall exist such circumstances, if any, in addition to or in lieu of those described above as may be described in the applicable Prospectus Supplement. All securities issued in exchange for a Global Security or any portion thereof will be registered in such names as the Depositary may direct. (Sections 204 and 305)</w:t>
      </w:r>
    </w:p>
    <w:p>
      <w:pPr>
        <w:spacing w:after="0" w:line="192"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As long as the Depositary, or its nominee, is the registered Holder of a Global Security, the Depositary or such nominee, as the case may be, will be considered the sole owner and Holder of such Global Security and the Debt Securities represented thereby for all purposes under the Debt Securities and the Indentures. Except in the limited circumstances referred to above, owners of beneficial interests in a Global Security will not be entitled to have such Global Security or any Debt Securities represented thereby registered in their names, will not receive or be entitled to receive physical delivery of certificated Debt Securities in exchange therefor and will not be considered to be the owners or Holders of such Global Security or any Debt Securities represented thereby for any purpose under the Debt Securities or the Indentures. All payments of principal of and any premium and interest on a Global Security will be made to the Depositary or its nominee, as the case may be, as the Holder thereof. The laws of some jurisdictions require that certain purchasers of securities take physical delivery of such securities in definitive form. These laws may impair the ability to transfer beneficial interests in a Global Security.</w:t>
      </w:r>
    </w:p>
    <w:p>
      <w:pPr>
        <w:spacing w:after="0" w:line="193"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others matters relating to beneficial interests in a Global Security may be subject to various policies and procedures adopted by the</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56" w:right="1440" w:bottom="1440" w:gutter="0" w:footer="0" w:header="0"/>
        </w:sectPr>
      </w:pPr>
    </w:p>
    <w:bookmarkStart w:id="12" w:name="page13"/>
    <w:bookmarkEnd w:id="12"/>
    <w:p>
      <w:pPr>
        <w:ind w:right="2719"/>
        <w:spacing w:after="0" w:line="244" w:lineRule="auto"/>
        <w:rPr>
          <w:sz w:val="20"/>
          <w:szCs w:val="20"/>
          <w:color w:val="auto"/>
        </w:rPr>
      </w:pPr>
      <w:r>
        <w:rPr>
          <w:rFonts w:ascii="Courier New" w:cs="Courier New" w:eastAsia="Courier New" w:hAnsi="Courier New"/>
          <w:sz w:val="16"/>
          <w:szCs w:val="16"/>
          <w:color w:val="auto"/>
        </w:rPr>
        <w:t>Depositary from time to time. None of the Company, the Trustee or any agent of the Company or the Trustee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AND PAYING AGENTS</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Unless otherwise indicated in the applicable Prospectus Supplement, payment of interest on a Debt Security on any Interest Payment Date will be made to the Person in whose name such Debt Security (or one or more Predecessor Debt Securities) is registered at the close of business on the Regular Record Date for such interest. (Section 307)</w:t>
      </w:r>
    </w:p>
    <w:p>
      <w:pPr>
        <w:spacing w:after="0" w:line="187"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Unless otherwise indicated in the applicable Prospectus Supplement, principal of and any premium and interest on the Debt Securities of a particular series will be payable at the office of such Paying Agent or Paying Agents as the Company may designate for such purpose from time to time, except that at the option of the Company payment of any interest may be made by check mailed to the address of the Person entitled thereto as such address appears in the Security Register. Unless otherwise indicated in the applicable Prospectus Supplement, the Corporate Trust Office of the Trustee will be designated as the Company's sole Paying Agent for payments with respect to Debt Securities of each series. Any other Paying Agents initially designated by the Company for the Debt Securities of a particular series will be named in the applicable Prospectus Supplement. The Company may at any time designate additional Paying Agents or rescind the designation of any Paying Agent or approve a change in the office through which any Paying Agent acts, except that the Company will be required to maintain a Paying Agent in each Place of Payment for the Debt Securities of a particular series. (Section 1002)</w:t>
      </w:r>
    </w:p>
    <w:p>
      <w:pPr>
        <w:spacing w:after="0" w:line="193"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All moneys paid by the Company to a Paying Agent for the payment of the principal of or any premium or interest on any Debt Security which remain unclaimed for a period ending the earlier of 10 business days prior to the date such money would escheat to the State or at the end of two years after such principal, premium or interest has become due and payable will be repaid to the Company, and the Holder of such Debt Security thereafter may look only to the Company for payment thereof. (Section 1003)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RESTRICTIVE COVENANTS</w:t>
      </w:r>
    </w:p>
    <w:p>
      <w:pPr>
        <w:spacing w:after="0" w:line="190" w:lineRule="exact"/>
        <w:rPr>
          <w:sz w:val="20"/>
          <w:szCs w:val="20"/>
          <w:color w:val="auto"/>
        </w:rPr>
      </w:pPr>
    </w:p>
    <w:p>
      <w:pPr>
        <w:ind w:right="3199" w:firstLine="192"/>
        <w:spacing w:after="0" w:line="242" w:lineRule="auto"/>
        <w:rPr>
          <w:sz w:val="20"/>
          <w:szCs w:val="20"/>
          <w:color w:val="auto"/>
        </w:rPr>
      </w:pPr>
      <w:r>
        <w:rPr>
          <w:rFonts w:ascii="Courier New" w:cs="Courier New" w:eastAsia="Courier New" w:hAnsi="Courier New"/>
          <w:sz w:val="16"/>
          <w:szCs w:val="16"/>
          <w:color w:val="auto"/>
        </w:rPr>
        <w:t>Unless otherwise indicated in the applicable Prospectus Supplement, the following provisions will apply to the Senior Debt Securities.</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Limitations on Liens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Senior Indenture will provide that the Company will not issue, incur, create, assume or guarantee, and will not permit any Restricted Subsidiary (as defined below) to issue, incur, create, assume or guarantee, any debt for borrowed money secured by a mortgage, security interest, pledge, lien, charge or other encumbrance ("mortgages") upon any Principal Property (as defined below) of the Company or any Restricted Subsidiary or upon any shares of stock or indebtedness of any Restricted Subsidiary (whether such Principal Property, shares or indebtedness are now existing or owned or hereafter created or acquired) without in any such case effectively providing concurrently with the issuance, incurrence, creation, assumption or guarantee of any such secured debt, or the grant of a mortgage with respect to any such indebtedness, that the Senior Debt Securities (together with, if the Company shall so determine, any other indebtedness of or guarantee by the Company or such Restricted Subsidiary ranking equally with the Senior Debt Securities) shall be secured equally and ratably with (or, at the option of the Company, prior to) such secured debt. The foregoing restriction, however, will not apply to: (a) mortgages on property existing at the time of acquisition</w:t>
      </w:r>
    </w:p>
    <w:p>
      <w:pPr>
        <w:spacing w:after="0" w:line="19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56" w:right="1440" w:bottom="1440" w:gutter="0" w:footer="0" w:header="0"/>
        </w:sectPr>
      </w:pPr>
    </w:p>
    <w:bookmarkStart w:id="13" w:name="page14"/>
    <w:bookmarkEnd w:id="13"/>
    <w:p>
      <w:pPr>
        <w:ind w:left="1" w:right="2719"/>
        <w:spacing w:after="0" w:line="244" w:lineRule="auto"/>
        <w:rPr>
          <w:sz w:val="20"/>
          <w:szCs w:val="20"/>
          <w:color w:val="auto"/>
        </w:rPr>
      </w:pPr>
      <w:r>
        <w:rPr>
          <w:rFonts w:ascii="Courier New" w:cs="Courier New" w:eastAsia="Courier New" w:hAnsi="Courier New"/>
          <w:sz w:val="16"/>
          <w:szCs w:val="16"/>
          <w:color w:val="auto"/>
        </w:rPr>
        <w:t>thereof by the Company or any Subsidiary, provided that such mortgages were in existence prior to the contemplation of such acquisition; (b) mortgages on property, shares of stock or indebtedness or other assets of any corporation existing at the time such corporation becomes a Restricted Subsidiary, provided that such mortgages are not incurred in anticipation of such corporation becoming a Restricted Subsidiary; (c) mortgages on property, shares of stock or indebtedness existing at the time of acquisition thereof by the Company or a Restricted Subsidiary or mortgages thereon to secure the payment of all or any part of the purchase price thereof, or mortgages on property, shares of stock or indebtedness to secure any indebtedness for borrowed money incurred prior to, at the time of, or within 270 days after, the latest of the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 (d) mortgages to secure indebtedness owing to the Company or to a Restricted Subsidiary; (e) mortgages existing at the date of the Senior Indenture; (f) mortgages on property of a corporation existing at the time such corporation is merged into or consolidated with the Company or a Restricted Subsidiary or at the time of a sale, lease or other disposition of the properties of a corporation as an entirety or substantially as an entirety to the Company or a Restricted Subsidiary, provided that such mortgage was not incurred in anticipation of such merger or consolidation or sale, lease or other disposition; (g) mortgages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mortgages; (h) mortgages created in connection with the acquisition of assets or a project financed with, and created to secure, a Nonrecourse Obligation (as defined below); and (i) extensions, renewals, refinancings or replacements of any mortgage referred to in the foregoing clauses (a), (b), (c), (d), (e), (f), (g), and (h) provided, however, that any mortgages permitted by any of the foregoing clauses (a), (b), (c), (d), (e), (f), (g), and (h) shall not extend to or cover any property of the Company or such Restricted Subsidiary, as the case may be, other than the property, if any, specified in such clauses and improvements thereto, and provided further that any refinancing or replacement of any mortgages permitted by the foregoing clauses (g) and (h) shall be of the type referred to in such clauses (g) or (h), as the case may be.</w:t>
      </w:r>
    </w:p>
    <w:p>
      <w:pPr>
        <w:spacing w:after="0" w:line="206" w:lineRule="exact"/>
        <w:rPr>
          <w:sz w:val="20"/>
          <w:szCs w:val="20"/>
          <w:color w:val="auto"/>
        </w:rPr>
      </w:pPr>
    </w:p>
    <w:p>
      <w:pPr>
        <w:ind w:left="1" w:right="2819" w:firstLine="192"/>
        <w:spacing w:after="0" w:line="244" w:lineRule="auto"/>
        <w:rPr>
          <w:sz w:val="20"/>
          <w:szCs w:val="20"/>
          <w:color w:val="auto"/>
        </w:rPr>
      </w:pPr>
      <w:r>
        <w:rPr>
          <w:rFonts w:ascii="Courier New" w:cs="Courier New" w:eastAsia="Courier New" w:hAnsi="Courier New"/>
          <w:sz w:val="16"/>
          <w:szCs w:val="16"/>
          <w:color w:val="auto"/>
        </w:rPr>
        <w:t>Notwithstanding the restrictions described in the preceding paragraph, the Company or any Restricted Subsidiary will be permitted to issue, incur, create, assume or guarantee debt secured by a mortgage which would otherwise be subject to such restrictions, without equally and ratably securing the Senior Debt Securities, provided that after giving effect thereto, the aggregate amount of all debt so secured by mortgages (not including mortgages permitted under clauses (a) through (i) above) does not exceed 15% of the Consolidated Net Tangible Assets (as defined below) of the Company as most recently determined on or prior to such date.</w:t>
      </w:r>
    </w:p>
    <w:p>
      <w:pPr>
        <w:spacing w:after="0" w:line="187"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Limitations on Sale and Lease-Back Transactions</w:t>
      </w:r>
    </w:p>
    <w:p>
      <w:pPr>
        <w:spacing w:after="0" w:line="190" w:lineRule="exact"/>
        <w:rPr>
          <w:sz w:val="20"/>
          <w:szCs w:val="20"/>
          <w:color w:val="auto"/>
        </w:rPr>
      </w:pPr>
    </w:p>
    <w:p>
      <w:pPr>
        <w:ind w:left="1" w:right="2819" w:firstLine="192"/>
        <w:spacing w:after="0" w:line="244" w:lineRule="auto"/>
        <w:rPr>
          <w:sz w:val="20"/>
          <w:szCs w:val="20"/>
          <w:color w:val="auto"/>
        </w:rPr>
      </w:pPr>
      <w:r>
        <w:rPr>
          <w:rFonts w:ascii="Courier New" w:cs="Courier New" w:eastAsia="Courier New" w:hAnsi="Courier New"/>
          <w:sz w:val="16"/>
          <w:szCs w:val="16"/>
          <w:color w:val="auto"/>
        </w:rPr>
        <w:t>The Senior Indenture will provide that the Company will not, nor will it permit any Restricted Subsidiary to, enter into any Sale and Lease-Back Transaction (as defined below) with respect to any Principal Property, other than any such transaction involving a lease for a term of not more than three years or any such transaction between the Company and a Restricted Subsidiary or between Restricted Subsidiaries, unless (a) the Company or such Restricted Subsidiary would be entitled to incur indebtedness secured by a mortgage on the Principal Property involved in such transaction at least equal in amount to the Attributable Debt (as defined below) with respect to such Sale and Lease-Back Transaction, without equally and ratably securing the Senior Debt Securities, pursuant to the limitation on liens in the Senior Indenture; or</w:t>
      </w:r>
    </w:p>
    <w:p>
      <w:pPr>
        <w:spacing w:after="0" w:line="5" w:lineRule="exact"/>
        <w:rPr>
          <w:sz w:val="20"/>
          <w:szCs w:val="20"/>
          <w:color w:val="auto"/>
        </w:rPr>
      </w:pPr>
    </w:p>
    <w:p>
      <w:pPr>
        <w:ind w:left="1" w:right="2719" w:hanging="1"/>
        <w:spacing w:after="0" w:line="242" w:lineRule="auto"/>
        <w:tabs>
          <w:tab w:leader="none" w:pos="38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apply an amount equal to the greater of the net proceeds of such sale or the</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9" w:top="856" w:right="1440" w:bottom="1440" w:gutter="0" w:footer="0" w:header="0"/>
        </w:sectPr>
      </w:pPr>
    </w:p>
    <w:bookmarkStart w:id="14" w:name="page15"/>
    <w:bookmarkEnd w:id="14"/>
    <w:p>
      <w:pPr>
        <w:ind w:right="2719"/>
        <w:spacing w:after="0" w:line="244" w:lineRule="auto"/>
        <w:rPr>
          <w:sz w:val="20"/>
          <w:szCs w:val="20"/>
          <w:color w:val="auto"/>
        </w:rPr>
      </w:pPr>
      <w:r>
        <w:rPr>
          <w:rFonts w:ascii="Courier New" w:cs="Courier New" w:eastAsia="Courier New" w:hAnsi="Courier New"/>
          <w:sz w:val="16"/>
          <w:szCs w:val="16"/>
          <w:color w:val="auto"/>
        </w:rPr>
        <w:t>Attributable Debt with respect to such Sale and Lease-Back Transaction within 180 days of such sale to either (or a combination of) the retirement (other than any mandatory retirement, mandatory prepayment or sinking fund payment or by payment at maturity) of debt for borrowed money of the Company or a Restricted Subsidiary that matures more than 12 months after the creation of such indebtedness or the purchase, construction or development of other comparable property.</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Certain Definitions Applicable to Covenants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term "Attributable Debt" when used in connection with a Sale and Lease-Back Transaction involving a Principal Property shall mean, at the time of determination, the lesser of: (a) the fair value of such property (as determined in good faith by the Board of Directors of the Company); or (b) the present value of the total net amount of rent required to be paid under such lease during the remaining term thereof (including any renewal term or period for which such lease has been extended), discounted at the rate of interest set forth or implicit in the terms of such lease or if not practicable to determine such rate, the weighted average interest rate per annum (in the case of Original Issue Discount Securities, the imputed interest rate) borne by the Senior Debt Securities of each series outstanding pursuant to the Indenture compounded semi-annually.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and the net amount determined assuming no such termination.</w:t>
      </w:r>
    </w:p>
    <w:p>
      <w:pPr>
        <w:spacing w:after="0" w:line="196"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term "Consolidated Net Tangible Assets" shall mean, as of any particular time, total assets (excluding applicable reserves and other properly deductible items) less: (a) 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term "Nonrecourse Obligation" means indebtedness or other obligations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term "Principal Property" shall mean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any of the present 50 states of the United States (or the District of Columbia); (c) has not been determined in good faith by the Board of Directors of the Company not to be materially important to the total business conducted by the Company and its Subsidiaries taken as a whole; and (d) has a market value on the date as of which the determination is being made in excess of 2.0% of Consolidated Net Tangible Assets of the Company as most recently determined on or prior to such date.</w:t>
      </w:r>
    </w:p>
    <w:p>
      <w:pPr>
        <w:spacing w:after="0" w:line="191"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The term "Restricted Subsidiary" shall mean any Subsidiary that owns any Principal Property; provided, however, that the term "Restricted Subsidiary" shall not include (a) any Subsidiary which is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56" w:right="1440" w:bottom="1440" w:gutter="0" w:footer="0" w:header="0"/>
        </w:sectPr>
      </w:pPr>
    </w:p>
    <w:bookmarkStart w:id="15" w:name="page16"/>
    <w:bookmarkEnd w:id="15"/>
    <w:p>
      <w:pPr>
        <w:ind w:left="1" w:right="2819"/>
        <w:spacing w:after="0" w:line="242" w:lineRule="auto"/>
        <w:rPr>
          <w:sz w:val="20"/>
          <w:szCs w:val="20"/>
          <w:color w:val="auto"/>
        </w:rPr>
      </w:pPr>
      <w:r>
        <w:rPr>
          <w:rFonts w:ascii="Courier New" w:cs="Courier New" w:eastAsia="Courier New" w:hAnsi="Courier New"/>
          <w:sz w:val="16"/>
          <w:szCs w:val="16"/>
          <w:color w:val="auto"/>
        </w:rPr>
        <w:t>principally engaged in financing receivables, or which is principally engaged in financing the Company's operations outside the United States of America or</w:t>
      </w:r>
    </w:p>
    <w:p>
      <w:pPr>
        <w:spacing w:after="0" w:line="4" w:lineRule="exact"/>
        <w:rPr>
          <w:sz w:val="20"/>
          <w:szCs w:val="20"/>
          <w:color w:val="auto"/>
        </w:rPr>
      </w:pPr>
    </w:p>
    <w:p>
      <w:pPr>
        <w:ind w:left="1" w:right="2719" w:hanging="1"/>
        <w:spacing w:after="0" w:line="244" w:lineRule="auto"/>
        <w:tabs>
          <w:tab w:leader="none" w:pos="38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less than 80% of the voting stock of which is owned, directly or indirectly, by the Company or by one or more other Subsidiaries, or by the Company and one or more other Subsidiaries if the common stock of such Subsidiary is traded on any national securities exchange or quoted on the Nasdaq National Market or in the over-the-counter market.</w:t>
      </w:r>
    </w:p>
    <w:p>
      <w:pPr>
        <w:spacing w:after="0" w:line="187" w:lineRule="exact"/>
        <w:rPr>
          <w:sz w:val="20"/>
          <w:szCs w:val="20"/>
          <w:color w:val="auto"/>
        </w:rPr>
      </w:pPr>
    </w:p>
    <w:p>
      <w:pPr>
        <w:ind w:left="1" w:right="2819" w:firstLine="192"/>
        <w:spacing w:after="0" w:line="243" w:lineRule="auto"/>
        <w:rPr>
          <w:sz w:val="20"/>
          <w:szCs w:val="20"/>
          <w:color w:val="auto"/>
        </w:rPr>
      </w:pPr>
      <w:r>
        <w:rPr>
          <w:rFonts w:ascii="Courier New" w:cs="Courier New" w:eastAsia="Courier New" w:hAnsi="Courier New"/>
          <w:sz w:val="16"/>
          <w:szCs w:val="16"/>
          <w:color w:val="auto"/>
        </w:rPr>
        <w:t>The term "Sale and Lease-Back Transaction" shall mean any arrangement with any person providing for the leasing by the Company or any Restricted Subsidiary of any Principal Property which property has been or is to be sold or transferred by the Company or such Restricted Subsidiary to such person.</w:t>
      </w:r>
    </w:p>
    <w:p>
      <w:pPr>
        <w:spacing w:after="0" w:line="190"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The term "Subsidiary" shall mean any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and the accounts of which are consolidated with those of the Company in its most recent consolidated financial statements in accordance with generally accepted accounting principles.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CONSOLIDATION, MERGER AND SALE OF ASSETS</w:t>
      </w:r>
    </w:p>
    <w:p>
      <w:pPr>
        <w:spacing w:after="0" w:line="190"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The Indentures will provide that the Company may not consolidate with or merge into any other Person (in a transaction in which the Company is not the surviving corporation), or convey, transfer or lease its properties and assets substantially as an entirety to, any Person (a "successor Person"), unless (i) the successor Person (if any) is a corporation, limited liability company, partnership, trust or other entity organized and existing under the laws of any domestic jurisdiction and assumes the Company's obligations on the Debt Securities and under the Indentures, (ii) immediately after giving effect to the transaction, and treating any indebtedness which becomes an obligation of the Company or any Subsidiary as a result of the transaction as having been incurred by it at the time of the transaction, no Event of Default, and no event which, after notice or lapse of time or both, would become an Event of Default, shall have occurred and be continuing and (iii) certain other conditions are met. (Section 801)</w:t>
      </w:r>
    </w:p>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EVENTS OF DEFAULT</w:t>
      </w:r>
    </w:p>
    <w:p>
      <w:pPr>
        <w:spacing w:after="0" w:line="190"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Each of the following will constitute an Event of Default under the Indentures with respect to Debt Securities of any series: (a) failure to pay principal of or any premium on any Debt Security of that series when due, whether or not such payment is prohibited by the subordination provisions of the Subordinated Indenture; (b) failure to pay any interest on any Debt Securities of that series when due, continued for 30 days, whether or not such payment is prohibited by the subordination provisions of the Subordinated Indenture; (c) failure to deposit any sinking fund payment, when due, in respect of any Debt Security of that series, whether or not such deposit is prohibited by the subordination provisions of the Subordinated Indenture; (d) failure to perform any other covenant of the Company in the Indentures (other than a covenant included in the Indentures solely for the benefit of a series other than that series), continued for 60 days after written notice has been given by the Trustee, or the Holders of at least 25% in aggregate principal amount of the Outstanding Securities of that series, as provided in the Indentures; (e) certain events in bankruptcy, insolvency or reorganization with respect to the Company; and (f) any other Event of Default specified in the applicable Prospectus Supplement. (Section 501)</w:t>
      </w:r>
    </w:p>
    <w:p>
      <w:pPr>
        <w:spacing w:after="0" w:line="194" w:lineRule="exact"/>
        <w:rPr>
          <w:sz w:val="20"/>
          <w:szCs w:val="20"/>
          <w:color w:val="auto"/>
        </w:rPr>
      </w:pPr>
    </w:p>
    <w:p>
      <w:pPr>
        <w:jc w:val="both"/>
        <w:ind w:left="1" w:right="3199" w:firstLine="192"/>
        <w:spacing w:after="0" w:line="243" w:lineRule="auto"/>
        <w:rPr>
          <w:sz w:val="20"/>
          <w:szCs w:val="20"/>
          <w:color w:val="auto"/>
        </w:rPr>
      </w:pPr>
      <w:r>
        <w:rPr>
          <w:rFonts w:ascii="Courier New" w:cs="Courier New" w:eastAsia="Courier New" w:hAnsi="Courier New"/>
          <w:sz w:val="16"/>
          <w:szCs w:val="16"/>
          <w:color w:val="auto"/>
        </w:rPr>
        <w:t>The Indentures will provide that, if an Event of Default (other than an Event of Default described in clause (e) above) with respect to the Debt Securities of any series at the time Outstanding shall</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856" w:right="1440" w:bottom="1440" w:gutter="0" w:footer="0" w:header="0"/>
        </w:sectPr>
      </w:pPr>
    </w:p>
    <w:bookmarkStart w:id="16" w:name="page17"/>
    <w:bookmarkEnd w:id="16"/>
    <w:p>
      <w:pPr>
        <w:ind w:right="2719"/>
        <w:spacing w:after="0" w:line="244" w:lineRule="auto"/>
        <w:rPr>
          <w:sz w:val="20"/>
          <w:szCs w:val="20"/>
          <w:color w:val="auto"/>
        </w:rPr>
      </w:pPr>
      <w:r>
        <w:rPr>
          <w:rFonts w:ascii="Courier New" w:cs="Courier New" w:eastAsia="Courier New" w:hAnsi="Courier New"/>
          <w:sz w:val="16"/>
          <w:szCs w:val="16"/>
          <w:color w:val="auto"/>
        </w:rPr>
        <w:t>occur and be continuing, either the Trustee or the Holders of at least 25% in aggregate principal amount of the Outstanding Securities of that series by notice as provided in the Indentures may declare the principal amount of the Debt Securities of that series (or, in the case of any Debt Security that is an Original Issue Discount Security or the principal amount of which is not then determinable, such portion of the principal amount of such Debt Security, or such other amount in lieu of such principal amount, as may be specified in the terms of such Debt Security) to be due and payable immediately. If an Event of Default described in clause (e) above with respect to the Debt Securities of any series at the time Outstanding shall occur, the principal amount of all the Debt Securities of that series (or, in the case of any such Original Issue Discount Security or other Debt Security, such specified amount) will automatically, and without any action by the Trustee or any Holder, become immediately due and payable. Any payment by the Company on the Subordinated Debt Securities following any such acceleration will be subject to the subordination provisions of Article Fifteen of the Subordinated Indenture. After any such acceleration, but before a judgment or decree based on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 as provided in the Indentures. (Section 502) For information as to waiver of defaults, see "Modification and Waiver".</w:t>
      </w:r>
    </w:p>
    <w:p>
      <w:pPr>
        <w:spacing w:after="0" w:line="196"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Subject to the provisions of the Indentures relating to the duties of the Trustee in case an Event of Default shall occur and be continuing, the Trustee will be under no obligation to exercise any of its rights or powers under the Indentures at the request or direction of any of the Holders, unless such Holders shall have offered to the Trustee reasonable indemnity. (Section 603) Subject to such provisions for the indemnification of the Trustee, the Holders of a majority in aggregate principal amount of the Outstanding Securities of any series will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No Holder of a Debt Security of any series will have any right to institute any proceeding with respect to the Indentures, or for the appointment of a receiver or a trustee, or for any other remedy thereunder, unless (i) such Holder has previously given to the Trustee written notice of a continuing Event of Default with respect to the Debt Securities of that series, (ii) the Holders of at least 25% in aggregate principal amount of the Outstanding Securities of that series have made a written request, and such Holder or Holders have offered reasonable indemnity, to the Trustee to institute such proceeding as trustee and (iii) the Trustee has failed to institute such proceeding, and has not received from the Holders of a majority in aggregate principal amount of the Outstanding Securities of that series a direction inconsistent with such request, within 60 days after such notice, request and offer. (Section 507) However, such limitations do not apply to a suit instituted by a Holder of a Debt Security for the enforcement of payment of the principal of or any premium or interest on such Debt Security on or after the applicable due date specified in such Debt Security. (Section 508)</w:t>
      </w:r>
    </w:p>
    <w:p>
      <w:pPr>
        <w:spacing w:after="0" w:line="193" w:lineRule="exact"/>
        <w:rPr>
          <w:sz w:val="20"/>
          <w:szCs w:val="20"/>
          <w:color w:val="auto"/>
        </w:rPr>
      </w:pPr>
    </w:p>
    <w:p>
      <w:pPr>
        <w:ind w:right="2919" w:firstLine="192"/>
        <w:spacing w:after="0" w:line="244" w:lineRule="auto"/>
        <w:rPr>
          <w:sz w:val="20"/>
          <w:szCs w:val="20"/>
          <w:color w:val="auto"/>
        </w:rPr>
      </w:pPr>
      <w:r>
        <w:rPr>
          <w:rFonts w:ascii="Courier New" w:cs="Courier New" w:eastAsia="Courier New" w:hAnsi="Courier New"/>
          <w:sz w:val="16"/>
          <w:szCs w:val="16"/>
          <w:color w:val="auto"/>
        </w:rPr>
        <w:t>The Indentures will include a covenant requiring the Company to furnish to the Trustee annually a statement by certain of its officers as to whether or not the Company, to their knowledge, is in default in the performance or observance of any of the terms, provisions and conditions of the Indentures and, if so, specifying all such known defaults. (Section 1004)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 AND WAIVER</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Modifications and amendments of the Indentures may be made by the Company and the Trustee with the consent of the Holders of a majority in aggregate principal amount of the Outstanding Securities of each series affected by such modification or amendment; provided, however, that no such modification or amendment may, without the consent of the Holder of each Outstanding Security affected thereby, (a) change the Stated Maturity of the principal of, or any installment of principal of or</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56" w:right="1440" w:bottom="1440" w:gutter="0" w:footer="0" w:header="0"/>
        </w:sectPr>
      </w:pPr>
    </w:p>
    <w:bookmarkStart w:id="17" w:name="page18"/>
    <w:bookmarkEnd w:id="17"/>
    <w:p>
      <w:pPr>
        <w:ind w:right="2719"/>
        <w:spacing w:after="0" w:line="244" w:lineRule="auto"/>
        <w:rPr>
          <w:sz w:val="20"/>
          <w:szCs w:val="20"/>
          <w:color w:val="auto"/>
        </w:rPr>
      </w:pPr>
      <w:r>
        <w:rPr>
          <w:rFonts w:ascii="Courier New" w:cs="Courier New" w:eastAsia="Courier New" w:hAnsi="Courier New"/>
          <w:sz w:val="16"/>
          <w:szCs w:val="16"/>
          <w:color w:val="auto"/>
        </w:rPr>
        <w:t>interest on, any Debt Security, (b) reduce the principal amount of, or any premium or interest on, any Debt Security, (c) reduce the amount of principal of an Original Issue Discount Security or any other Debt Security payable upon acceleration of the Maturity thereof, (d) change the place or currency of payment of principal of, or any premium or interest on, any Debt Security, (e) impair the right to institute suit for the enforcement of any payment on or with respect to any Debt Security, (f) in the case of Subordinated Debt Securities, modify the subordination provisions in a manner adverse to the Holders of the Subordinated Debt Securities, (g) reduce the percentage in principal amount of Outstanding Securities of any series, the consent of whose Holders is required for modification or amendment of the Indentures, (h) reduce the percentage in principal amount of Outstanding Securities of any series necessary for waiver of compliance with certain provisions of the Indentures or for waiver of certain defaults or (i) modify such provisions with respect to modification and waiver. (Section 902)</w:t>
      </w:r>
    </w:p>
    <w:p>
      <w:pPr>
        <w:spacing w:after="0" w:line="192"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Indentures will provide that the Holders of a majority in aggregate principal amount of the Outstanding Securities of any series may waive, on behalf of the Holders of all Debt Securities of such series, compliance by the Company with certain restrictive provisions of the Indentures. (Sections 1010 and 1008 of the Senior Indenture and the Subordinated Indenture, respectively) The Holders of a majority in principal amount of the Outstanding Securities of any series may waive any past default under the Indentures, except a default in the payment of principal, premium or interest and certain covenants and provisions of the Indentures which cannot be amended without the consent of the Holder of each Outstanding Security of such series affected. (Section 513)</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Indentures will provide that in determining whether the Holders of the requisite principal amount of the Outstanding Securities have given or taken any direction, notice, consent, waiver or other action under the Indentures as of any date, (i) the principal amount of an Original Issue Discount Security that will be deemed to be Outstanding will be the amount of the principal thereof that would be due and payable as of such date upon acceleration of the Maturity thereof to such date, (ii) 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 (iii) the principal amount of a Debt Security denominated in one or more foreign currencies or currency units that will be deemed to be Outstanding will be the U.S. dollar equivalent, determined as of such date in the manner prescribed for such Debt Security, of the principal amount of such Debt Security (or, in the case of a Debt Security described in clause (i) or (ii) above, of the amount described in such clause). Certain Debt Securities, including those for whose payment or redemption money has been deposited or set aside in trust for the Holders and those that have been fully defeased pursuant to Section 1302, will not be deemed to be Outstanding. (Section 101)</w:t>
      </w:r>
    </w:p>
    <w:p>
      <w:pPr>
        <w:spacing w:after="0" w:line="195"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Except in certain limited circumstances, the Company will be entitled to set any day as a record date for the purpose of determining the Holders of Outstanding Securities of any series entitled to give or take any direction, notice, consent, waiver or other action under the Indentures, in the manner and subject to the limitations provided in the Indentures. In certain limited circumstances, the Trustee will be entitled to set a record date for action by Holders. If a record date is set for any action to be taken by Holders of a particular series, such action may be taken only by persons who are Holders of Outstanding Securities of that series on the record date. To be effective, such action must be taken by Holders of the requisite principal amount of such Debt Securities within a specified period following the record date. For any particular record date, this period will be 180 days or such other shorter period as may be specified by the Company (or the Trustee, if it set the record date), and may be shortened or lengthened (but not beyond 180 days) from time to time. (Section 104)</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856" w:right="1440" w:bottom="1440" w:gutter="0" w:footer="0" w:header="0"/>
        </w:sectPr>
      </w:pPr>
    </w:p>
    <w:bookmarkStart w:id="18" w:name="page19"/>
    <w:bookmarkEnd w:id="18"/>
    <w:p>
      <w:pPr>
        <w:ind w:left="1"/>
        <w:spacing w:after="0"/>
        <w:rPr>
          <w:sz w:val="20"/>
          <w:szCs w:val="20"/>
          <w:color w:val="auto"/>
        </w:rPr>
      </w:pPr>
      <w:r>
        <w:rPr>
          <w:rFonts w:ascii="Courier New" w:cs="Courier New" w:eastAsia="Courier New" w:hAnsi="Courier New"/>
          <w:sz w:val="16"/>
          <w:szCs w:val="16"/>
          <w:color w:val="auto"/>
        </w:rPr>
        <w:t>DEFEASANCE AND COVENANT DEFEASANCE</w:t>
      </w:r>
    </w:p>
    <w:p>
      <w:pPr>
        <w:spacing w:after="0" w:line="190"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If and to the extent indicated in the applicable Prospectus Supplement, and subject to such other conditions and limitations as may be set forth in the applicable Prospectus Supplement, the Company may elect, at its option at any time, to have the provisions of Section 1302, relating to defeasance and discharge of indebtedness, or Section 1303, relating to defeasance of certain restrictive covenants in the Indentures, applied to the Debt Securities of any series, or to any specified part of a series. (Section 1301)</w:t>
      </w:r>
    </w:p>
    <w:p>
      <w:pPr>
        <w:spacing w:after="0" w:line="188"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Defeasance and Discharge. The Indentures will provide that, upon the Company's exercise of its option (if any) to have Section 1302 applied to any Subordinated Debt Securities, the provisions of Article Fifteen of the Subordinated Indenture relating to subordination will cease to be effective and, with respect to any Debt Securities, the Company will be discharged from all its obligations with respect thereto (except for certain obligations to exchange or register the transfer of Debt Securities, to replace stolen, lost or mutilated Debt Securities, to maintain paying agencies, to hold moneys for payment in trust and, if applicable, to effect conversions of Debt Securities) upon the deposit in trust for the benefit of the Holders of such Debt Securities of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Indentures and such Debt Securities. Such defeasance or discharge may occur only if, among other things, the Company has delivered to the Trustee an Opinion of Counsel to the effect that the Company has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defeasance and discharge and will be subject to federal income tax on the same amount, in the same manner and at the same times as would have been the case if such deposit, defeasance and discharge were not to occur. (Sections 1302 and 1304)</w:t>
      </w:r>
    </w:p>
    <w:p>
      <w:pPr>
        <w:spacing w:after="0" w:line="197" w:lineRule="exact"/>
        <w:rPr>
          <w:sz w:val="20"/>
          <w:szCs w:val="20"/>
          <w:color w:val="auto"/>
        </w:rPr>
      </w:pPr>
    </w:p>
    <w:p>
      <w:pPr>
        <w:ind w:left="1" w:right="2819" w:firstLine="192"/>
        <w:spacing w:after="0" w:line="244" w:lineRule="auto"/>
        <w:rPr>
          <w:sz w:val="20"/>
          <w:szCs w:val="20"/>
          <w:color w:val="auto"/>
        </w:rPr>
      </w:pPr>
      <w:r>
        <w:rPr>
          <w:rFonts w:ascii="Courier New" w:cs="Courier New" w:eastAsia="Courier New" w:hAnsi="Courier New"/>
          <w:sz w:val="16"/>
          <w:szCs w:val="16"/>
          <w:color w:val="auto"/>
        </w:rPr>
        <w:t>Defeasance of Certain Covenants. The Indentures will provide that, upon the Company's exercise of its option (if any) to have Section 1303 applied to any Debt Securities, the Company may omit to comply with certain restrictive covenants, including those described under "Restrictive Covenants" and any that may be described in the applicable Prospectus Supplement, and the occurrence of certain Events of Default, which are described above in clause</w:t>
      </w:r>
    </w:p>
    <w:p>
      <w:pPr>
        <w:spacing w:after="0" w:line="3" w:lineRule="exact"/>
        <w:rPr>
          <w:sz w:val="20"/>
          <w:szCs w:val="20"/>
          <w:color w:val="auto"/>
        </w:rPr>
      </w:pPr>
    </w:p>
    <w:p>
      <w:pPr>
        <w:ind w:left="1" w:right="2719" w:hanging="1"/>
        <w:spacing w:after="0" w:line="244" w:lineRule="auto"/>
        <w:tabs>
          <w:tab w:leader="none" w:pos="38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such restrictive covenants) under "Events of Default" and any that may be described in the applicable Prospectus Supplement, will be deemed not to be or result in an Event of Default, in each case with respect to such Debt Securities, and, in the case of the Subordinated Indenture, the provisions of Article Fifteen relating to subordination will cease to be effective with respect to any Subordinated Debt Securities. The Company, in order to exercise such option, will be required to deposit, in trust for the benefit of the Holders of such Debt Securities,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Indentures and such Debt Securities. The Company will also be required, among other things, to deliver to the Trustee an Opinion of Counsel to the effect that Holders of such Debt Securities will not recognize gain or loss for federal income tax purposes as a result of such deposit and defeasance of certain obligations and will be subject to federal income tax on the same amount, in the same manner and at the same times as would have been the case if such deposit and defeasance were not to occur. In the event the Company exercised this option with respect to any Debt Securities and such Debt Securities were declared due and payable because of the occurrence of any Event of Default, the amount of money and U.S. Government Obligations so deposited in trust would be sufficient to pay amounts due on such Debt Securities at the time of their respective Stated Maturities but may not be sufficient to pay</w:t>
      </w:r>
    </w:p>
    <w:p>
      <w:pPr>
        <w:spacing w:after="0" w:line="19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9" w:top="854" w:right="1440" w:bottom="1440" w:gutter="0" w:footer="0" w:header="0"/>
        </w:sectPr>
      </w:pPr>
    </w:p>
    <w:bookmarkStart w:id="19" w:name="page20"/>
    <w:bookmarkEnd w:id="19"/>
    <w:p>
      <w:pPr>
        <w:ind w:right="2819"/>
        <w:spacing w:after="0" w:line="243" w:lineRule="auto"/>
        <w:rPr>
          <w:sz w:val="20"/>
          <w:szCs w:val="20"/>
          <w:color w:val="auto"/>
        </w:rPr>
      </w:pPr>
      <w:r>
        <w:rPr>
          <w:rFonts w:ascii="Courier New" w:cs="Courier New" w:eastAsia="Courier New" w:hAnsi="Courier New"/>
          <w:sz w:val="16"/>
          <w:szCs w:val="16"/>
          <w:color w:val="auto"/>
        </w:rPr>
        <w:t>amounts due on such Debt Securities upon any acceleration resulting from such Event of Default. In such case, the Company would remain liable for such payments. (Sections 1303 and 1304)</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Company may, at its option, satisfy and discharge each of the Indentures (except for certain obligations of the Company and the Trustee, including, among others the obligations to apply money held in trust) when (i) either (a) all Debt Securities under such Indenture previously authenticated and delivered (other than (1) Debt Securities that were destroyed, lost or stolen and that have been replaced or paid and (2) Debt Securities for the payment of which money has been deposited in trust or segregated and held in trust by the Company and thereafter repaid to the Company or discharged from such trust) have been delivered to the Trustee for cancellation or discharge from such trust) have been delivered to the Trustee for cancellation or (b) all such Debt Securities under such Indenture not theretofore delivered to the Trustee for cancellation (1) have become due and payable, (2) will become due and payable at their Stated Maturity within one year, or (3) are to be called for redemption within one year under arrangements satisfactory to the Trustee for the giving of notice of redemption by the Trustee in the name and at the expense of the Company, and the Company has deposited or caused to be deposited with the Trustee as trust funds in trust for such purpose an amount sufficient to pay and discharge the entire indebtedness on such Debt Securities under such Indenture not previously delivered to the Trustee for cancellation, for principal and any premium and interest to the date of such deposit (in the case of Debt Securities under such Indenture which have become due and payable) or to the Stated Maturity or redemption date as the case may be, (ii) the Company has paid or caused to be paid all other sums payable under such Indenture by the Company, and (iii) the Company has delivered to the Trustee an Officer's Certificate and an Opinion of Counsel, each to the effect that all conditions precedent relating to the satisfaction and discharge of such Indenture have been satisfied.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NOTICES</w:t>
      </w:r>
    </w:p>
    <w:p>
      <w:pPr>
        <w:spacing w:after="0" w:line="190" w:lineRule="exact"/>
        <w:rPr>
          <w:sz w:val="20"/>
          <w:szCs w:val="20"/>
          <w:color w:val="auto"/>
        </w:rPr>
      </w:pPr>
    </w:p>
    <w:p>
      <w:pPr>
        <w:jc w:val="both"/>
        <w:ind w:right="2719" w:firstLine="192"/>
        <w:spacing w:after="0" w:line="243" w:lineRule="auto"/>
        <w:rPr>
          <w:sz w:val="20"/>
          <w:szCs w:val="20"/>
          <w:color w:val="auto"/>
        </w:rPr>
      </w:pPr>
      <w:r>
        <w:rPr>
          <w:rFonts w:ascii="Courier New" w:cs="Courier New" w:eastAsia="Courier New" w:hAnsi="Courier New"/>
          <w:sz w:val="16"/>
          <w:szCs w:val="16"/>
          <w:color w:val="auto"/>
        </w:rPr>
        <w:t>Notices to Holders of Debt Securities will be given by mail to the addresses of such Holders as they may appear in the Security Register. (Sections 101 and 106)</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90" w:lineRule="exact"/>
        <w:rPr>
          <w:sz w:val="20"/>
          <w:szCs w:val="20"/>
          <w:color w:val="auto"/>
        </w:rPr>
      </w:pPr>
    </w:p>
    <w:p>
      <w:pPr>
        <w:ind w:right="2919" w:firstLine="192"/>
        <w:spacing w:after="0" w:line="243" w:lineRule="auto"/>
        <w:rPr>
          <w:sz w:val="20"/>
          <w:szCs w:val="20"/>
          <w:color w:val="auto"/>
        </w:rPr>
      </w:pPr>
      <w:r>
        <w:rPr>
          <w:rFonts w:ascii="Courier New" w:cs="Courier New" w:eastAsia="Courier New" w:hAnsi="Courier New"/>
          <w:sz w:val="16"/>
          <w:szCs w:val="16"/>
          <w:color w:val="auto"/>
        </w:rPr>
        <w:t>The Company, the Trustee and any agent of the Company or the Trustee may treat the Person in whose name a Debt Security is registered as the absolute owner thereof (whether or not such Debt Security may be overdue) for the purpose of making payment and for all other purposes. (Section 308)</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GOVERNING LAW</w:t>
      </w:r>
    </w:p>
    <w:p>
      <w:pPr>
        <w:spacing w:after="0" w:line="190" w:lineRule="exact"/>
        <w:rPr>
          <w:sz w:val="20"/>
          <w:szCs w:val="20"/>
          <w:color w:val="auto"/>
        </w:rPr>
      </w:pPr>
    </w:p>
    <w:p>
      <w:pPr>
        <w:ind w:right="2719" w:firstLine="192"/>
        <w:spacing w:after="0" w:line="242" w:lineRule="auto"/>
        <w:rPr>
          <w:sz w:val="20"/>
          <w:szCs w:val="20"/>
          <w:color w:val="auto"/>
        </w:rPr>
      </w:pPr>
      <w:r>
        <w:rPr>
          <w:rFonts w:ascii="Courier New" w:cs="Courier New" w:eastAsia="Courier New" w:hAnsi="Courier New"/>
          <w:sz w:val="16"/>
          <w:szCs w:val="16"/>
          <w:color w:val="auto"/>
        </w:rPr>
        <w:t>The Indentures and the Debt Securities will be governed by, and construed in accordance with, the law of the State of New York. (Section 112)</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REGARDING THE TRUSTEE</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The Indentures contain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and there is a default under the Securities of any series for which the Trustee serves as trustee, the Trustee must eliminate such conflict or resign. (Section 608)</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856" w:right="1440" w:bottom="1440" w:gutter="0" w:footer="0" w:header="0"/>
        </w:sectPr>
      </w:pPr>
    </w:p>
    <w:bookmarkStart w:id="20" w:name="page21"/>
    <w:bookmarkEnd w:id="20"/>
    <w:p>
      <w:pPr>
        <w:ind w:left="2401"/>
        <w:spacing w:after="0"/>
        <w:rPr>
          <w:sz w:val="20"/>
          <w:szCs w:val="20"/>
          <w:color w:val="auto"/>
        </w:rPr>
      </w:pPr>
      <w:r>
        <w:rPr>
          <w:rFonts w:ascii="Courier New" w:cs="Courier New" w:eastAsia="Courier New" w:hAnsi="Courier New"/>
          <w:sz w:val="16"/>
          <w:szCs w:val="16"/>
          <w:color w:val="auto"/>
        </w:rPr>
        <w:t>DESCRIPTION OF CAPITAL STOCK</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GENERAL</w:t>
      </w:r>
    </w:p>
    <w:p>
      <w:pPr>
        <w:spacing w:after="0" w:line="190"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The authorized capital stock of the Company consists of 1,000,000,000 shares of common stock, $0.10 par value ("Common Stock"). As of May 29, 1997, there were 210,533,505 shares of Common Stock issued and outstanding. The following summary is qualified in its entirety by reference to the Company's Certificate of Incorporation and Bylaws.</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COMMON STOCK</w:t>
      </w:r>
    </w:p>
    <w:p>
      <w:pPr>
        <w:spacing w:after="0" w:line="190"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The holders of Common Stock are entitled to one vote per share on all matters to be voted upon by the stockholders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MTI,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ANTI-TAKEOVER EFFECTS OF DELAWARE LAW</w:t>
      </w:r>
    </w:p>
    <w:p>
      <w:pPr>
        <w:spacing w:after="0" w:line="190"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The Company is subject to the provisions of Section 203 of the Delaware General Corporation Law ("Section 203"), which, subject to certain exceptions, prohibits a Delaware corporation from engaging in any business combination with any interested stockholder for a period of three years following the time that such stockholder became an interested stockholder, unless: (i) prior to such time, the board of directors of the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w:t>
      </w:r>
    </w:p>
    <w:p>
      <w:pPr>
        <w:spacing w:after="0" w:line="6" w:lineRule="exact"/>
        <w:rPr>
          <w:sz w:val="20"/>
          <w:szCs w:val="20"/>
          <w:color w:val="auto"/>
        </w:rPr>
      </w:pPr>
    </w:p>
    <w:p>
      <w:pPr>
        <w:ind w:left="1" w:right="2719" w:hanging="1"/>
        <w:spacing w:after="0" w:line="244" w:lineRule="auto"/>
        <w:tabs>
          <w:tab w:leader="none" w:pos="38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persons who are directors and also officers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89"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Section 203 defines "business combination" to include: (i) any merger or consolidation involving the corporation and the interested stockholder; (ii) any sale, transfer, pledge or other disposition of 10% or more of the assets of the corporation involving the interested stockholder; (iii) subject to certain exceptions, any transaction that results in the issuance or transfer by the corporation of any stock of the corporation to the interested stockholder; (iv) any transaction involving the corporation that has the effect of increasing the proportionate share of the stock of any class or series of the corporation beneficially owned by the interested stockholder; or</w:t>
      </w:r>
    </w:p>
    <w:p>
      <w:pPr>
        <w:spacing w:after="0" w:line="4" w:lineRule="exact"/>
        <w:rPr>
          <w:sz w:val="20"/>
          <w:szCs w:val="20"/>
          <w:color w:val="auto"/>
        </w:rPr>
      </w:pPr>
    </w:p>
    <w:p>
      <w:pPr>
        <w:ind w:left="1" w:right="3019" w:hanging="1"/>
        <w:spacing w:after="0" w:line="244" w:lineRule="auto"/>
        <w:tabs>
          <w:tab w:leader="none" w:pos="386"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the interested stockholder of the benefit of any loans, advances, guarantees, pledges or other financial benefits provided by or through the corporation. 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TRANSFER AGENT AND REGISTRAR</w:t>
      </w:r>
    </w:p>
    <w:p>
      <w:pPr>
        <w:spacing w:after="0" w:line="188" w:lineRule="exact"/>
        <w:rPr>
          <w:sz w:val="20"/>
          <w:szCs w:val="20"/>
          <w:color w:val="auto"/>
        </w:rPr>
      </w:pPr>
    </w:p>
    <w:p>
      <w:pPr>
        <w:jc w:val="center"/>
        <w:ind w:right="2518"/>
        <w:spacing w:after="0"/>
        <w:rPr>
          <w:sz w:val="20"/>
          <w:szCs w:val="20"/>
          <w:color w:val="auto"/>
        </w:rPr>
      </w:pPr>
      <w:r>
        <w:rPr>
          <w:rFonts w:ascii="Courier New" w:cs="Courier New" w:eastAsia="Courier New" w:hAnsi="Courier New"/>
          <w:sz w:val="16"/>
          <w:szCs w:val="16"/>
          <w:color w:val="auto"/>
        </w:rPr>
        <w:t>The Transfer Agent and Registrar for the Common Stock is U.S. Bank of Idaho.</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9" w:top="669" w:right="1440" w:bottom="1440" w:gutter="0" w:footer="0" w:header="0"/>
        </w:sectPr>
      </w:pPr>
    </w:p>
    <w:bookmarkStart w:id="21" w:name="page22"/>
    <w:bookmarkEnd w:id="21"/>
    <w:p>
      <w:pPr>
        <w:jc w:val="center"/>
        <w:ind w:right="2719"/>
        <w:spacing w:after="0"/>
        <w:rPr>
          <w:sz w:val="20"/>
          <w:szCs w:val="20"/>
          <w:color w:val="auto"/>
        </w:rPr>
      </w:pPr>
      <w:r>
        <w:rPr>
          <w:rFonts w:ascii="Courier New" w:cs="Courier New" w:eastAsia="Courier New" w:hAnsi="Courier New"/>
          <w:sz w:val="16"/>
          <w:szCs w:val="16"/>
          <w:color w:val="auto"/>
        </w:rPr>
        <w:t>PLAN OF DISTRIBUTION</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The Company may sell the Securities separately or together (i) to one or more underwriters or dealers for public offering and sale by them and (ii) to investors directly or through agents. The distribution of the Securities may be effected from time to time in one or more transactions at a fixed price or prices (which may be changed from time to time), at market prices prevailing at the time of sale, at prices related to such prevailing market prices or at negotiated prices. Each Prospectus Supplement will describe the method of distribution of the Securities offered thereby.</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In connection with the sale of the Securities, underwriters, dealers or agents may receive compensation from the Company or from purchasers of the Securities for whom they may act as agents, in the form of discounts, concessions or commissions. The underwriters, dealers or agents which participate in the distribution of the Securities may be deemed to be underwriters under the Securities Act and any discounts or commissions received by them and any profit on the resale of the Securities received by them may be deemed to be underwriting discounts and commissions thereunder. Any such underwriter, dealer or agent will be identified and any such compensation received from the Company will be described in the Prospectus Supplement. Any initial public offering price and any discounts or concessions allowed or reallowed or paid to dealers may be changed from time to time.</w:t>
      </w:r>
    </w:p>
    <w:p>
      <w:pPr>
        <w:spacing w:after="0" w:line="191"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Under agreements that may be entered into with the Company, underwriters, dealers and agents may be entitled to indemnification by the Company against certain civil liabilities, including liabilities under the Securities Act, or to contribution with respect to payments which the underwriters, dealers or agents may be required to make in respect thereof.</w:t>
      </w:r>
    </w:p>
    <w:p>
      <w:pPr>
        <w:spacing w:after="0" w:line="187" w:lineRule="exact"/>
        <w:rPr>
          <w:sz w:val="20"/>
          <w:szCs w:val="20"/>
          <w:color w:val="auto"/>
        </w:rPr>
      </w:pPr>
    </w:p>
    <w:p>
      <w:pPr>
        <w:ind w:right="3019" w:firstLine="192"/>
        <w:spacing w:after="0" w:line="243" w:lineRule="auto"/>
        <w:rPr>
          <w:sz w:val="20"/>
          <w:szCs w:val="20"/>
          <w:color w:val="auto"/>
        </w:rPr>
      </w:pPr>
      <w:r>
        <w:rPr>
          <w:rFonts w:ascii="Courier New" w:cs="Courier New" w:eastAsia="Courier New" w:hAnsi="Courier New"/>
          <w:sz w:val="16"/>
          <w:szCs w:val="16"/>
          <w:color w:val="auto"/>
        </w:rPr>
        <w:t>The Company may grant underwriters who participate in the distribution of Securities an option to purchase additional Securities to cover over-allotments, if any.</w:t>
      </w:r>
    </w:p>
    <w:p>
      <w:pPr>
        <w:spacing w:after="0" w:line="189"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All Debt Securities will be new issues of securities with no established trading market. Any underwriters to whom Debt Securities are sold by the Company for public offering and sale may make a market in such securities, but such underwriters will not be obligated to do so and may discontinue any market making at any time without notice. No assurance can be given as to the liquidity of the trading market for any Securities.</w:t>
      </w:r>
    </w:p>
    <w:p>
      <w:pPr>
        <w:spacing w:after="0" w:line="188"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Certain of the underwriters or agents and their associates may be customers of, engage in transactions with or perform services for the Company in the ordinary course of business.</w:t>
      </w:r>
    </w:p>
    <w:p>
      <w:pPr>
        <w:spacing w:after="0" w:line="187"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LEGAL OPINIONS</w:t>
      </w:r>
    </w:p>
    <w:p>
      <w:pPr>
        <w:spacing w:after="0" w:line="190" w:lineRule="exact"/>
        <w:rPr>
          <w:sz w:val="20"/>
          <w:szCs w:val="20"/>
          <w:color w:val="auto"/>
        </w:rPr>
      </w:pPr>
    </w:p>
    <w:p>
      <w:pPr>
        <w:ind w:right="3299" w:firstLine="192"/>
        <w:spacing w:after="0" w:line="243" w:lineRule="auto"/>
        <w:rPr>
          <w:sz w:val="20"/>
          <w:szCs w:val="20"/>
          <w:color w:val="auto"/>
        </w:rPr>
      </w:pPr>
      <w:r>
        <w:rPr>
          <w:rFonts w:ascii="Courier New" w:cs="Courier New" w:eastAsia="Courier New" w:hAnsi="Courier New"/>
          <w:sz w:val="16"/>
          <w:szCs w:val="16"/>
          <w:color w:val="auto"/>
        </w:rPr>
        <w:t>The validity of the Securities is being passed upon for the Company by Wilson Sonsini Goodrich &amp; Rosati, Professional Corporation, Palo Alto, California.</w:t>
      </w:r>
    </w:p>
    <w:p>
      <w:pPr>
        <w:spacing w:after="0" w:line="18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EXPERTS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The consolidated balance sheets of Micron Technology, Inc. as of August 29, 1996 and August 31, 1995 and the consolidated statements of operations, shareholders' equity and cash flows for each of the three years in the period ended August 29, 1996 incorporated herein by reference to the Annual Report on Form 10-K of Micron Technology, Inc. for the year ended August 29, 1996 have been so incorporated in reliance upon the report of Coopers &amp; Lybrand, L.L.P., independent accountants, given on the authority of that firm as experts in accounting and auditing.</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69" w:right="1440" w:bottom="1440" w:gutter="0" w:footer="0" w:header="0"/>
        </w:sectPr>
      </w:pPr>
    </w:p>
    <w:bookmarkStart w:id="22" w:name="page23"/>
    <w:bookmarkEnd w:id="22"/>
    <w:p>
      <w:pPr>
        <w:jc w:val="center"/>
        <w:ind w:right="2639"/>
        <w:spacing w:after="0"/>
        <w:rPr>
          <w:sz w:val="20"/>
          <w:szCs w:val="20"/>
          <w:color w:val="auto"/>
        </w:rPr>
      </w:pPr>
      <w:r>
        <w:rPr>
          <w:rFonts w:ascii="Courier New" w:cs="Courier New" w:eastAsia="Courier New" w:hAnsi="Courier New"/>
          <w:sz w:val="16"/>
          <w:szCs w:val="16"/>
          <w:color w:val="auto"/>
        </w:rPr>
        <w:t>PART II</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INFORMATION NOT REQUIRED IN THE PROSPECTUS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OTHER EXPENSES OF ISSUANCE AND DISTRIBUTION.</w:t>
      </w:r>
    </w:p>
    <w:p>
      <w:pPr>
        <w:spacing w:after="0" w:line="190" w:lineRule="exact"/>
        <w:rPr>
          <w:sz w:val="20"/>
          <w:szCs w:val="20"/>
          <w:color w:val="auto"/>
        </w:rPr>
      </w:pPr>
    </w:p>
    <w:p>
      <w:pPr>
        <w:ind w:right="2819" w:firstLine="192"/>
        <w:spacing w:after="0" w:line="243" w:lineRule="auto"/>
        <w:rPr>
          <w:sz w:val="20"/>
          <w:szCs w:val="20"/>
          <w:color w:val="auto"/>
        </w:rPr>
      </w:pPr>
      <w:r>
        <w:rPr>
          <w:rFonts w:ascii="Courier New" w:cs="Courier New" w:eastAsia="Courier New" w:hAnsi="Courier New"/>
          <w:sz w:val="16"/>
          <w:szCs w:val="16"/>
          <w:color w:val="auto"/>
        </w:rPr>
        <w:t>The following table sets forth the expenses, other than any underwriting discount and commissions, in connection with the issuance and distribution of the Securities being registered. All amounts indicated are estimates (other than the registration fee).</w:t>
      </w:r>
    </w:p>
    <w:p>
      <w:pPr>
        <w:spacing w:after="0" w:line="200" w:lineRule="exact"/>
        <w:rPr>
          <w:sz w:val="20"/>
          <w:szCs w:val="20"/>
          <w:color w:val="auto"/>
        </w:rPr>
      </w:pPr>
    </w:p>
    <w:p>
      <w:pPr>
        <w:spacing w:after="0" w:line="357"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6300" w:type="dxa"/>
            <w:vAlign w:val="bottom"/>
          </w:tcPr>
          <w:p>
            <w:pPr>
              <w:spacing w:after="0"/>
              <w:rPr>
                <w:sz w:val="15"/>
                <w:szCs w:val="15"/>
                <w:color w:val="auto"/>
              </w:rPr>
            </w:pP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AMOUNT</w:t>
            </w:r>
          </w:p>
        </w:tc>
      </w:tr>
      <w:tr>
        <w:trPr>
          <w:trHeight w:val="185"/>
        </w:trPr>
        <w:tc>
          <w:tcPr>
            <w:tcW w:w="6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TO BE PAID</w:t>
            </w:r>
          </w:p>
        </w:tc>
      </w:tr>
      <w:tr>
        <w:trPr>
          <w:trHeight w:val="185"/>
        </w:trPr>
        <w:tc>
          <w:tcPr>
            <w:tcW w:w="6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Registration fee.................................................</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303,031</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Trustee's fees and expenses......................................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15,000</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Rating agency fee................................................</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Accounting fees and expenses.....................................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Printing and engraving...........................................</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150,000</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Transfer agent and registrar fees and expenses...................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15,000</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Blue Sky and legal investment fees and expenses..................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15,000</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Legal fees and expenses of the registrant........................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300,000</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w w:val="99"/>
              </w:rPr>
              <w:t>Miscellaneous....................................................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51,969</w:t>
            </w:r>
          </w:p>
        </w:tc>
      </w:tr>
      <w:tr>
        <w:trPr>
          <w:trHeight w:val="185"/>
        </w:trPr>
        <w:tc>
          <w:tcPr>
            <w:tcW w:w="6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$1,000,000</w:t>
            </w:r>
          </w:p>
        </w:tc>
      </w:tr>
      <w:tr>
        <w:trPr>
          <w:trHeight w:val="185"/>
        </w:trPr>
        <w:tc>
          <w:tcPr>
            <w:tcW w:w="6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15. INDEMNIFICATION OF DIRECTORS AND OFFICERS.</w:t>
      </w:r>
    </w:p>
    <w:p>
      <w:pPr>
        <w:spacing w:after="0" w:line="190" w:lineRule="exact"/>
        <w:rPr>
          <w:sz w:val="20"/>
          <w:szCs w:val="20"/>
          <w:color w:val="auto"/>
        </w:rPr>
      </w:pPr>
    </w:p>
    <w:p>
      <w:pPr>
        <w:ind w:right="2719" w:firstLine="192"/>
        <w:spacing w:after="0" w:line="244" w:lineRule="auto"/>
        <w:rPr>
          <w:sz w:val="20"/>
          <w:szCs w:val="20"/>
          <w:color w:val="auto"/>
        </w:rPr>
      </w:pPr>
      <w:r>
        <w:rPr>
          <w:rFonts w:ascii="Courier New" w:cs="Courier New" w:eastAsia="Courier New" w:hAnsi="Courier New"/>
          <w:sz w:val="16"/>
          <w:szCs w:val="16"/>
          <w:color w:val="auto"/>
        </w:rPr>
        <w:t>Section 145 of the Delaware General Corporation Law ("Delaware Law") authorizes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of 1933, as amended. The registrant's Bylaws provide for mandatory indemnification of its directors, officers, employees and other agents to the maximum extent permitted by Delaware law. The registrant has entered into indemnification agreements with its directors and certain of its officers. The indemnification agreements provide the registrant's directors and elected officers with further indemnification to the maximum extent permitted by Delaware law.</w:t>
      </w:r>
    </w:p>
    <w:p>
      <w:pPr>
        <w:spacing w:after="0" w:line="191" w:lineRule="exact"/>
        <w:rPr>
          <w:sz w:val="20"/>
          <w:szCs w:val="20"/>
          <w:color w:val="auto"/>
        </w:rPr>
      </w:pPr>
    </w:p>
    <w:p>
      <w:pPr>
        <w:jc w:val="both"/>
        <w:ind w:right="3019" w:firstLine="192"/>
        <w:spacing w:after="0" w:line="243" w:lineRule="auto"/>
        <w:rPr>
          <w:sz w:val="20"/>
          <w:szCs w:val="20"/>
          <w:color w:val="auto"/>
        </w:rPr>
      </w:pPr>
      <w:r>
        <w:rPr>
          <w:rFonts w:ascii="Courier New" w:cs="Courier New" w:eastAsia="Courier New" w:hAnsi="Courier New"/>
          <w:sz w:val="16"/>
          <w:szCs w:val="16"/>
          <w:color w:val="auto"/>
        </w:rPr>
        <w:t>Reference is made to the forms of Underwriting Agreement filed as Exhibit 1.1, Exhibit 1.2 and Exhibit 1.3 to this Registration Statement for certain provisions regarding indemnification of officers and directors of the registrant by the several Underwriters.</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69" w:right="1440" w:bottom="1440" w:gutter="0" w:footer="0" w:header="0"/>
        </w:sectPr>
      </w:pPr>
    </w:p>
    <w:bookmarkStart w:id="23" w:name="page24"/>
    <w:bookmarkEnd w:id="23"/>
    <w:tbl>
      <w:tblPr>
        <w:tblLayout w:type="fixed"/>
        <w:tblInd w:w="1" w:type="dxa"/>
        <w:tblCellMar>
          <w:top w:w="0" w:type="dxa"/>
          <w:left w:w="0" w:type="dxa"/>
          <w:bottom w:w="0" w:type="dxa"/>
          <w:right w:w="0" w:type="dxa"/>
        </w:tblCellMar>
      </w:tblPr>
      <w:tr>
        <w:trPr>
          <w:trHeight w:val="181"/>
        </w:trPr>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ITEM 16.</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EXHIBITS.</w:t>
            </w:r>
          </w:p>
        </w:tc>
        <w:tc>
          <w:tcPr>
            <w:tcW w:w="4660" w:type="dxa"/>
            <w:vAlign w:val="bottom"/>
          </w:tcPr>
          <w:p>
            <w:pPr>
              <w:spacing w:after="0"/>
              <w:rPr>
                <w:sz w:val="15"/>
                <w:szCs w:val="15"/>
                <w:color w:val="auto"/>
              </w:rPr>
            </w:pPr>
          </w:p>
        </w:tc>
      </w:tr>
      <w:tr>
        <w:trPr>
          <w:trHeight w:val="739"/>
        </w:trPr>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EXHIBIT</w:t>
            </w:r>
          </w:p>
        </w:tc>
        <w:tc>
          <w:tcPr>
            <w:tcW w:w="20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85"/>
        </w:trPr>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NUMBER</w:t>
            </w:r>
          </w:p>
        </w:tc>
        <w:tc>
          <w:tcPr>
            <w:tcW w:w="2020" w:type="dxa"/>
            <w:vAlign w:val="bottom"/>
          </w:tcPr>
          <w:p>
            <w:pPr>
              <w:spacing w:after="0"/>
              <w:rPr>
                <w:sz w:val="16"/>
                <w:szCs w:val="16"/>
                <w:color w:val="auto"/>
              </w:rPr>
            </w:pPr>
          </w:p>
        </w:tc>
        <w:tc>
          <w:tcPr>
            <w:tcW w:w="4660" w:type="dxa"/>
            <w:vAlign w:val="bottom"/>
          </w:tcPr>
          <w:p>
            <w:pPr>
              <w:ind w:left="320"/>
              <w:spacing w:after="0"/>
              <w:rPr>
                <w:sz w:val="20"/>
                <w:szCs w:val="20"/>
                <w:color w:val="auto"/>
              </w:rPr>
            </w:pPr>
            <w:r>
              <w:rPr>
                <w:rFonts w:ascii="Courier New" w:cs="Courier New" w:eastAsia="Courier New" w:hAnsi="Courier New"/>
                <w:sz w:val="16"/>
                <w:szCs w:val="16"/>
                <w:color w:val="auto"/>
              </w:rPr>
              <w:t>DESCRIPTION OF EXHIBIT</w:t>
            </w:r>
          </w:p>
        </w:tc>
      </w:tr>
      <w:tr>
        <w:trPr>
          <w:trHeight w:val="185"/>
        </w:trPr>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spacing w:after="0"/>
              <w:rPr>
                <w:sz w:val="16"/>
                <w:szCs w:val="16"/>
                <w:color w:val="auto"/>
              </w:rPr>
            </w:pPr>
          </w:p>
        </w:tc>
        <w:tc>
          <w:tcPr>
            <w:tcW w:w="46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r>
      <w:tr>
        <w:trPr>
          <w:trHeight w:val="370"/>
        </w:trPr>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Form of Underwriting</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Agreement (Common Stock)</w:t>
            </w:r>
          </w:p>
        </w:tc>
      </w:tr>
      <w:tr>
        <w:trPr>
          <w:trHeight w:val="185"/>
        </w:trPr>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Form of Underwriting</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Agreement (Debt Securities)</w:t>
            </w:r>
          </w:p>
        </w:tc>
      </w:tr>
      <w:tr>
        <w:trPr>
          <w:trHeight w:val="185"/>
        </w:trPr>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Form of Underwriting</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Agreement (Convertible Debt Securities)</w:t>
            </w:r>
          </w:p>
        </w:tc>
      </w:tr>
      <w:tr>
        <w:trPr>
          <w:trHeight w:val="185"/>
        </w:trPr>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4.1</w:t>
            </w: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Form of Senior Indenture</w:t>
            </w:r>
          </w:p>
        </w:tc>
      </w:tr>
      <w:tr>
        <w:trPr>
          <w:trHeight w:val="185"/>
        </w:trPr>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4.2</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Form of Subordinated</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Indenture</w:t>
            </w:r>
          </w:p>
        </w:tc>
      </w:tr>
      <w:tr>
        <w:trPr>
          <w:trHeight w:val="185"/>
        </w:trPr>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4.3</w:t>
            </w: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Form of Senior Debt Security (included in Exhibit 4.1)</w:t>
            </w:r>
          </w:p>
        </w:tc>
      </w:tr>
      <w:tr>
        <w:trPr>
          <w:trHeight w:val="185"/>
        </w:trPr>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4.4</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Form of Subordinated</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Debt Security (included in Exhibit 4.2)</w:t>
            </w:r>
          </w:p>
        </w:tc>
      </w:tr>
      <w:tr>
        <w:trPr>
          <w:trHeight w:val="185"/>
        </w:trPr>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5.1</w:t>
            </w: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Opinion of Wilson Sonsini Goodrich &amp; Rosati, Professional Corporation</w:t>
            </w:r>
          </w:p>
        </w:tc>
      </w:tr>
      <w:tr>
        <w:trPr>
          <w:trHeight w:val="185"/>
        </w:trPr>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12.1</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Computation of Ratio</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of Earnings to Fixed Charges</w:t>
            </w:r>
          </w:p>
        </w:tc>
      </w:tr>
      <w:tr>
        <w:trPr>
          <w:trHeight w:val="185"/>
        </w:trPr>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23.1</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Consent of Coopers &amp;</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Lybrand L.L.P.</w:t>
            </w:r>
          </w:p>
        </w:tc>
      </w:tr>
      <w:tr>
        <w:trPr>
          <w:trHeight w:val="185"/>
        </w:trPr>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23.2</w:t>
            </w: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Consent of Wilson Sonsini Goodrich &amp; Rosati, Professional Corporation</w:t>
            </w:r>
          </w:p>
        </w:tc>
      </w:tr>
      <w:tr>
        <w:trPr>
          <w:trHeight w:val="185"/>
        </w:trPr>
        <w:tc>
          <w:tcPr>
            <w:tcW w:w="820" w:type="dxa"/>
            <w:vAlign w:val="bottom"/>
          </w:tcPr>
          <w:p>
            <w:pPr>
              <w:spacing w:after="0"/>
              <w:rPr>
                <w:sz w:val="16"/>
                <w:szCs w:val="16"/>
                <w:color w:val="auto"/>
              </w:rPr>
            </w:pP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(included in Exhibit</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5.1)</w:t>
            </w:r>
          </w:p>
        </w:tc>
      </w:tr>
      <w:tr>
        <w:trPr>
          <w:trHeight w:val="185"/>
        </w:trPr>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24.1</w:t>
            </w: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Powers of Attorney of certain directors and officers of the Company</w:t>
            </w:r>
          </w:p>
        </w:tc>
      </w:tr>
      <w:tr>
        <w:trPr>
          <w:trHeight w:val="185"/>
        </w:trPr>
        <w:tc>
          <w:tcPr>
            <w:tcW w:w="820" w:type="dxa"/>
            <w:vAlign w:val="bottom"/>
          </w:tcPr>
          <w:p>
            <w:pPr>
              <w:spacing w:after="0"/>
              <w:rPr>
                <w:sz w:val="16"/>
                <w:szCs w:val="16"/>
                <w:color w:val="auto"/>
              </w:rPr>
            </w:pP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(contained on Page II-4)*</w:t>
            </w:r>
          </w:p>
        </w:tc>
      </w:tr>
      <w:tr>
        <w:trPr>
          <w:trHeight w:val="185"/>
        </w:trPr>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25.1</w:t>
            </w: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Form T-1 Statement of Eligibility and Qualification of Trustee for</w:t>
            </w:r>
          </w:p>
        </w:tc>
      </w:tr>
      <w:tr>
        <w:trPr>
          <w:trHeight w:val="185"/>
        </w:trPr>
        <w:tc>
          <w:tcPr>
            <w:tcW w:w="820" w:type="dxa"/>
            <w:vAlign w:val="bottom"/>
          </w:tcPr>
          <w:p>
            <w:pPr>
              <w:spacing w:after="0"/>
              <w:rPr>
                <w:sz w:val="16"/>
                <w:szCs w:val="16"/>
                <w:color w:val="auto"/>
              </w:rPr>
            </w:pP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Senior Indenture under the Trust Indenture Act of 1939</w:t>
            </w:r>
          </w:p>
        </w:tc>
      </w:tr>
      <w:tr>
        <w:trPr>
          <w:trHeight w:val="185"/>
        </w:trPr>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25.2</w:t>
            </w: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Form T-1 Statement of Eligibility and Qualification of Trustee for</w:t>
            </w:r>
          </w:p>
        </w:tc>
      </w:tr>
      <w:tr>
        <w:trPr>
          <w:trHeight w:val="185"/>
        </w:trPr>
        <w:tc>
          <w:tcPr>
            <w:tcW w:w="820" w:type="dxa"/>
            <w:vAlign w:val="bottom"/>
          </w:tcPr>
          <w:p>
            <w:pPr>
              <w:spacing w:after="0"/>
              <w:rPr>
                <w:sz w:val="16"/>
                <w:szCs w:val="16"/>
                <w:color w:val="auto"/>
              </w:rPr>
            </w:pP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Subordinated Indenture under the Trust Indenture Act of 1939</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201" w:hanging="201"/>
        <w:spacing w:after="0"/>
        <w:tabs>
          <w:tab w:leader="none" w:pos="2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w:t>
      </w:r>
    </w:p>
    <w:p>
      <w:pPr>
        <w:spacing w:after="0" w:line="188"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17. UNDERTAKINGS</w:t>
      </w:r>
    </w:p>
    <w:p>
      <w:pPr>
        <w:spacing w:after="0" w:line="188" w:lineRule="exact"/>
        <w:rPr>
          <w:rFonts w:ascii="Courier New" w:cs="Courier New" w:eastAsia="Courier New" w:hAnsi="Courier New"/>
          <w:sz w:val="16"/>
          <w:szCs w:val="16"/>
          <w:color w:val="auto"/>
        </w:rPr>
      </w:pPr>
    </w:p>
    <w:p>
      <w:pPr>
        <w:ind w:left="481" w:hanging="289"/>
        <w:spacing w:after="0"/>
        <w:tabs>
          <w:tab w:leader="none" w:pos="481"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90" w:lineRule="exact"/>
        <w:rPr>
          <w:rFonts w:ascii="Courier New" w:cs="Courier New" w:eastAsia="Courier New" w:hAnsi="Courier New"/>
          <w:sz w:val="16"/>
          <w:szCs w:val="16"/>
          <w:color w:val="auto"/>
        </w:rPr>
      </w:pPr>
    </w:p>
    <w:p>
      <w:pPr>
        <w:ind w:left="201" w:right="2819" w:firstLine="183"/>
        <w:spacing w:after="0" w:line="242" w:lineRule="auto"/>
        <w:tabs>
          <w:tab w:leader="none" w:pos="778" w:val="left"/>
        </w:tabs>
        <w:numPr>
          <w:ilvl w:val="2"/>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8" w:lineRule="exact"/>
        <w:rPr>
          <w:rFonts w:ascii="Courier New" w:cs="Courier New" w:eastAsia="Courier New" w:hAnsi="Courier New"/>
          <w:sz w:val="16"/>
          <w:szCs w:val="16"/>
          <w:color w:val="auto"/>
        </w:rPr>
      </w:pPr>
    </w:p>
    <w:p>
      <w:pPr>
        <w:ind w:left="381" w:right="3399" w:firstLine="195"/>
        <w:spacing w:after="0" w:line="242" w:lineRule="auto"/>
        <w:tabs>
          <w:tab w:leader="none" w:pos="958" w:val="left"/>
        </w:tabs>
        <w:numPr>
          <w:ilvl w:val="3"/>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 (the "Act");</w:t>
      </w:r>
    </w:p>
    <w:p>
      <w:pPr>
        <w:spacing w:after="0" w:line="186" w:lineRule="exact"/>
        <w:rPr>
          <w:rFonts w:ascii="Courier New" w:cs="Courier New" w:eastAsia="Courier New" w:hAnsi="Courier New"/>
          <w:sz w:val="16"/>
          <w:szCs w:val="16"/>
          <w:color w:val="auto"/>
        </w:rPr>
      </w:pPr>
    </w:p>
    <w:p>
      <w:pPr>
        <w:ind w:left="1061" w:hanging="485"/>
        <w:spacing w:after="0"/>
        <w:tabs>
          <w:tab w:leader="none" w:pos="1061" w:val="left"/>
        </w:tabs>
        <w:numPr>
          <w:ilvl w:val="3"/>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w:t>
      </w:r>
    </w:p>
    <w:p>
      <w:pPr>
        <w:spacing w:after="0" w:line="5" w:lineRule="exact"/>
        <w:rPr>
          <w:sz w:val="20"/>
          <w:szCs w:val="20"/>
          <w:color w:val="auto"/>
        </w:rPr>
      </w:pPr>
    </w:p>
    <w:p>
      <w:pPr>
        <w:ind w:left="381" w:right="3019"/>
        <w:spacing w:after="0" w:line="244" w:lineRule="auto"/>
        <w:rPr>
          <w:sz w:val="20"/>
          <w:szCs w:val="20"/>
          <w:color w:val="auto"/>
        </w:rPr>
      </w:pPr>
      <w:r>
        <w:rPr>
          <w:rFonts w:ascii="Courier New" w:cs="Courier New" w:eastAsia="Courier New" w:hAnsi="Courier New"/>
          <w:sz w:val="16"/>
          <w:szCs w:val="16"/>
          <w:color w:val="auto"/>
        </w:rPr>
        <w:t>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1" w:lineRule="exact"/>
        <w:rPr>
          <w:sz w:val="20"/>
          <w:szCs w:val="20"/>
          <w:color w:val="auto"/>
        </w:rPr>
      </w:pPr>
    </w:p>
    <w:p>
      <w:pPr>
        <w:ind w:left="381" w:right="3019" w:firstLine="195"/>
        <w:spacing w:after="0" w:line="243" w:lineRule="auto"/>
        <w:tabs>
          <w:tab w:leader="none" w:pos="115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9" w:lineRule="exact"/>
        <w:rPr>
          <w:sz w:val="20"/>
          <w:szCs w:val="20"/>
          <w:color w:val="auto"/>
        </w:rPr>
      </w:pPr>
    </w:p>
    <w:p>
      <w:pPr>
        <w:ind w:left="201" w:right="2819"/>
        <w:spacing w:after="0" w:line="244" w:lineRule="auto"/>
        <w:rPr>
          <w:sz w:val="20"/>
          <w:szCs w:val="20"/>
          <w:color w:val="auto"/>
        </w:rPr>
      </w:pPr>
      <w:r>
        <w:rPr>
          <w:rFonts w:ascii="Courier New" w:cs="Courier New" w:eastAsia="Courier New" w:hAnsi="Courier New"/>
          <w:sz w:val="16"/>
          <w:szCs w:val="16"/>
          <w:color w:val="auto"/>
        </w:rPr>
        <w:t>provided, however, that the undertakings set forth in clauses (i) and (ii) above shall not apply if the information required to be included in a post-effective amendment by these clauses is contained in periodic reports filed by the registrant pursuant to Section 13 or Section 15(d) of the Securities Exchange Act of 1934 (the "Exchange Act") that are incorporated by reference in this registration statement.</w:t>
      </w:r>
    </w:p>
    <w:p>
      <w:pPr>
        <w:spacing w:after="0" w:line="18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21"/>
          </w:cols>
          <w:pgMar w:left="239" w:top="669" w:right="1440" w:bottom="1440" w:gutter="0" w:footer="0" w:header="0"/>
        </w:sectPr>
      </w:pPr>
    </w:p>
    <w:bookmarkStart w:id="24" w:name="page25"/>
    <w:bookmarkEnd w:id="24"/>
    <w:p>
      <w:pPr>
        <w:ind w:left="9" w:right="2819" w:firstLine="183"/>
        <w:spacing w:after="0" w:line="244" w:lineRule="auto"/>
        <w:tabs>
          <w:tab w:leader="none" w:pos="586"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Courier New" w:cs="Courier New" w:eastAsia="Courier New" w:hAnsi="Courier New"/>
          <w:sz w:val="16"/>
          <w:szCs w:val="16"/>
          <w:color w:val="auto"/>
        </w:rPr>
      </w:pPr>
    </w:p>
    <w:p>
      <w:pPr>
        <w:ind w:left="9" w:right="3119" w:firstLine="183"/>
        <w:spacing w:after="0" w:line="243" w:lineRule="auto"/>
        <w:tabs>
          <w:tab w:leader="none" w:pos="586"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8" w:lineRule="exact"/>
        <w:rPr>
          <w:rFonts w:ascii="Courier New" w:cs="Courier New" w:eastAsia="Courier New" w:hAnsi="Courier New"/>
          <w:sz w:val="16"/>
          <w:szCs w:val="16"/>
          <w:color w:val="auto"/>
        </w:rPr>
      </w:pPr>
    </w:p>
    <w:p>
      <w:pPr>
        <w:ind w:left="-191" w:right="2919" w:firstLine="191"/>
        <w:spacing w:after="0" w:line="244" w:lineRule="auto"/>
        <w:tabs>
          <w:tab w:leader="none" w:pos="29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Courier New" w:cs="Courier New" w:eastAsia="Courier New" w:hAnsi="Courier New"/>
          <w:sz w:val="16"/>
          <w:szCs w:val="16"/>
          <w:color w:val="auto"/>
        </w:rPr>
      </w:pPr>
    </w:p>
    <w:p>
      <w:pPr>
        <w:ind w:left="-191" w:right="2719" w:firstLine="191"/>
        <w:spacing w:after="0" w:line="244" w:lineRule="auto"/>
        <w:tabs>
          <w:tab w:leader="none" w:pos="29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of liabilities arising under the Act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0" w:lineRule="exact"/>
        <w:rPr>
          <w:rFonts w:ascii="Courier New" w:cs="Courier New" w:eastAsia="Courier New" w:hAnsi="Courier New"/>
          <w:sz w:val="16"/>
          <w:szCs w:val="16"/>
          <w:color w:val="auto"/>
        </w:rPr>
      </w:pPr>
    </w:p>
    <w:p>
      <w:pPr>
        <w:ind w:left="289" w:hanging="289"/>
        <w:spacing w:after="0"/>
        <w:tabs>
          <w:tab w:leader="none" w:pos="28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w:t>
      </w:r>
    </w:p>
    <w:p>
      <w:pPr>
        <w:spacing w:after="0" w:line="190" w:lineRule="exact"/>
        <w:rPr>
          <w:sz w:val="20"/>
          <w:szCs w:val="20"/>
          <w:color w:val="auto"/>
        </w:rPr>
      </w:pPr>
    </w:p>
    <w:p>
      <w:pPr>
        <w:ind w:left="9" w:right="2919" w:firstLine="183"/>
        <w:spacing w:after="0" w:line="244" w:lineRule="auto"/>
        <w:tabs>
          <w:tab w:leader="none" w:pos="586"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424(b)(1) or (4) or 497(h) under the Act shall be deemed to be part of this Registration Statement as of the time it was declared effective.</w:t>
      </w:r>
    </w:p>
    <w:p>
      <w:pPr>
        <w:spacing w:after="0" w:line="187" w:lineRule="exact"/>
        <w:rPr>
          <w:rFonts w:ascii="Courier New" w:cs="Courier New" w:eastAsia="Courier New" w:hAnsi="Courier New"/>
          <w:sz w:val="16"/>
          <w:szCs w:val="16"/>
          <w:color w:val="auto"/>
        </w:rPr>
      </w:pPr>
    </w:p>
    <w:p>
      <w:pPr>
        <w:ind w:left="9" w:right="2819" w:firstLine="183"/>
        <w:spacing w:after="0" w:line="244" w:lineRule="auto"/>
        <w:tabs>
          <w:tab w:leader="none" w:pos="586"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5" w:lineRule="exact"/>
        <w:rPr>
          <w:sz w:val="20"/>
          <w:szCs w:val="20"/>
          <w:color w:val="auto"/>
        </w:rPr>
      </w:pPr>
    </w:p>
    <w:p>
      <w:pPr>
        <w:ind w:left="3369"/>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029"/>
          </w:cols>
          <w:pgMar w:left="431" w:top="671" w:right="1440" w:bottom="1440" w:gutter="0" w:footer="0" w:header="0"/>
        </w:sectPr>
      </w:pPr>
    </w:p>
    <w:bookmarkStart w:id="25" w:name="page26"/>
    <w:bookmarkEnd w:id="25"/>
    <w:p>
      <w:pPr>
        <w:jc w:val="center"/>
        <w:ind w:right="2718"/>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left="1" w:right="2719" w:firstLine="192"/>
        <w:spacing w:after="0" w:line="244"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AMENDMENT TO THIS REGISTRATION STATEMENT TO BE SIGNED ON ITS BEHALF BY THE UNDERSIGNED, THEREUNTO DULY AUTHORIZED, IN THE CITY OF BOISE, STATE OF IDAHO, ON THE 30TH DAY OF MAY, 1997.</w:t>
      </w:r>
    </w:p>
    <w:p>
      <w:pPr>
        <w:spacing w:after="0" w:line="186" w:lineRule="exact"/>
        <w:rPr>
          <w:sz w:val="20"/>
          <w:szCs w:val="20"/>
          <w:color w:val="auto"/>
        </w:rPr>
      </w:pPr>
    </w:p>
    <w:p>
      <w:pPr>
        <w:jc w:val="center"/>
        <w:ind w:right="-41"/>
        <w:spacing w:after="0"/>
        <w:rPr>
          <w:sz w:val="20"/>
          <w:szCs w:val="20"/>
          <w:color w:val="auto"/>
        </w:rPr>
      </w:pPr>
      <w:r>
        <w:rPr>
          <w:rFonts w:ascii="Courier New" w:cs="Courier New" w:eastAsia="Courier New" w:hAnsi="Courier New"/>
          <w:sz w:val="16"/>
          <w:szCs w:val="16"/>
          <w:color w:val="auto"/>
        </w:rPr>
        <w:t>Micron Technology, Inc.</w:t>
      </w:r>
    </w:p>
    <w:p>
      <w:pPr>
        <w:spacing w:after="0" w:line="373" w:lineRule="exact"/>
        <w:rPr>
          <w:sz w:val="20"/>
          <w:szCs w:val="20"/>
          <w:color w:val="auto"/>
        </w:rPr>
      </w:pPr>
    </w:p>
    <w:p>
      <w:pPr>
        <w:ind w:left="4041"/>
        <w:spacing w:after="0"/>
        <w:tabs>
          <w:tab w:leader="none" w:pos="4401" w:val="left"/>
          <w:tab w:leader="none" w:pos="4981" w:val="left"/>
        </w:tabs>
        <w:rPr>
          <w:sz w:val="20"/>
          <w:szCs w:val="20"/>
          <w:color w:val="auto"/>
        </w:rPr>
      </w:pPr>
      <w:r>
        <w:rPr>
          <w:rFonts w:ascii="Courier New" w:cs="Courier New" w:eastAsia="Courier New" w:hAnsi="Courier New"/>
          <w:sz w:val="16"/>
          <w:szCs w:val="16"/>
          <w:color w:val="auto"/>
        </w:rPr>
        <w:t>By</w:t>
        <w:tab/>
        <w:t>/s/</w:t>
      </w:r>
      <w:r>
        <w:rPr>
          <w:sz w:val="20"/>
          <w:szCs w:val="20"/>
          <w:color w:val="auto"/>
        </w:rPr>
        <w:tab/>
      </w:r>
      <w:r>
        <w:rPr>
          <w:rFonts w:ascii="Courier New" w:cs="Courier New" w:eastAsia="Courier New" w:hAnsi="Courier New"/>
          <w:sz w:val="16"/>
          <w:szCs w:val="16"/>
          <w:color w:val="auto"/>
        </w:rPr>
        <w:t>Wilbur G. Stover, Jr.</w:t>
      </w:r>
    </w:p>
    <w:p>
      <w:pPr>
        <w:spacing w:after="0" w:line="4" w:lineRule="exact"/>
        <w:rPr>
          <w:sz w:val="20"/>
          <w:szCs w:val="20"/>
          <w:color w:val="auto"/>
        </w:rPr>
      </w:pPr>
    </w:p>
    <w:p>
      <w:pPr>
        <w:ind w:left="422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001"/>
        <w:spacing w:after="0"/>
        <w:rPr>
          <w:sz w:val="20"/>
          <w:szCs w:val="20"/>
          <w:color w:val="auto"/>
        </w:rPr>
      </w:pPr>
      <w:r>
        <w:rPr>
          <w:rFonts w:ascii="Courier New" w:cs="Courier New" w:eastAsia="Courier New" w:hAnsi="Courier New"/>
          <w:sz w:val="16"/>
          <w:szCs w:val="16"/>
          <w:color w:val="auto"/>
        </w:rPr>
        <w:t>WILBUR G. STOVER, JR.</w:t>
      </w:r>
    </w:p>
    <w:p>
      <w:pPr>
        <w:spacing w:after="0" w:line="5" w:lineRule="exact"/>
        <w:rPr>
          <w:sz w:val="20"/>
          <w:szCs w:val="20"/>
          <w:color w:val="auto"/>
        </w:rPr>
      </w:pPr>
    </w:p>
    <w:p>
      <w:pPr>
        <w:ind w:left="4221"/>
        <w:spacing w:after="0"/>
        <w:rPr>
          <w:sz w:val="20"/>
          <w:szCs w:val="20"/>
          <w:color w:val="auto"/>
        </w:rPr>
      </w:pPr>
      <w:r>
        <w:rPr>
          <w:rFonts w:ascii="Courier New" w:cs="Courier New" w:eastAsia="Courier New" w:hAnsi="Courier New"/>
          <w:sz w:val="15"/>
          <w:szCs w:val="15"/>
          <w:color w:val="auto"/>
        </w:rPr>
        <w:t>VICE PRESIDENT OF FINANCE AND CHIEF</w:t>
      </w:r>
    </w:p>
    <w:p>
      <w:pPr>
        <w:spacing w:after="0" w:line="13" w:lineRule="exact"/>
        <w:rPr>
          <w:sz w:val="20"/>
          <w:szCs w:val="20"/>
          <w:color w:val="auto"/>
        </w:rPr>
      </w:pPr>
    </w:p>
    <w:p>
      <w:pPr>
        <w:ind w:left="5181"/>
        <w:spacing w:after="0"/>
        <w:rPr>
          <w:sz w:val="20"/>
          <w:szCs w:val="20"/>
          <w:color w:val="auto"/>
        </w:rPr>
      </w:pPr>
      <w:r>
        <w:rPr>
          <w:rFonts w:ascii="Courier New" w:cs="Courier New" w:eastAsia="Courier New" w:hAnsi="Courier New"/>
          <w:sz w:val="16"/>
          <w:szCs w:val="16"/>
          <w:color w:val="auto"/>
        </w:rPr>
        <w:t>FINANCIAL OFFICER</w:t>
      </w:r>
    </w:p>
    <w:p>
      <w:pPr>
        <w:spacing w:after="0" w:line="188"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PURSUANT TO THE REQUIREMENTS OF THE SECURITIES ACT OF 1933, THIS AMENDMENT</w:t>
      </w:r>
    </w:p>
    <w:p>
      <w:pPr>
        <w:spacing w:after="0" w:line="4"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TO THIS REGISTRATION STATEMENT HAS BEEN SIGNED BY THE FOLLOWING PERSONS IN THE</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740" w:type="dxa"/>
            <w:vAlign w:val="bottom"/>
          </w:tcPr>
          <w:p>
            <w:pPr>
              <w:spacing w:after="0"/>
              <w:rPr>
                <w:sz w:val="20"/>
                <w:szCs w:val="20"/>
                <w:color w:val="auto"/>
              </w:rPr>
            </w:pPr>
            <w:r>
              <w:rPr>
                <w:rFonts w:ascii="Courier New" w:cs="Courier New" w:eastAsia="Courier New" w:hAnsi="Courier New"/>
                <w:sz w:val="16"/>
                <w:szCs w:val="16"/>
                <w:color w:val="auto"/>
              </w:rPr>
              <w:t>CAPACITIES AND ON THE DATES INDICATED.</w:t>
            </w:r>
          </w:p>
        </w:tc>
        <w:tc>
          <w:tcPr>
            <w:tcW w:w="2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924"/>
        </w:trPr>
        <w:tc>
          <w:tcPr>
            <w:tcW w:w="3740" w:type="dxa"/>
            <w:vAlign w:val="bottom"/>
          </w:tcPr>
          <w:p>
            <w:pPr>
              <w:jc w:val="center"/>
              <w:ind w:right="220"/>
              <w:spacing w:after="0"/>
              <w:rPr>
                <w:sz w:val="20"/>
                <w:szCs w:val="20"/>
                <w:color w:val="auto"/>
              </w:rPr>
            </w:pPr>
            <w:r>
              <w:rPr>
                <w:rFonts w:ascii="Courier New" w:cs="Courier New" w:eastAsia="Courier New" w:hAnsi="Courier New"/>
                <w:sz w:val="16"/>
                <w:szCs w:val="16"/>
                <w:color w:val="auto"/>
                <w:w w:val="99"/>
              </w:rPr>
              <w:t>SIGNATURES</w:t>
            </w:r>
          </w:p>
        </w:tc>
        <w:tc>
          <w:tcPr>
            <w:tcW w:w="2220" w:type="dxa"/>
            <w:vAlign w:val="bottom"/>
          </w:tcPr>
          <w:p>
            <w:pPr>
              <w:ind w:left="580"/>
              <w:spacing w:after="0"/>
              <w:rPr>
                <w:sz w:val="20"/>
                <w:szCs w:val="20"/>
                <w:color w:val="auto"/>
              </w:rPr>
            </w:pPr>
            <w:r>
              <w:rPr>
                <w:rFonts w:ascii="Courier New" w:cs="Courier New" w:eastAsia="Courier New" w:hAnsi="Courier New"/>
                <w:sz w:val="16"/>
                <w:szCs w:val="16"/>
                <w:color w:val="auto"/>
              </w:rPr>
              <w:t>TITLE</w:t>
            </w:r>
          </w:p>
        </w:tc>
        <w:tc>
          <w:tcPr>
            <w:tcW w:w="1440" w:type="dxa"/>
            <w:vAlign w:val="bottom"/>
          </w:tcPr>
          <w:p>
            <w:pPr>
              <w:jc w:val="center"/>
              <w:ind w:left="200"/>
              <w:spacing w:after="0"/>
              <w:rPr>
                <w:sz w:val="20"/>
                <w:szCs w:val="20"/>
                <w:color w:val="auto"/>
              </w:rPr>
            </w:pPr>
            <w:r>
              <w:rPr>
                <w:rFonts w:ascii="Courier New" w:cs="Courier New" w:eastAsia="Courier New" w:hAnsi="Courier New"/>
                <w:sz w:val="16"/>
                <w:szCs w:val="16"/>
                <w:color w:val="auto"/>
              </w:rPr>
              <w:t>DATE</w:t>
            </w:r>
          </w:p>
        </w:tc>
      </w:tr>
      <w:tr>
        <w:trPr>
          <w:trHeight w:val="185"/>
        </w:trPr>
        <w:tc>
          <w:tcPr>
            <w:tcW w:w="3740" w:type="dxa"/>
            <w:vAlign w:val="bottom"/>
          </w:tcPr>
          <w:p>
            <w:pPr>
              <w:jc w:val="center"/>
              <w:ind w:right="220"/>
              <w:spacing w:after="0"/>
              <w:rPr>
                <w:sz w:val="20"/>
                <w:szCs w:val="20"/>
                <w:color w:val="auto"/>
              </w:rPr>
            </w:pPr>
            <w:r>
              <w:rPr>
                <w:rFonts w:ascii="Courier New" w:cs="Courier New" w:eastAsia="Courier New" w:hAnsi="Courier New"/>
                <w:sz w:val="16"/>
                <w:szCs w:val="16"/>
                <w:color w:val="auto"/>
                <w:w w:val="99"/>
              </w:rPr>
              <w:t>----------</w:t>
            </w:r>
          </w:p>
        </w:tc>
        <w:tc>
          <w:tcPr>
            <w:tcW w:w="222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370"/>
        </w:trPr>
        <w:tc>
          <w:tcPr>
            <w:tcW w:w="374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Chairman of the</w:t>
            </w:r>
          </w:p>
        </w:tc>
        <w:tc>
          <w:tcPr>
            <w:tcW w:w="1440" w:type="dxa"/>
            <w:vAlign w:val="bottom"/>
          </w:tcPr>
          <w:p>
            <w:pPr>
              <w:jc w:val="center"/>
              <w:ind w:left="200"/>
              <w:spacing w:after="0"/>
              <w:rPr>
                <w:sz w:val="20"/>
                <w:szCs w:val="20"/>
                <w:color w:val="auto"/>
              </w:rPr>
            </w:pPr>
            <w:r>
              <w:rPr>
                <w:rFonts w:ascii="Courier New" w:cs="Courier New" w:eastAsia="Courier New" w:hAnsi="Courier New"/>
                <w:sz w:val="16"/>
                <w:szCs w:val="16"/>
                <w:color w:val="auto"/>
              </w:rPr>
              <w:t>May 30, 1997</w:t>
            </w:r>
          </w:p>
        </w:tc>
      </w:tr>
      <w:tr>
        <w:trPr>
          <w:trHeight w:val="185"/>
        </w:trPr>
        <w:tc>
          <w:tcPr>
            <w:tcW w:w="3740" w:type="dxa"/>
            <w:vAlign w:val="bottom"/>
          </w:tcPr>
          <w:p>
            <w:pPr>
              <w:jc w:val="right"/>
              <w:ind w:right="2120"/>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ind w:left="100"/>
              <w:spacing w:after="0"/>
              <w:rPr>
                <w:sz w:val="20"/>
                <w:szCs w:val="20"/>
                <w:color w:val="auto"/>
              </w:rPr>
            </w:pPr>
            <w:r>
              <w:rPr>
                <w:rFonts w:ascii="Courier New" w:cs="Courier New" w:eastAsia="Courier New" w:hAnsi="Courier New"/>
                <w:sz w:val="16"/>
                <w:szCs w:val="16"/>
                <w:color w:val="auto"/>
              </w:rPr>
              <w:t>Board, Chief</w:t>
            </w:r>
          </w:p>
        </w:tc>
        <w:tc>
          <w:tcPr>
            <w:tcW w:w="1440" w:type="dxa"/>
            <w:vAlign w:val="bottom"/>
          </w:tcPr>
          <w:p>
            <w:pPr>
              <w:spacing w:after="0"/>
              <w:rPr>
                <w:sz w:val="16"/>
                <w:szCs w:val="16"/>
                <w:color w:val="auto"/>
              </w:rPr>
            </w:pP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2220" w:type="dxa"/>
            <w:vAlign w:val="bottom"/>
          </w:tcPr>
          <w:p>
            <w:pPr>
              <w:ind w:left="300"/>
              <w:spacing w:after="0"/>
              <w:rPr>
                <w:sz w:val="20"/>
                <w:szCs w:val="20"/>
                <w:color w:val="auto"/>
              </w:rPr>
            </w:pPr>
            <w:r>
              <w:rPr>
                <w:rFonts w:ascii="Courier New" w:cs="Courier New" w:eastAsia="Courier New" w:hAnsi="Courier New"/>
                <w:sz w:val="16"/>
                <w:szCs w:val="16"/>
                <w:color w:val="auto"/>
              </w:rPr>
              <w:t>Executive Officer</w:t>
            </w:r>
          </w:p>
        </w:tc>
        <w:tc>
          <w:tcPr>
            <w:tcW w:w="1440" w:type="dxa"/>
            <w:vAlign w:val="bottom"/>
          </w:tcPr>
          <w:p>
            <w:pPr>
              <w:spacing w:after="0"/>
              <w:rPr>
                <w:sz w:val="16"/>
                <w:szCs w:val="16"/>
                <w:color w:val="auto"/>
              </w:rPr>
            </w:pPr>
          </w:p>
        </w:tc>
      </w:tr>
      <w:tr>
        <w:trPr>
          <w:trHeight w:val="185"/>
        </w:trPr>
        <w:tc>
          <w:tcPr>
            <w:tcW w:w="3740" w:type="dxa"/>
            <w:vAlign w:val="bottom"/>
          </w:tcPr>
          <w:p>
            <w:pPr>
              <w:jc w:val="center"/>
              <w:ind w:right="200"/>
              <w:spacing w:after="0"/>
              <w:rPr>
                <w:sz w:val="20"/>
                <w:szCs w:val="20"/>
                <w:color w:val="auto"/>
              </w:rPr>
            </w:pPr>
            <w:r>
              <w:rPr>
                <w:rFonts w:ascii="Courier New" w:cs="Courier New" w:eastAsia="Courier New" w:hAnsi="Courier New"/>
                <w:sz w:val="16"/>
                <w:szCs w:val="16"/>
                <w:color w:val="auto"/>
              </w:rPr>
              <w:t>STEVEN R. APPLETON</w:t>
            </w:r>
          </w:p>
        </w:tc>
        <w:tc>
          <w:tcPr>
            <w:tcW w:w="2220" w:type="dxa"/>
            <w:vAlign w:val="bottom"/>
          </w:tcPr>
          <w:p>
            <w:pPr>
              <w:ind w:left="100"/>
              <w:spacing w:after="0"/>
              <w:rPr>
                <w:sz w:val="20"/>
                <w:szCs w:val="20"/>
                <w:color w:val="auto"/>
              </w:rPr>
            </w:pPr>
            <w:r>
              <w:rPr>
                <w:rFonts w:ascii="Courier New" w:cs="Courier New" w:eastAsia="Courier New" w:hAnsi="Courier New"/>
                <w:sz w:val="16"/>
                <w:szCs w:val="16"/>
                <w:color w:val="auto"/>
              </w:rPr>
              <w:t>and President</w:t>
            </w:r>
          </w:p>
        </w:tc>
        <w:tc>
          <w:tcPr>
            <w:tcW w:w="1440" w:type="dxa"/>
            <w:vAlign w:val="bottom"/>
          </w:tcPr>
          <w:p>
            <w:pPr>
              <w:spacing w:after="0"/>
              <w:rPr>
                <w:sz w:val="16"/>
                <w:szCs w:val="16"/>
                <w:color w:val="auto"/>
              </w:rPr>
            </w:pPr>
          </w:p>
        </w:tc>
      </w:tr>
      <w:tr>
        <w:trPr>
          <w:trHeight w:val="554"/>
        </w:trPr>
        <w:tc>
          <w:tcPr>
            <w:tcW w:w="3740" w:type="dxa"/>
            <w:vAlign w:val="bottom"/>
          </w:tcPr>
          <w:p>
            <w:pPr>
              <w:jc w:val="center"/>
              <w:ind w:right="100"/>
              <w:spacing w:after="0"/>
              <w:rPr>
                <w:sz w:val="20"/>
                <w:szCs w:val="20"/>
                <w:color w:val="auto"/>
              </w:rPr>
            </w:pPr>
            <w:r>
              <w:rPr>
                <w:rFonts w:ascii="Courier New" w:cs="Courier New" w:eastAsia="Courier New" w:hAnsi="Courier New"/>
                <w:sz w:val="16"/>
                <w:szCs w:val="16"/>
                <w:color w:val="auto"/>
                <w:w w:val="99"/>
              </w:rPr>
              <w:t>/s/ Wilbur G. Stover, Jr.</w:t>
            </w: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Vice President of</w:t>
            </w:r>
          </w:p>
        </w:tc>
        <w:tc>
          <w:tcPr>
            <w:tcW w:w="1440" w:type="dxa"/>
            <w:vAlign w:val="bottom"/>
          </w:tcPr>
          <w:p>
            <w:pPr>
              <w:jc w:val="center"/>
              <w:ind w:left="200"/>
              <w:spacing w:after="0"/>
              <w:rPr>
                <w:sz w:val="20"/>
                <w:szCs w:val="20"/>
                <w:color w:val="auto"/>
              </w:rPr>
            </w:pPr>
            <w:r>
              <w:rPr>
                <w:rFonts w:ascii="Courier New" w:cs="Courier New" w:eastAsia="Courier New" w:hAnsi="Courier New"/>
                <w:sz w:val="16"/>
                <w:szCs w:val="16"/>
                <w:color w:val="auto"/>
              </w:rPr>
              <w:t>May 30, 1997</w:t>
            </w:r>
          </w:p>
        </w:tc>
      </w:tr>
      <w:tr>
        <w:trPr>
          <w:trHeight w:val="185"/>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2220" w:type="dxa"/>
            <w:vAlign w:val="bottom"/>
          </w:tcPr>
          <w:p>
            <w:pPr>
              <w:ind w:left="300"/>
              <w:spacing w:after="0"/>
              <w:rPr>
                <w:sz w:val="20"/>
                <w:szCs w:val="20"/>
                <w:color w:val="auto"/>
              </w:rPr>
            </w:pPr>
            <w:r>
              <w:rPr>
                <w:rFonts w:ascii="Courier New" w:cs="Courier New" w:eastAsia="Courier New" w:hAnsi="Courier New"/>
                <w:sz w:val="16"/>
                <w:szCs w:val="16"/>
                <w:color w:val="auto"/>
              </w:rPr>
              <w:t>Finance and Chief</w:t>
            </w:r>
          </w:p>
        </w:tc>
        <w:tc>
          <w:tcPr>
            <w:tcW w:w="1440" w:type="dxa"/>
            <w:vAlign w:val="bottom"/>
          </w:tcPr>
          <w:p>
            <w:pPr>
              <w:spacing w:after="0"/>
              <w:rPr>
                <w:sz w:val="16"/>
                <w:szCs w:val="16"/>
                <w:color w:val="auto"/>
              </w:rPr>
            </w:pPr>
          </w:p>
        </w:tc>
      </w:tr>
      <w:tr>
        <w:trPr>
          <w:trHeight w:val="185"/>
        </w:trPr>
        <w:tc>
          <w:tcPr>
            <w:tcW w:w="374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WILBUR G. STOVER, JR.</w:t>
            </w:r>
          </w:p>
        </w:tc>
        <w:tc>
          <w:tcPr>
            <w:tcW w:w="2220" w:type="dxa"/>
            <w:vAlign w:val="bottom"/>
          </w:tcPr>
          <w:p>
            <w:pPr>
              <w:ind w:left="100"/>
              <w:spacing w:after="0"/>
              <w:rPr>
                <w:sz w:val="20"/>
                <w:szCs w:val="20"/>
                <w:color w:val="auto"/>
              </w:rPr>
            </w:pPr>
            <w:r>
              <w:rPr>
                <w:rFonts w:ascii="Courier New" w:cs="Courier New" w:eastAsia="Courier New" w:hAnsi="Courier New"/>
                <w:sz w:val="16"/>
                <w:szCs w:val="16"/>
                <w:color w:val="auto"/>
              </w:rPr>
              <w:t>Financial Officer</w:t>
            </w:r>
          </w:p>
        </w:tc>
        <w:tc>
          <w:tcPr>
            <w:tcW w:w="1440" w:type="dxa"/>
            <w:vAlign w:val="bottom"/>
          </w:tcPr>
          <w:p>
            <w:pPr>
              <w:spacing w:after="0"/>
              <w:rPr>
                <w:sz w:val="16"/>
                <w:szCs w:val="16"/>
                <w:color w:val="auto"/>
              </w:rPr>
            </w:pPr>
          </w:p>
        </w:tc>
      </w:tr>
      <w:tr>
        <w:trPr>
          <w:trHeight w:val="185"/>
        </w:trPr>
        <w:tc>
          <w:tcPr>
            <w:tcW w:w="3740" w:type="dxa"/>
            <w:vAlign w:val="bottom"/>
          </w:tcPr>
          <w:p>
            <w:pPr>
              <w:spacing w:after="0"/>
              <w:rPr>
                <w:sz w:val="16"/>
                <w:szCs w:val="16"/>
                <w:color w:val="auto"/>
              </w:rPr>
            </w:pPr>
          </w:p>
        </w:tc>
        <w:tc>
          <w:tcPr>
            <w:tcW w:w="2220" w:type="dxa"/>
            <w:vAlign w:val="bottom"/>
          </w:tcPr>
          <w:p>
            <w:pPr>
              <w:ind w:left="100"/>
              <w:spacing w:after="0"/>
              <w:rPr>
                <w:sz w:val="20"/>
                <w:szCs w:val="20"/>
                <w:color w:val="auto"/>
              </w:rPr>
            </w:pPr>
            <w:r>
              <w:rPr>
                <w:rFonts w:ascii="Courier New" w:cs="Courier New" w:eastAsia="Courier New" w:hAnsi="Courier New"/>
                <w:sz w:val="16"/>
                <w:szCs w:val="16"/>
                <w:color w:val="auto"/>
              </w:rPr>
              <w:t>(Principal</w:t>
            </w:r>
          </w:p>
        </w:tc>
        <w:tc>
          <w:tcPr>
            <w:tcW w:w="1440" w:type="dxa"/>
            <w:vAlign w:val="bottom"/>
          </w:tcPr>
          <w:p>
            <w:pPr>
              <w:spacing w:after="0"/>
              <w:rPr>
                <w:sz w:val="16"/>
                <w:szCs w:val="16"/>
                <w:color w:val="auto"/>
              </w:rPr>
            </w:pPr>
          </w:p>
        </w:tc>
      </w:tr>
      <w:tr>
        <w:trPr>
          <w:trHeight w:val="185"/>
        </w:trPr>
        <w:tc>
          <w:tcPr>
            <w:tcW w:w="3740" w:type="dxa"/>
            <w:vAlign w:val="bottom"/>
          </w:tcPr>
          <w:p>
            <w:pPr>
              <w:spacing w:after="0"/>
              <w:rPr>
                <w:sz w:val="16"/>
                <w:szCs w:val="16"/>
                <w:color w:val="auto"/>
              </w:rPr>
            </w:pPr>
          </w:p>
        </w:tc>
        <w:tc>
          <w:tcPr>
            <w:tcW w:w="2220" w:type="dxa"/>
            <w:vAlign w:val="bottom"/>
          </w:tcPr>
          <w:p>
            <w:pPr>
              <w:ind w:left="100"/>
              <w:spacing w:after="0"/>
              <w:rPr>
                <w:sz w:val="20"/>
                <w:szCs w:val="20"/>
                <w:color w:val="auto"/>
              </w:rPr>
            </w:pPr>
            <w:r>
              <w:rPr>
                <w:rFonts w:ascii="Courier New" w:cs="Courier New" w:eastAsia="Courier New" w:hAnsi="Courier New"/>
                <w:sz w:val="16"/>
                <w:szCs w:val="16"/>
                <w:color w:val="auto"/>
              </w:rPr>
              <w:t>Financial and</w:t>
            </w:r>
          </w:p>
        </w:tc>
        <w:tc>
          <w:tcPr>
            <w:tcW w:w="1440" w:type="dxa"/>
            <w:vAlign w:val="bottom"/>
          </w:tcPr>
          <w:p>
            <w:pPr>
              <w:spacing w:after="0"/>
              <w:rPr>
                <w:sz w:val="16"/>
                <w:szCs w:val="16"/>
                <w:color w:val="auto"/>
              </w:rPr>
            </w:pPr>
          </w:p>
        </w:tc>
      </w:tr>
      <w:tr>
        <w:trPr>
          <w:trHeight w:val="185"/>
        </w:trPr>
        <w:tc>
          <w:tcPr>
            <w:tcW w:w="3740" w:type="dxa"/>
            <w:vAlign w:val="bottom"/>
          </w:tcPr>
          <w:p>
            <w:pPr>
              <w:spacing w:after="0"/>
              <w:rPr>
                <w:sz w:val="16"/>
                <w:szCs w:val="16"/>
                <w:color w:val="auto"/>
              </w:rPr>
            </w:pPr>
          </w:p>
        </w:tc>
        <w:tc>
          <w:tcPr>
            <w:tcW w:w="2220" w:type="dxa"/>
            <w:vAlign w:val="bottom"/>
          </w:tcPr>
          <w:p>
            <w:pPr>
              <w:ind w:left="100"/>
              <w:spacing w:after="0"/>
              <w:rPr>
                <w:sz w:val="20"/>
                <w:szCs w:val="20"/>
                <w:color w:val="auto"/>
              </w:rPr>
            </w:pPr>
            <w:r>
              <w:rPr>
                <w:rFonts w:ascii="Courier New" w:cs="Courier New" w:eastAsia="Courier New" w:hAnsi="Courier New"/>
                <w:sz w:val="16"/>
                <w:szCs w:val="16"/>
                <w:color w:val="auto"/>
              </w:rPr>
              <w:t>Accounting Officer)</w:t>
            </w:r>
          </w:p>
        </w:tc>
        <w:tc>
          <w:tcPr>
            <w:tcW w:w="1440" w:type="dxa"/>
            <w:vAlign w:val="bottom"/>
          </w:tcPr>
          <w:p>
            <w:pPr>
              <w:spacing w:after="0"/>
              <w:rPr>
                <w:sz w:val="16"/>
                <w:szCs w:val="16"/>
                <w:color w:val="auto"/>
              </w:rPr>
            </w:pPr>
          </w:p>
        </w:tc>
      </w:tr>
      <w:tr>
        <w:trPr>
          <w:trHeight w:val="739"/>
        </w:trPr>
        <w:tc>
          <w:tcPr>
            <w:tcW w:w="3740" w:type="dxa"/>
            <w:vAlign w:val="bottom"/>
          </w:tcPr>
          <w:p>
            <w:pPr>
              <w:jc w:val="right"/>
              <w:ind w:right="2120"/>
              <w:spacing w:after="0"/>
              <w:rPr>
                <w:sz w:val="20"/>
                <w:szCs w:val="20"/>
                <w:color w:val="auto"/>
              </w:rPr>
            </w:pPr>
            <w:r>
              <w:rPr>
                <w:rFonts w:ascii="Courier New" w:cs="Courier New" w:eastAsia="Courier New" w:hAnsi="Courier New"/>
                <w:sz w:val="16"/>
                <w:szCs w:val="16"/>
                <w:color w:val="auto"/>
              </w:rPr>
              <w:t>*</w:t>
            </w: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440" w:type="dxa"/>
            <w:vAlign w:val="bottom"/>
          </w:tcPr>
          <w:p>
            <w:pPr>
              <w:jc w:val="center"/>
              <w:ind w:left="200"/>
              <w:spacing w:after="0"/>
              <w:rPr>
                <w:sz w:val="20"/>
                <w:szCs w:val="20"/>
                <w:color w:val="auto"/>
              </w:rPr>
            </w:pPr>
            <w:r>
              <w:rPr>
                <w:rFonts w:ascii="Courier New" w:cs="Courier New" w:eastAsia="Courier New" w:hAnsi="Courier New"/>
                <w:sz w:val="16"/>
                <w:szCs w:val="16"/>
                <w:color w:val="auto"/>
              </w:rPr>
              <w:t>May 30, 1997</w:t>
            </w:r>
          </w:p>
        </w:tc>
      </w:tr>
    </w:tbl>
    <w:p>
      <w:pPr>
        <w:spacing w:after="0" w:line="4" w:lineRule="exact"/>
        <w:rPr>
          <w:sz w:val="20"/>
          <w:szCs w:val="20"/>
          <w:color w:val="auto"/>
        </w:rPr>
      </w:pPr>
    </w:p>
    <w:p>
      <w:pPr>
        <w:ind w:left="201" w:hanging="201"/>
        <w:spacing w:after="0"/>
        <w:tabs>
          <w:tab w:leader="none" w:pos="20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JERRY M. HESS</w:t>
      </w:r>
    </w:p>
    <w:p>
      <w:pPr>
        <w:spacing w:after="0" w:line="200" w:lineRule="exact"/>
        <w:rPr>
          <w:sz w:val="20"/>
          <w:szCs w:val="20"/>
          <w:color w:val="auto"/>
        </w:rPr>
      </w:pPr>
    </w:p>
    <w:p>
      <w:pPr>
        <w:spacing w:after="0" w:line="358" w:lineRule="exact"/>
        <w:rPr>
          <w:sz w:val="20"/>
          <w:szCs w:val="20"/>
          <w:color w:val="auto"/>
        </w:rPr>
      </w:pPr>
    </w:p>
    <w:p>
      <w:pPr>
        <w:ind w:left="1441"/>
        <w:spacing w:after="0"/>
        <w:tabs>
          <w:tab w:leader="none" w:pos="3721" w:val="left"/>
          <w:tab w:leader="none" w:pos="622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May 30, 1997</w:t>
      </w:r>
    </w:p>
    <w:p>
      <w:pPr>
        <w:spacing w:after="0" w:line="4" w:lineRule="exact"/>
        <w:rPr>
          <w:sz w:val="20"/>
          <w:szCs w:val="20"/>
          <w:color w:val="auto"/>
        </w:rPr>
      </w:pPr>
    </w:p>
    <w:p>
      <w:pPr>
        <w:ind w:left="201" w:hanging="201"/>
        <w:spacing w:after="0"/>
        <w:tabs>
          <w:tab w:leader="none" w:pos="20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0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LOTHROP</w:t>
      </w:r>
    </w:p>
    <w:p>
      <w:pPr>
        <w:spacing w:after="0" w:line="373" w:lineRule="exact"/>
        <w:rPr>
          <w:sz w:val="20"/>
          <w:szCs w:val="20"/>
          <w:color w:val="auto"/>
        </w:rPr>
      </w:pPr>
    </w:p>
    <w:p>
      <w:pPr>
        <w:ind w:left="1441"/>
        <w:spacing w:after="0"/>
        <w:tabs>
          <w:tab w:leader="none" w:pos="3721" w:val="left"/>
          <w:tab w:leader="none" w:pos="622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May 30, 1997</w:t>
      </w:r>
    </w:p>
    <w:p>
      <w:pPr>
        <w:spacing w:after="0" w:line="4" w:lineRule="exact"/>
        <w:rPr>
          <w:sz w:val="20"/>
          <w:szCs w:val="20"/>
          <w:color w:val="auto"/>
        </w:rPr>
      </w:pPr>
    </w:p>
    <w:p>
      <w:pPr>
        <w:ind w:left="201" w:hanging="201"/>
        <w:spacing w:after="0"/>
        <w:tabs>
          <w:tab w:leader="none" w:pos="20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THOMAS T. NICHOLSON</w:t>
      </w:r>
    </w:p>
    <w:p>
      <w:pPr>
        <w:spacing w:after="0" w:line="200" w:lineRule="exact"/>
        <w:rPr>
          <w:sz w:val="20"/>
          <w:szCs w:val="20"/>
          <w:color w:val="auto"/>
        </w:rPr>
      </w:pPr>
    </w:p>
    <w:p>
      <w:pPr>
        <w:spacing w:after="0" w:line="358" w:lineRule="exact"/>
        <w:rPr>
          <w:sz w:val="20"/>
          <w:szCs w:val="20"/>
          <w:color w:val="auto"/>
        </w:rPr>
      </w:pPr>
    </w:p>
    <w:p>
      <w:pPr>
        <w:ind w:left="1441"/>
        <w:spacing w:after="0"/>
        <w:tabs>
          <w:tab w:leader="none" w:pos="3721" w:val="left"/>
          <w:tab w:leader="none" w:pos="622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May 30, 1997</w:t>
      </w:r>
    </w:p>
    <w:p>
      <w:pPr>
        <w:spacing w:after="0" w:line="4" w:lineRule="exact"/>
        <w:rPr>
          <w:sz w:val="20"/>
          <w:szCs w:val="20"/>
          <w:color w:val="auto"/>
        </w:rPr>
      </w:pPr>
    </w:p>
    <w:p>
      <w:pPr>
        <w:ind w:left="201" w:hanging="201"/>
        <w:spacing w:after="0"/>
        <w:tabs>
          <w:tab w:leader="none" w:pos="20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0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DON J. SIMPLOT</w:t>
      </w:r>
    </w:p>
    <w:p>
      <w:pPr>
        <w:spacing w:after="0" w:line="200" w:lineRule="exact"/>
        <w:rPr>
          <w:sz w:val="20"/>
          <w:szCs w:val="20"/>
          <w:color w:val="auto"/>
        </w:rPr>
      </w:pPr>
    </w:p>
    <w:p>
      <w:pPr>
        <w:spacing w:after="0" w:line="358"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21"/>
          </w:cols>
          <w:pgMar w:left="239" w:top="669" w:right="1440" w:bottom="1440" w:gutter="0" w:footer="0" w:header="0"/>
        </w:sectPr>
      </w:pPr>
    </w:p>
    <w:bookmarkStart w:id="26" w:name="page27"/>
    <w:bookmarkEnd w:id="26"/>
    <w:p>
      <w:pPr>
        <w:ind w:left="1241"/>
        <w:spacing w:after="0"/>
        <w:rPr>
          <w:sz w:val="20"/>
          <w:szCs w:val="20"/>
          <w:color w:val="auto"/>
        </w:rPr>
      </w:pPr>
      <w:r>
        <w:rPr>
          <w:rFonts w:ascii="Courier New" w:cs="Courier New" w:eastAsia="Courier New" w:hAnsi="Courier New"/>
          <w:sz w:val="16"/>
          <w:szCs w:val="16"/>
          <w:color w:val="auto"/>
        </w:rPr>
        <w:t>SIGNATURES</w:t>
      </w:r>
    </w:p>
    <w:p>
      <w:pPr>
        <w:spacing w:after="0" w:line="5" w:lineRule="exact"/>
        <w:rPr>
          <w:sz w:val="20"/>
          <w:szCs w:val="20"/>
          <w:color w:val="auto"/>
        </w:rPr>
      </w:pPr>
    </w:p>
    <w:p>
      <w:pPr>
        <w:ind w:left="1241"/>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601" w:space="720"/>
            <w:col w:w="1580" w:space="720"/>
            <w:col w:w="3599"/>
          </w:cols>
          <w:pgMar w:left="239" w:top="1408" w:right="1440" w:bottom="1440" w:gutter="0" w:footer="0" w:header="0"/>
        </w:sectPr>
      </w:pPr>
    </w:p>
    <w:p>
      <w:pPr>
        <w:spacing w:after="0" w:line="358" w:lineRule="exact"/>
        <w:rPr>
          <w:sz w:val="20"/>
          <w:szCs w:val="20"/>
          <w:color w:val="auto"/>
        </w:rPr>
      </w:pPr>
    </w:p>
    <w:p>
      <w:pPr>
        <w:ind w:left="144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30, 1997</w:t>
      </w:r>
    </w:p>
    <w:p>
      <w:pPr>
        <w:spacing w:after="0" w:line="4" w:lineRule="exact"/>
        <w:rPr>
          <w:sz w:val="20"/>
          <w:szCs w:val="20"/>
          <w:color w:val="auto"/>
        </w:rPr>
      </w:pPr>
    </w:p>
    <w:p>
      <w:pPr>
        <w:sectPr>
          <w:pgSz w:w="11900" w:h="16838" w:orient="portrait"/>
          <w:cols w:equalWidth="0" w:num="3">
            <w:col w:w="3021" w:space="720"/>
            <w:col w:w="1680" w:space="720"/>
            <w:col w:w="4079"/>
          </w:cols>
          <w:pgMar w:left="239" w:top="1408" w:right="1440" w:bottom="1440" w:gutter="0" w:footer="0" w:header="0"/>
          <w:type w:val="continuous"/>
        </w:sectPr>
      </w:pPr>
    </w:p>
    <w:p>
      <w:pPr>
        <w:ind w:left="201" w:hanging="201"/>
        <w:spacing w:after="0"/>
        <w:tabs>
          <w:tab w:leader="none" w:pos="20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0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R. SIMPLOT</w:t>
      </w:r>
    </w:p>
    <w:p>
      <w:pPr>
        <w:spacing w:after="0" w:line="200" w:lineRule="exact"/>
        <w:rPr>
          <w:sz w:val="20"/>
          <w:szCs w:val="20"/>
          <w:color w:val="auto"/>
        </w:rPr>
      </w:pPr>
    </w:p>
    <w:p>
      <w:pPr>
        <w:spacing w:after="0" w:line="358" w:lineRule="exact"/>
        <w:rPr>
          <w:sz w:val="20"/>
          <w:szCs w:val="20"/>
          <w:color w:val="auto"/>
        </w:rPr>
      </w:pPr>
    </w:p>
    <w:p>
      <w:pPr>
        <w:jc w:val="both"/>
        <w:ind w:left="1441"/>
        <w:spacing w:after="0"/>
        <w:tabs>
          <w:tab w:leader="none" w:pos="3721" w:val="left"/>
          <w:tab w:leader="none" w:pos="612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May 30, 1997</w:t>
      </w:r>
    </w:p>
    <w:p>
      <w:pPr>
        <w:spacing w:after="0" w:line="4" w:lineRule="exact"/>
        <w:rPr>
          <w:sz w:val="20"/>
          <w:szCs w:val="20"/>
          <w:color w:val="auto"/>
        </w:rPr>
      </w:pPr>
    </w:p>
    <w:p>
      <w:pPr>
        <w:ind w:left="201" w:hanging="201"/>
        <w:spacing w:after="0"/>
        <w:tabs>
          <w:tab w:leader="none" w:pos="20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0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GORDON C. SMITH</w:t>
      </w:r>
    </w:p>
    <w:p>
      <w:pPr>
        <w:spacing w:after="0" w:line="200" w:lineRule="exact"/>
        <w:rPr>
          <w:sz w:val="20"/>
          <w:szCs w:val="20"/>
          <w:color w:val="auto"/>
        </w:rPr>
      </w:pPr>
    </w:p>
    <w:p>
      <w:pPr>
        <w:spacing w:after="0" w:line="358" w:lineRule="exact"/>
        <w:rPr>
          <w:sz w:val="20"/>
          <w:szCs w:val="20"/>
          <w:color w:val="auto"/>
        </w:rPr>
      </w:pPr>
    </w:p>
    <w:p>
      <w:pPr>
        <w:ind w:left="1"/>
        <w:spacing w:after="0"/>
        <w:tabs>
          <w:tab w:leader="none" w:pos="561" w:val="left"/>
        </w:tabs>
        <w:rPr>
          <w:sz w:val="20"/>
          <w:szCs w:val="20"/>
          <w:color w:val="auto"/>
        </w:rPr>
      </w:pPr>
      <w:r>
        <w:rPr>
          <w:rFonts w:ascii="Courier New" w:cs="Courier New" w:eastAsia="Courier New" w:hAnsi="Courier New"/>
          <w:sz w:val="16"/>
          <w:szCs w:val="16"/>
          <w:color w:val="auto"/>
        </w:rPr>
        <w:t>*By:</w:t>
        <w:tab/>
        <w:t>/s/ Wilbur G. Stover, Jr.</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WILBUR G. STOVER, JR.</w:t>
      </w:r>
    </w:p>
    <w:p>
      <w:pPr>
        <w:spacing w:after="0" w:line="4"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ATTORNEY-IN-FACT</w:t>
      </w:r>
    </w:p>
    <w:p>
      <w:pPr>
        <w:spacing w:after="0" w:line="37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21"/>
          </w:cols>
          <w:pgMar w:left="239" w:top="1408" w:right="1440" w:bottom="1440" w:gutter="0" w:footer="0" w:header="0"/>
          <w:type w:val="continuous"/>
        </w:sectPr>
      </w:pPr>
    </w:p>
    <w:bookmarkStart w:id="27" w:name="page28"/>
    <w:bookmarkEnd w:id="27"/>
    <w:tbl>
      <w:tblPr>
        <w:tblLayout w:type="fixed"/>
        <w:tblInd w:w="100" w:type="dxa"/>
        <w:tblCellMar>
          <w:top w:w="0" w:type="dxa"/>
          <w:left w:w="0" w:type="dxa"/>
          <w:bottom w:w="0" w:type="dxa"/>
          <w:right w:w="0" w:type="dxa"/>
        </w:tblCellMar>
      </w:tblPr>
      <w:tr>
        <w:trPr>
          <w:trHeight w:val="181"/>
        </w:trPr>
        <w:tc>
          <w:tcPr>
            <w:tcW w:w="7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660" w:type="dxa"/>
            <w:vAlign w:val="bottom"/>
          </w:tcPr>
          <w:p>
            <w:pPr>
              <w:ind w:left="140"/>
              <w:spacing w:after="0"/>
              <w:rPr>
                <w:sz w:val="20"/>
                <w:szCs w:val="20"/>
                <w:color w:val="auto"/>
              </w:rPr>
            </w:pPr>
            <w:r>
              <w:rPr>
                <w:rFonts w:ascii="Courier New" w:cs="Courier New" w:eastAsia="Courier New" w:hAnsi="Courier New"/>
                <w:sz w:val="16"/>
                <w:szCs w:val="16"/>
                <w:color w:val="auto"/>
              </w:rPr>
              <w:t>INDEX TO EXHIBITS</w:t>
            </w:r>
          </w:p>
        </w:tc>
      </w:tr>
      <w:tr>
        <w:trPr>
          <w:trHeight w:val="739"/>
        </w:trPr>
        <w:tc>
          <w:tcPr>
            <w:tcW w:w="7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20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2020" w:type="dxa"/>
            <w:vAlign w:val="bottom"/>
          </w:tcPr>
          <w:p>
            <w:pPr>
              <w:spacing w:after="0"/>
              <w:rPr>
                <w:sz w:val="16"/>
                <w:szCs w:val="16"/>
                <w:color w:val="auto"/>
              </w:rPr>
            </w:pPr>
          </w:p>
        </w:tc>
        <w:tc>
          <w:tcPr>
            <w:tcW w:w="4660" w:type="dxa"/>
            <w:vAlign w:val="bottom"/>
          </w:tcPr>
          <w:p>
            <w:pPr>
              <w:ind w:left="720"/>
              <w:spacing w:after="0"/>
              <w:rPr>
                <w:sz w:val="20"/>
                <w:szCs w:val="20"/>
                <w:color w:val="auto"/>
              </w:rPr>
            </w:pPr>
            <w:r>
              <w:rPr>
                <w:rFonts w:ascii="Courier New" w:cs="Courier New" w:eastAsia="Courier New" w:hAnsi="Courier New"/>
                <w:sz w:val="16"/>
                <w:szCs w:val="16"/>
                <w:color w:val="auto"/>
              </w:rPr>
              <w:t>EXHIBIT TABLE</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spacing w:after="0"/>
              <w:rPr>
                <w:sz w:val="16"/>
                <w:szCs w:val="16"/>
                <w:color w:val="auto"/>
              </w:rPr>
            </w:pPr>
          </w:p>
        </w:tc>
        <w:tc>
          <w:tcPr>
            <w:tcW w:w="4660" w:type="dxa"/>
            <w:vAlign w:val="bottom"/>
          </w:tcPr>
          <w:p>
            <w:pPr>
              <w:ind w:left="720"/>
              <w:spacing w:after="0"/>
              <w:rPr>
                <w:sz w:val="20"/>
                <w:szCs w:val="20"/>
                <w:color w:val="auto"/>
              </w:rPr>
            </w:pPr>
            <w:r>
              <w:rPr>
                <w:rFonts w:ascii="Courier New" w:cs="Courier New" w:eastAsia="Courier New" w:hAnsi="Courier New"/>
                <w:sz w:val="16"/>
                <w:szCs w:val="16"/>
                <w:color w:val="auto"/>
              </w:rPr>
              <w:t>-------------</w:t>
            </w:r>
          </w:p>
        </w:tc>
      </w:tr>
      <w:tr>
        <w:trPr>
          <w:trHeight w:val="370"/>
        </w:trPr>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Form of Underwriting</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Agreement (Common Stock)</w:t>
            </w:r>
          </w:p>
        </w:tc>
      </w:tr>
      <w:tr>
        <w:trPr>
          <w:trHeight w:val="185"/>
        </w:trPr>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Form of Underwriting</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Agreement (Debt Securities)</w:t>
            </w:r>
          </w:p>
        </w:tc>
      </w:tr>
      <w:tr>
        <w:trPr>
          <w:trHeight w:val="185"/>
        </w:trPr>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Form of Underwriting</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Agreement (Convertible Debt Securities)</w:t>
            </w:r>
          </w:p>
        </w:tc>
      </w:tr>
      <w:tr>
        <w:trPr>
          <w:trHeight w:val="185"/>
        </w:trPr>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4.1</w:t>
            </w: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Form of Senior Indenture</w:t>
            </w:r>
          </w:p>
        </w:tc>
      </w:tr>
      <w:tr>
        <w:trPr>
          <w:trHeight w:val="185"/>
        </w:trPr>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4.2</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Form of Subordinated</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Indenture</w:t>
            </w:r>
          </w:p>
        </w:tc>
      </w:tr>
      <w:tr>
        <w:trPr>
          <w:trHeight w:val="185"/>
        </w:trPr>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4.3</w:t>
            </w: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Form of Senior Debt Security (included in Exhibit 4.1)</w:t>
            </w:r>
          </w:p>
        </w:tc>
      </w:tr>
      <w:tr>
        <w:trPr>
          <w:trHeight w:val="185"/>
        </w:trPr>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4.4</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Form of Subordinated</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Debt Security (including in Exhibit 4.2)</w:t>
            </w:r>
          </w:p>
        </w:tc>
      </w:tr>
      <w:tr>
        <w:trPr>
          <w:trHeight w:val="185"/>
        </w:trPr>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5.1</w:t>
            </w: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Opinion of Wilson Sonsini Goodrich &amp; Rosati, Professional Corporation</w:t>
            </w:r>
          </w:p>
        </w:tc>
      </w:tr>
      <w:tr>
        <w:trPr>
          <w:trHeight w:val="185"/>
        </w:trPr>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3"/>
              </w:rPr>
              <w:t>12.1</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Computation of Ratio</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of Earnings to Fixed Charges</w:t>
            </w:r>
          </w:p>
        </w:tc>
      </w:tr>
      <w:tr>
        <w:trPr>
          <w:trHeight w:val="185"/>
        </w:trPr>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3"/>
              </w:rPr>
              <w:t>23.1</w:t>
            </w: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Consent of Coopers &amp;</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Lybrand L.L.P.</w:t>
            </w:r>
          </w:p>
        </w:tc>
      </w:tr>
      <w:tr>
        <w:trPr>
          <w:trHeight w:val="185"/>
        </w:trPr>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3"/>
              </w:rPr>
              <w:t>23.2</w:t>
            </w: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Consent of Wilson Sonsini Goodrich &amp; Rosati, Professional Corporation</w:t>
            </w:r>
          </w:p>
        </w:tc>
      </w:tr>
      <w:tr>
        <w:trPr>
          <w:trHeight w:val="185"/>
        </w:trPr>
        <w:tc>
          <w:tcPr>
            <w:tcW w:w="720" w:type="dxa"/>
            <w:vAlign w:val="bottom"/>
          </w:tcPr>
          <w:p>
            <w:pPr>
              <w:spacing w:after="0"/>
              <w:rPr>
                <w:sz w:val="16"/>
                <w:szCs w:val="16"/>
                <w:color w:val="auto"/>
              </w:rPr>
            </w:pPr>
          </w:p>
        </w:tc>
        <w:tc>
          <w:tcPr>
            <w:tcW w:w="2020" w:type="dxa"/>
            <w:vAlign w:val="bottom"/>
          </w:tcPr>
          <w:p>
            <w:pPr>
              <w:ind w:left="40"/>
              <w:spacing w:after="0"/>
              <w:rPr>
                <w:sz w:val="20"/>
                <w:szCs w:val="20"/>
                <w:color w:val="auto"/>
              </w:rPr>
            </w:pPr>
            <w:r>
              <w:rPr>
                <w:rFonts w:ascii="Courier New" w:cs="Courier New" w:eastAsia="Courier New" w:hAnsi="Courier New"/>
                <w:sz w:val="16"/>
                <w:szCs w:val="16"/>
                <w:color w:val="auto"/>
              </w:rPr>
              <w:t>(included in Exhibit</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5.1)</w:t>
            </w:r>
          </w:p>
        </w:tc>
      </w:tr>
      <w:tr>
        <w:trPr>
          <w:trHeight w:val="185"/>
        </w:trPr>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3"/>
              </w:rPr>
              <w:t>24.1</w:t>
            </w: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Powers of Attorney of certain directors and officers of the Company</w:t>
            </w:r>
          </w:p>
        </w:tc>
      </w:tr>
      <w:tr>
        <w:trPr>
          <w:trHeight w:val="185"/>
        </w:trPr>
        <w:tc>
          <w:tcPr>
            <w:tcW w:w="720" w:type="dxa"/>
            <w:vAlign w:val="bottom"/>
          </w:tcPr>
          <w:p>
            <w:pPr>
              <w:spacing w:after="0"/>
              <w:rPr>
                <w:sz w:val="16"/>
                <w:szCs w:val="16"/>
                <w:color w:val="auto"/>
              </w:rPr>
            </w:pP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(contained on Page II-4)*</w:t>
            </w:r>
          </w:p>
        </w:tc>
      </w:tr>
      <w:tr>
        <w:trPr>
          <w:trHeight w:val="185"/>
        </w:trPr>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3"/>
              </w:rPr>
              <w:t>25.1</w:t>
            </w: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Form T-1 Statement of Eligibility and Qualification of Trustee for</w:t>
            </w:r>
          </w:p>
        </w:tc>
      </w:tr>
      <w:tr>
        <w:trPr>
          <w:trHeight w:val="185"/>
        </w:trPr>
        <w:tc>
          <w:tcPr>
            <w:tcW w:w="720" w:type="dxa"/>
            <w:vAlign w:val="bottom"/>
          </w:tcPr>
          <w:p>
            <w:pPr>
              <w:spacing w:after="0"/>
              <w:rPr>
                <w:sz w:val="16"/>
                <w:szCs w:val="16"/>
                <w:color w:val="auto"/>
              </w:rPr>
            </w:pP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Senior Indenture under the Trust Indenture Act of 1939</w:t>
            </w:r>
          </w:p>
        </w:tc>
      </w:tr>
      <w:tr>
        <w:trPr>
          <w:trHeight w:val="185"/>
        </w:trPr>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3"/>
              </w:rPr>
              <w:t>25.2</w:t>
            </w: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Form T-1 Statement of Eligibility and Qualification of Trustee for</w:t>
            </w:r>
          </w:p>
        </w:tc>
      </w:tr>
      <w:tr>
        <w:trPr>
          <w:trHeight w:val="185"/>
        </w:trPr>
        <w:tc>
          <w:tcPr>
            <w:tcW w:w="720" w:type="dxa"/>
            <w:vAlign w:val="bottom"/>
          </w:tcPr>
          <w:p>
            <w:pPr>
              <w:spacing w:after="0"/>
              <w:rPr>
                <w:sz w:val="16"/>
                <w:szCs w:val="16"/>
                <w:color w:val="auto"/>
              </w:rPr>
            </w:pPr>
          </w:p>
        </w:tc>
        <w:tc>
          <w:tcPr>
            <w:tcW w:w="6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Subordinated Indenture under the Trust Indenture Act of 1939</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Previously filed.</w:t>
      </w:r>
    </w:p>
    <w:p>
      <w:pPr>
        <w:sectPr>
          <w:pgSz w:w="11900" w:h="16838" w:orient="portrait"/>
          <w:cols w:equalWidth="0" w:num="1">
            <w:col w:w="10219"/>
          </w:cols>
          <w:pgMar w:left="240" w:top="669" w:right="1440" w:bottom="1440" w:gutter="0" w:footer="0" w:header="0"/>
        </w:sectPr>
      </w:pPr>
    </w:p>
    <w:bookmarkStart w:id="28" w:name="page29"/>
    <w:bookmarkEnd w:id="28"/>
    <w:p>
      <w:pPr>
        <w:jc w:val="right"/>
        <w:ind w:right="2539"/>
        <w:spacing w:after="0"/>
        <w:rPr>
          <w:sz w:val="20"/>
          <w:szCs w:val="20"/>
          <w:color w:val="auto"/>
        </w:rPr>
      </w:pPr>
      <w:r>
        <w:rPr>
          <w:rFonts w:ascii="Courier New" w:cs="Courier New" w:eastAsia="Courier New" w:hAnsi="Courier New"/>
          <w:sz w:val="16"/>
          <w:szCs w:val="16"/>
          <w:color w:val="auto"/>
        </w:rPr>
        <w:t>EXHIBIT 1.1</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MICRON TECHNOLOGY, INC.</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COMMON STOCK</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(PAR VALUE $0.10 PER SHARE)</w:t>
      </w:r>
    </w:p>
    <w:p>
      <w:pPr>
        <w:spacing w:after="0" w:line="37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UNDERWRITING AGREEMENT</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__________________, 199__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Representatives of the several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Underwriters named in the respective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Pricing Agreements hereinafter described.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From time to time Micron Technology, Inc., a Delaware corporation (the "Company"), proposes to enter into one or more Pricing Agreements (each a "Pricing Agreement") in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shares of its Common Stock, par value $0.10 per share (the "Shares"), of the Company (with respect to such Pricing Agreement, the "Firm Shares"), pursuant to terms specified in Schedule II to such Pricing Agreement. If specified in such Pricing Agreement, the Company may grant to the Underwriters the right to purchase at their election an additional number of shares, specified in such Pricing Agreement as provided in Section 3 hereof (the "Optional Shares"). The Firm Shares and the Optional Shares, if any, which the Underwriters elect to purchase pursuant to Section 3 hereof are herein collectively called the "Designated Shares."</w:t>
      </w:r>
    </w:p>
    <w:p>
      <w:pPr>
        <w:spacing w:after="0" w:line="193"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The terms and rights of any particular issuance of Designated Shares shall be as specified in the Pricing Agreement relating thereto.</w:t>
      </w:r>
    </w:p>
    <w:p>
      <w:pPr>
        <w:spacing w:after="0" w:line="189" w:lineRule="exact"/>
        <w:rPr>
          <w:sz w:val="20"/>
          <w:szCs w:val="20"/>
          <w:color w:val="auto"/>
        </w:rPr>
      </w:pPr>
    </w:p>
    <w:p>
      <w:pPr>
        <w:ind w:right="2539" w:firstLine="479"/>
        <w:spacing w:after="0" w:line="244" w:lineRule="auto"/>
        <w:tabs>
          <w:tab w:leader="none" w:pos="96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Particular sales of Designated Shares may be made from time to time to the Underwriters of such Shares, for whom the firms designated as representatives of the Underwriters of such Shares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Shares or as an obligation of any of the Underwriters to purchase any of the Shares. The obligation of the Company to issue and sell any of the Shares and the obligation of any of the Underwriters to purchase any of the Shares shall be evidenced by the Pricing Agreement with respect to the Designated Shares specified therein. Each Pricing Agreement shall specify the aggregate number of the Firm Shares, the maximum number of Optional Shares, if any, the initial public offering price of such Firm and Optional Shares or the manner of determining such price, the purchase price to the Underwriters of such Designated Shares, the names of the Underwriters of such Designated Shares, the names of the Representatives of such Underwriters, the number of such Designated Shares to be purchased by each Underwriter and the commission, if any, payable to the Underwriters with respect thereto and shall set forth the date, time and manner of delivery of such Firm and Optional Shares, if any, and payment therefor. The Pricing Agreement shall also</w:t>
      </w:r>
    </w:p>
    <w:p>
      <w:pPr>
        <w:sectPr>
          <w:pgSz w:w="11900" w:h="16838" w:orient="portrait"/>
          <w:cols w:equalWidth="0" w:num="1">
            <w:col w:w="10219"/>
          </w:cols>
          <w:pgMar w:left="240" w:top="509" w:right="1440" w:bottom="1440" w:gutter="0" w:footer="0" w:header="0"/>
        </w:sectPr>
      </w:pPr>
    </w:p>
    <w:bookmarkStart w:id="29" w:name="page30"/>
    <w:bookmarkEnd w:id="29"/>
    <w:p>
      <w:pPr>
        <w:ind w:right="2539"/>
        <w:spacing w:after="0" w:line="263" w:lineRule="auto"/>
        <w:rPr>
          <w:sz w:val="20"/>
          <w:szCs w:val="20"/>
          <w:color w:val="auto"/>
        </w:rPr>
      </w:pPr>
      <w:r>
        <w:rPr>
          <w:rFonts w:ascii="Courier New" w:cs="Courier New" w:eastAsia="Courier New" w:hAnsi="Courier New"/>
          <w:sz w:val="15"/>
          <w:szCs w:val="15"/>
          <w:color w:val="auto"/>
        </w:rPr>
        <w:t>specify (to the extent not set forth in the registration statement and prospectus with respect thereto) the terms of such Designated Shares. A Pricing Agreement shall be in the form of an executed writing (which may be in counterparts), and may be evidenced by an exchange of telegraphic communications or any other rapid transmission device designed to produce a written record of communications transmitted. The obligations of the Underwriters under this Agreement and each Pricing Agreement shall be several and not joint.</w:t>
      </w:r>
    </w:p>
    <w:p>
      <w:pPr>
        <w:spacing w:after="0" w:line="175" w:lineRule="exact"/>
        <w:rPr>
          <w:sz w:val="20"/>
          <w:szCs w:val="20"/>
          <w:color w:val="auto"/>
        </w:rPr>
      </w:pPr>
    </w:p>
    <w:p>
      <w:pPr>
        <w:ind w:right="2639" w:firstLine="479"/>
        <w:spacing w:after="0" w:line="242" w:lineRule="auto"/>
        <w:tabs>
          <w:tab w:leader="none" w:pos="96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Company represents and warrants to, and agrees with, each of the Underwriters that:</w:t>
      </w:r>
    </w:p>
    <w:p>
      <w:pPr>
        <w:spacing w:after="0" w:line="188" w:lineRule="exact"/>
        <w:rPr>
          <w:rFonts w:ascii="Courier New" w:cs="Courier New" w:eastAsia="Courier New" w:hAnsi="Courier New"/>
          <w:sz w:val="16"/>
          <w:szCs w:val="16"/>
          <w:color w:val="auto"/>
        </w:rPr>
      </w:pPr>
    </w:p>
    <w:p>
      <w:pPr>
        <w:ind w:right="2539" w:firstLine="1440"/>
        <w:spacing w:after="0" w:line="261" w:lineRule="auto"/>
        <w:tabs>
          <w:tab w:leader="none" w:pos="2114"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registration statement on Form S-3 (File No. 333-18441) (the "Initial Registration Statement") in respect of the Shares has been filed with the Securities and Exchange Commission (the "Commission"); the Initial Registration Statement and any post-effective amendment thereto, each in the form heretofore delivered or to be delivered to the Representatives and, excluding exhibits to the Initial Registration Statement, but including all documents incorporated by reference in the prospectus included therein, to the Representatives for each of the other Underwriters have been declared effective by the Commission in such form; no other document with respect to the Initial Registration Statement or document incorporated by reference therein has heretofore been filed, or transmitted for filing, with the Commission other than a registration statement, if any, increasing the size of the offering (a "Rule 462(b) Registration Statement"), filed pursuant to Rule 462(b) under the Securities Act of 1933, as amended (the "Act"), which became effective upon filing (and other than prospectuses filed pursuant to Rule 424(b) of the rules and regulations of the Commission under the Act each in the form heretofore delivered to the Representatives); and no stop order suspending the effectiveness of the Initial Registration Statement, any post-effective amendment thereto or the Rule 462(b) Registration Statement, if any, has been issued and no proceeding for that purpose has been initiated or threatened by the Commission (any preliminary prospectus included in such registration statement or filed with the Commission pursuant to Rule 424(a) under the Act, is hereinafter called a "Preliminary Prospectus;" the various parts of the Initial Registration Statement and the Rule 462(b) Registration Statement, if any, including all exhibits thereto and the documents incorporated by reference in the prospectus contained in the Initial Registration Statement at the time such part of the Initial Registration Statement became effective or such part of the Rule 462(b) Registration Statement, if any, became or hereafter becomes effective, each as amended at the time such part of the registration statement became effective, are hereinafter collectively called the "Registration Statement;" the prospectus relating to the Shares, in the form in which it has most recently been filed, or transmitted for filing, with the Commission on or prior to the date of this Agreement, is hereinafter called the "Prospectus;" any reference herein to any Preliminary Prospectus or the Prospectus shall be deemed to refer to and include the documents incorporated by reference therein pursuant to the applicable form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and any reference to the Prospectus as amended or supplemented shall be deemed to refer to the Prospectus as amended or supplemented in relation to the applicable Designated Shares in the form in which it is filed with the Commission pursuant to Rule 424(b) under the Act in accordance with Section 5(a) hereof, including any documents incorporated by reference therein as of the date of such filing);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30" w:name="page31"/>
    <w:bookmarkEnd w:id="30"/>
    <w:p>
      <w:pPr>
        <w:ind w:left="-1200" w:right="2539" w:firstLine="1440"/>
        <w:spacing w:after="0" w:line="244" w:lineRule="auto"/>
        <w:tabs>
          <w:tab w:leader="none" w:pos="101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Shares through the Representatives expressly for use in the Prospectus as amended or supplemented relating to such Shares;</w:t>
      </w:r>
    </w:p>
    <w:p>
      <w:pPr>
        <w:spacing w:after="0" w:line="194" w:lineRule="exact"/>
        <w:rPr>
          <w:rFonts w:ascii="Courier New" w:cs="Courier New" w:eastAsia="Courier New" w:hAnsi="Courier New"/>
          <w:sz w:val="16"/>
          <w:szCs w:val="16"/>
          <w:color w:val="auto"/>
        </w:rPr>
      </w:pPr>
    </w:p>
    <w:p>
      <w:pPr>
        <w:ind w:left="-1200" w:right="2539" w:firstLine="1440"/>
        <w:spacing w:after="0" w:line="244" w:lineRule="auto"/>
        <w:tabs>
          <w:tab w:leader="none" w:pos="101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conform, and any further amendments or supplements to the Registration Statement or the Prospectus will conform, in all material respects to the requirements of the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Shares through the Representatives expressly for use in the Prospectus as amended or supplemented relating to such Shares;</w:t>
      </w:r>
    </w:p>
    <w:p>
      <w:pPr>
        <w:spacing w:after="0" w:line="191" w:lineRule="exact"/>
        <w:rPr>
          <w:rFonts w:ascii="Courier New" w:cs="Courier New" w:eastAsia="Courier New" w:hAnsi="Courier New"/>
          <w:sz w:val="16"/>
          <w:szCs w:val="16"/>
          <w:color w:val="auto"/>
        </w:rPr>
      </w:pPr>
    </w:p>
    <w:p>
      <w:pPr>
        <w:ind w:left="-1200" w:right="2539" w:firstLine="1440"/>
        <w:spacing w:after="0" w:line="244" w:lineRule="auto"/>
        <w:tabs>
          <w:tab w:leader="none" w:pos="101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material change in the capital stock or long-term debt of the Company or any of its subsidiaries or any material adverse change, or any development that would reasonably be expected to cause a prospective material adverse change, in the general affairs, management, financial position, shareholders' equity or results of operations of the Company and its subsidiaries, otherwise than as set forth or contemplated in the Prospectus;</w:t>
      </w:r>
    </w:p>
    <w:p>
      <w:pPr>
        <w:spacing w:after="0" w:line="191" w:lineRule="exact"/>
        <w:rPr>
          <w:rFonts w:ascii="Courier New" w:cs="Courier New" w:eastAsia="Courier New" w:hAnsi="Courier New"/>
          <w:sz w:val="16"/>
          <w:szCs w:val="16"/>
          <w:color w:val="auto"/>
        </w:rPr>
      </w:pPr>
    </w:p>
    <w:p>
      <w:pPr>
        <w:ind w:left="-1200" w:right="2719" w:firstLine="1440"/>
        <w:spacing w:after="0" w:line="243" w:lineRule="auto"/>
        <w:tabs>
          <w:tab w:leader="none" w:pos="101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validly existing as a corporation in good standing under the laws of the State of Delaware, with power and authority (corporate and other) to own its properties and conduct its business as described in the Prospectus;</w:t>
      </w:r>
    </w:p>
    <w:p>
      <w:pPr>
        <w:spacing w:after="0" w:line="189" w:lineRule="exact"/>
        <w:rPr>
          <w:rFonts w:ascii="Courier New" w:cs="Courier New" w:eastAsia="Courier New" w:hAnsi="Courier New"/>
          <w:sz w:val="16"/>
          <w:szCs w:val="16"/>
          <w:color w:val="auto"/>
        </w:rPr>
      </w:pPr>
    </w:p>
    <w:p>
      <w:pPr>
        <w:ind w:left="-1200" w:right="2539" w:firstLine="1440"/>
        <w:spacing w:after="0" w:line="243" w:lineRule="auto"/>
        <w:tabs>
          <w:tab w:leader="none" w:pos="101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an authorized capitalization as set forth in the Prospectus, and all of the issued shares of capital stock of the Company have been duly and validly authorized and issued and are fully paid and non-assessable;</w:t>
      </w:r>
    </w:p>
    <w:p>
      <w:pPr>
        <w:spacing w:after="0" w:line="188"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671" w:right="1440" w:bottom="1440" w:gutter="0" w:footer="0" w:header="0"/>
        </w:sectPr>
      </w:pPr>
    </w:p>
    <w:bookmarkStart w:id="31" w:name="page32"/>
    <w:bookmarkEnd w:id="31"/>
    <w:p>
      <w:pPr>
        <w:ind w:left="-1200" w:right="2539" w:firstLine="1440"/>
        <w:spacing w:after="0" w:line="244" w:lineRule="auto"/>
        <w:tabs>
          <w:tab w:leader="none" w:pos="101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Firm Shares are issued and delivered pursuant to this Agreement and the Pricing Agreement with respect to such Designated Shares and, in the case of any Optional Shares, pursuant to Overallotment Option (as defined in Section 3 hereof) with respect to such Shares, such Designated Shares will have been duly and validly authorized and will be duly and validly issued and fully paid and non-assessable; the Shares conform in all material respects to the description thereof contained in the Registration Statement and the Designated Shares will conform in all material respects to the description thereof contained in the Prospectus as amended or supplemented with respect to such Designated Shares;</w:t>
      </w:r>
    </w:p>
    <w:p>
      <w:pPr>
        <w:spacing w:after="0" w:line="189" w:lineRule="exact"/>
        <w:rPr>
          <w:rFonts w:ascii="Courier New" w:cs="Courier New" w:eastAsia="Courier New" w:hAnsi="Courier New"/>
          <w:sz w:val="16"/>
          <w:szCs w:val="16"/>
          <w:color w:val="auto"/>
        </w:rPr>
      </w:pPr>
    </w:p>
    <w:p>
      <w:pPr>
        <w:ind w:left="-1200" w:right="2539" w:firstLine="1440"/>
        <w:spacing w:after="0" w:line="244" w:lineRule="auto"/>
        <w:tabs>
          <w:tab w:leader="none" w:pos="101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Shares and the compliance by the Company with its obligations pursuant to this Agreement, any Pricing Agreement and each Overallotment Option, if any, will not result in a breach or violation of any of the terms or provisions of, or constitute a default under, any material indenture, mortgage, deed of trust, loan agreement or other agreement or instrument to which the Company is a party or by which the Company is bound or to which any of the property or assets of the Company is subject, nor will such action result in any violation of the provisions of the Certificate of Incorporation or By-laws of the Company or any statute or any order, rule or regulation of any court or governmental agency or body having jurisdiction over the Company or any of its properties except where such conflict breach, violation or default would not have a material adverse effect on the Company's business and results of operations; and no consent, approval, authorization, order, registration or qualification of or with any such court or governmental agency or body is required for the issue and sale of the Shares or the performance by the Company of its obligations pursuant to this Agreement or any Pricing Agreement or any Overallotment Option, except such as have been, or will have been prior to each Time of Delivery (as defined in Section 4 hereof), obtained under the Act and such consents, approvals, authorizations, registrations or qualifications as may be required under state securities or Blue Sky laws in connection with the purchase and distribution of the Shares by the Underwriter and except where the failure to obtain such consents would not have a material adverse effect on the Company's business and results of operations.</w:t>
      </w:r>
    </w:p>
    <w:p>
      <w:pPr>
        <w:spacing w:after="0" w:line="196" w:lineRule="exact"/>
        <w:rPr>
          <w:rFonts w:ascii="Courier New" w:cs="Courier New" w:eastAsia="Courier New" w:hAnsi="Courier New"/>
          <w:sz w:val="16"/>
          <w:szCs w:val="16"/>
          <w:color w:val="auto"/>
        </w:rPr>
      </w:pPr>
    </w:p>
    <w:p>
      <w:pPr>
        <w:ind w:left="-1200" w:right="2719" w:firstLine="1440"/>
        <w:spacing w:after="0" w:line="244" w:lineRule="auto"/>
        <w:tabs>
          <w:tab w:leader="none" w:pos="101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have a material adverse effect on the current or future consolidated financial position, shareholders' equity or results of operations of the Company and its subsidiaries; and, to the best of the Company's knowledge, no such proceedings are threatened by governmental authorities or by others;</w:t>
      </w:r>
    </w:p>
    <w:p>
      <w:pPr>
        <w:spacing w:after="0" w:line="189" w:lineRule="exact"/>
        <w:rPr>
          <w:rFonts w:ascii="Courier New" w:cs="Courier New" w:eastAsia="Courier New" w:hAnsi="Courier New"/>
          <w:sz w:val="16"/>
          <w:szCs w:val="16"/>
          <w:color w:val="auto"/>
        </w:rPr>
      </w:pPr>
    </w:p>
    <w:p>
      <w:pPr>
        <w:ind w:left="-1200" w:right="2539" w:firstLine="1440"/>
        <w:spacing w:after="0" w:line="244" w:lineRule="auto"/>
        <w:tabs>
          <w:tab w:leader="none" w:pos="101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in violation of its Certificate of Incorporation or By-laws or, in any material respect,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 where such violation or default would be reasonably expected to have a material adverse effect on the Company's business and results of operations;</w:t>
      </w:r>
    </w:p>
    <w:p>
      <w:pPr>
        <w:spacing w:after="0" w:line="188" w:lineRule="exact"/>
        <w:rPr>
          <w:rFonts w:ascii="Courier New" w:cs="Courier New" w:eastAsia="Courier New" w:hAnsi="Courier New"/>
          <w:sz w:val="16"/>
          <w:szCs w:val="16"/>
          <w:color w:val="auto"/>
        </w:rPr>
      </w:pPr>
    </w:p>
    <w:p>
      <w:pPr>
        <w:ind w:left="-1200" w:right="2539" w:firstLine="1440"/>
        <w:spacing w:after="0" w:line="244" w:lineRule="auto"/>
        <w:tabs>
          <w:tab w:leader="none" w:pos="101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set forth in the Prospectus under the caption "Description of Capital Stock," insofar as they purport to constitute a summary of the terms of the Company's Common Stock, and under the caption "Plan of Distribution," insofar as they purport to describe the provisions of the laws and documents referred to therein, fairly summarize such terms, laws and documents in all material respects;</w:t>
      </w:r>
    </w:p>
    <w:p>
      <w:pPr>
        <w:spacing w:after="0" w:line="187" w:lineRule="exact"/>
        <w:rPr>
          <w:rFonts w:ascii="Courier New" w:cs="Courier New" w:eastAsia="Courier New" w:hAnsi="Courier New"/>
          <w:sz w:val="16"/>
          <w:szCs w:val="16"/>
          <w:color w:val="auto"/>
        </w:rPr>
      </w:pPr>
    </w:p>
    <w:p>
      <w:pPr>
        <w:ind w:left="-1200" w:right="2539" w:firstLine="1440"/>
        <w:spacing w:after="0" w:line="243" w:lineRule="auto"/>
        <w:tabs>
          <w:tab w:leader="none" w:pos="101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and, after giving effect to the offering and sale of the Shares, will not be an "investment company" or an entity "controlled" by an "investment company", as such terms are defined in the Investment Company Act of 1940, as amended (the "Investment Company Act");</w:t>
      </w:r>
    </w:p>
    <w:p>
      <w:pPr>
        <w:spacing w:after="0" w:line="188"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671" w:right="1440" w:bottom="1440" w:gutter="0" w:footer="0" w:header="0"/>
        </w:sectPr>
      </w:pPr>
    </w:p>
    <w:bookmarkStart w:id="32" w:name="page33"/>
    <w:bookmarkEnd w:id="32"/>
    <w:p>
      <w:pPr>
        <w:ind w:right="2539" w:firstLine="1440"/>
        <w:spacing w:after="0" w:line="243" w:lineRule="auto"/>
        <w:tabs>
          <w:tab w:leader="none" w:pos="221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Coopers &amp; Lybrand, L.L.P., who have certified certain financial statements of the Company and its subsidiaries, are independent public accountants as required by the Act and the rules and regulations of the Commission thereunder;</w:t>
      </w:r>
    </w:p>
    <w:p>
      <w:pPr>
        <w:spacing w:after="0" w:line="189" w:lineRule="exact"/>
        <w:rPr>
          <w:rFonts w:ascii="Courier New" w:cs="Courier New" w:eastAsia="Courier New" w:hAnsi="Courier New"/>
          <w:sz w:val="16"/>
          <w:szCs w:val="16"/>
          <w:color w:val="auto"/>
        </w:rPr>
      </w:pPr>
    </w:p>
    <w:p>
      <w:pPr>
        <w:ind w:right="2539" w:firstLine="1440"/>
        <w:spacing w:after="0" w:line="244" w:lineRule="auto"/>
        <w:tabs>
          <w:tab w:leader="none" w:pos="221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Prospectus, the Company and its subsidiaries own or possess or believe they can acquire on commercially reasonable terms adequate licenses or other rights to use all patents, trademarks, service marks, trade names, copyrights, mask work rights, technology and know-how necessary to conduct the business now or proposed to be conducted by the Company and its subsidiaries as described in the Prospectus, and except as disclosed in the Prospectus the Company has not received any notice of infringement of or conflict with (and knows of no such infringement of or conflict with) asserted rights of others with respect to any patents, trademarks, service marks, trade names, copyrights, mask work rights or know-how which would reasonably be expected to result in any material adverse effect upon the Company and its subsidiaries, taken as a whole; and</w:t>
      </w:r>
    </w:p>
    <w:p>
      <w:pPr>
        <w:spacing w:after="0" w:line="190" w:lineRule="exact"/>
        <w:rPr>
          <w:rFonts w:ascii="Courier New" w:cs="Courier New" w:eastAsia="Courier New" w:hAnsi="Courier New"/>
          <w:sz w:val="16"/>
          <w:szCs w:val="16"/>
          <w:color w:val="auto"/>
        </w:rPr>
      </w:pPr>
    </w:p>
    <w:p>
      <w:pPr>
        <w:ind w:right="2639" w:firstLine="1440"/>
        <w:spacing w:after="0" w:line="262" w:lineRule="auto"/>
        <w:tabs>
          <w:tab w:leader="none" w:pos="221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obtained any permits, consents and authorizations required to be obtained by them under laws or regulations relating to the protection of the environment or concerning the handling, storage, disposal or discharge of toxic materials (collectively "Environmental Laws"), and any such permits, consents and authorizations remain in full force and effect. The Company and its subsidiaries are in compliance with the Environmental Laws in all material respects, and there is no pending or, to the Company's knowledge, threatened, action or proceeding against the Company and its subsidiaries alleging violations of the Environmental laws.</w:t>
      </w:r>
    </w:p>
    <w:p>
      <w:pPr>
        <w:spacing w:after="0" w:line="178" w:lineRule="exact"/>
        <w:rPr>
          <w:sz w:val="20"/>
          <w:szCs w:val="20"/>
          <w:color w:val="auto"/>
        </w:rPr>
      </w:pPr>
    </w:p>
    <w:p>
      <w:pPr>
        <w:ind w:right="2539" w:firstLine="479"/>
        <w:spacing w:after="0" w:line="244" w:lineRule="auto"/>
        <w:tabs>
          <w:tab w:leader="none" w:pos="96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execution of the Pricing Agreement applicable to any Designated Shares and authorization by the Representatives of the release of the Firm Shares, the several Underwriters propose to offer the Firm Shares for sale upon the terms and conditions set forth in the Prospectus as amended or supplemented.</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may specify in the Pricing Agreement applicable to any Designated Shares that the Company thereby grants to the Underwriters the right (an "Overallotment Option") to purchase at their election up to the number of Optional Shares set forth in such Pricing Agreement, on the terms set forth in the paragraph above, for the sole purpose of covering over-allotments in the sale of the Firm Shares. Any such election to purchase Optional Shares may be exercised by written notice from the Representatives to the Company given within a period specified in the Pricing Agreement, setting forth the aggregate number of Optional Shares to be purchased and the date on which such Optional Shares are to be delivered, as determined by the Representatives but in no event earlier than the First Time of Delivery (as defined in Section 4 hereof) or, unless the Representatives and the Company otherwise agree in writing, earlier than or later than the respective number of business days after the date of such notice set forth in such Pricing Agreement.</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number of Optional Shares to be added to the number of Firm Shares to be purchased by each Underwriter as set forth in Schedule I to the Pricing Agreement applicable to such Designated Shares shall be, in each case, the number of Optional Shares which the Company has been advised by the Representatives have been attributed to such Underwriter; provided that, if the Company has not been so advised, the number of Optional Shares to be so added shall be, in each case, that proportion of Optional Shares which the number of Firm Shares to be purchased by such Underwriter under such Pricing Agreement bears to the aggregate number of Firm Shares (rounded as the Representatives may determine to the nearest 100 shares). The total number of Designated Shares to be purchased by all the Underwriters pursuant to such Pricing Agreement shall be the aggregate number of Firm Shares set forth in Schedule I to such Pricing Agreement plus the aggregate number of Optional Shares which the Underwriters elect to purchase.</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33" w:name="page34"/>
    <w:bookmarkEnd w:id="33"/>
    <w:p>
      <w:pPr>
        <w:ind w:left="1" w:right="2639" w:firstLine="479"/>
        <w:spacing w:after="0" w:line="260" w:lineRule="auto"/>
        <w:tabs>
          <w:tab w:leader="none" w:pos="962"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for the Firm Shares and the Optional Shares to be purchased by each Underwriter pursuant to the Pricing Agreement relating thereto, in the form specified in such Pricing Agreement and in such authorized denominations and registered in such names as the Representatives may request upon at least forty-eight hours' prior notice to the Company shall be delivered by or on behalf of the Company to the Representatives for the account of such Underwriter, against payment by such Underwriter or on its behalf of the purchase price therefor by certified or official bank check or checks, payable to the order of the Company in the funds specified in such Pricing Agreement,</w:t>
      </w:r>
    </w:p>
    <w:p>
      <w:pPr>
        <w:spacing w:after="0" w:line="6"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Firm Shares, all in the manner and at the place and time and date specified in such Pricing Agreement or at such other place and time and date as the Representatives and the Company may agree upon in writing, such time and date being herein called the "First Time of Delivery" and (ii) with respect to the Optional Shares, if any, in the manner and at the time and date specified by the Representatives in the written notice given by the Representatives of the Underwriters' election to purchase such Optional Shares, or at such other time and date as the Representatives and the Company may agree upon in writing, such time and date, if not the First Time of Delivery, herein called the "Second Time of Delivery." Each such time and date for delivery is herein called a "Time of Delivery."</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with each of the Underwriters of any Designated</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Shares:</w:t>
      </w:r>
    </w:p>
    <w:p>
      <w:pPr>
        <w:spacing w:after="0" w:line="190" w:lineRule="exact"/>
        <w:rPr>
          <w:rFonts w:ascii="Courier New" w:cs="Courier New" w:eastAsia="Courier New" w:hAnsi="Courier New"/>
          <w:sz w:val="16"/>
          <w:szCs w:val="16"/>
          <w:color w:val="auto"/>
        </w:rPr>
      </w:pPr>
    </w:p>
    <w:p>
      <w:pPr>
        <w:ind w:left="1" w:right="2539" w:firstLine="959"/>
        <w:spacing w:after="0" w:line="261" w:lineRule="auto"/>
        <w:tabs>
          <w:tab w:leader="none" w:pos="1443" w:val="left"/>
        </w:tabs>
        <w:numPr>
          <w:ilvl w:val="2"/>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prepare the Prospectus as amended and supplemented in relation to the applicable Designated Shares in a form approved by the Representatives and to file such Prospectus pursuant to Rule 424(b) under the Act not later than the Commission's close of business on the second business day following the execution and delivery of the Pricing Agreement relating to the applicable Designated Shares or, if applicable, such earlier time as may be required by Rule 424(b); to make no further amendment or any supplement to the Registration Statement or Prospectus as amended or supplemented after the date of the Pricing Agreement relating to such Shares and prior to any Time of Delivery for such Shares which shall be disapproved by the Representatives for such Shares promptly after reasonable notice thereof; to advise the Representatives promptly of any such amendment or supplement after any Time of Delivery for such Shares and furnish the Representatives with copies thereof; to file promptly all reports and any definitive proxy or information statements required to be filed by the Company with the Commission pursuant to Sections 13(a), 13(c), 14 or 15(d) of the Exchange Act for so long as the delivery of a prospectus is required in connection with the offering or sale of such Shares,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Shares, of the suspension of the qualification of such Shares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Shares or suspending any such qualification, promptly to use its reasonable efforts to obtain the withdrawal of such order;</w:t>
      </w:r>
    </w:p>
    <w:p>
      <w:pPr>
        <w:spacing w:after="0" w:line="369" w:lineRule="exact"/>
        <w:rPr>
          <w:rFonts w:ascii="Courier New" w:cs="Courier New" w:eastAsia="Courier New" w:hAnsi="Courier New"/>
          <w:sz w:val="15"/>
          <w:szCs w:val="15"/>
          <w:color w:val="auto"/>
        </w:rPr>
      </w:pPr>
    </w:p>
    <w:p>
      <w:pPr>
        <w:ind w:left="1" w:right="2539" w:firstLine="959"/>
        <w:spacing w:after="0" w:line="244" w:lineRule="auto"/>
        <w:tabs>
          <w:tab w:leader="none" w:pos="1443"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from time to time to take such action as the Representatives may reasonably request to qualify such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Shares, provided that in connection therewith the Company shall not be required to qualify as a foreign corporation or to file a general consent to service of process in any jurisdiction;</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671" w:right="1440" w:bottom="1440" w:gutter="0" w:footer="0" w:header="0"/>
        </w:sectPr>
      </w:pPr>
    </w:p>
    <w:bookmarkStart w:id="34" w:name="page35"/>
    <w:bookmarkEnd w:id="34"/>
    <w:p>
      <w:pPr>
        <w:ind w:left="1" w:right="2539" w:firstLine="959"/>
        <w:spacing w:after="0" w:line="244" w:lineRule="auto"/>
        <w:tabs>
          <w:tab w:leader="none" w:pos="1443"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or prior to 3:00 p.m., New York City time, on the New York Business Day immediately following the date of the Pricing Agreement and from time to time, to furnish the Underwriters with copies of the Prospectus in New York City as amended or supplemented in such quantities as the Representatives may reasonably request, and, if the delivery of a prospectus is required at any time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194" w:lineRule="exact"/>
        <w:rPr>
          <w:rFonts w:ascii="Courier New" w:cs="Courier New" w:eastAsia="Courier New" w:hAnsi="Courier New"/>
          <w:sz w:val="16"/>
          <w:szCs w:val="16"/>
          <w:color w:val="auto"/>
        </w:rPr>
      </w:pPr>
    </w:p>
    <w:p>
      <w:pPr>
        <w:ind w:left="1" w:right="2539" w:firstLine="959"/>
        <w:spacing w:after="0" w:line="244" w:lineRule="auto"/>
        <w:tabs>
          <w:tab w:leader="none" w:pos="1443"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generally available to its security holders as soon as practicable, but in any event not later than eighteen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88" w:lineRule="exact"/>
        <w:rPr>
          <w:rFonts w:ascii="Courier New" w:cs="Courier New" w:eastAsia="Courier New" w:hAnsi="Courier New"/>
          <w:sz w:val="16"/>
          <w:szCs w:val="16"/>
          <w:color w:val="auto"/>
        </w:rPr>
      </w:pPr>
    </w:p>
    <w:p>
      <w:pPr>
        <w:ind w:left="1" w:right="2539" w:firstLine="959"/>
        <w:spacing w:after="0" w:line="262" w:lineRule="auto"/>
        <w:tabs>
          <w:tab w:leader="none" w:pos="1443" w:val="left"/>
        </w:tabs>
        <w:numPr>
          <w:ilvl w:val="2"/>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beginning from the date of the Pricing Agreement and continuing to and including the date 90 days after the date of such Pricing Agreement, not to offer, sell, contract to sell or otherwise dispose of, except as provided hereunder, any securities of the Company that are substantially similar to the Designated Shares, including but not limited to any securities that are convertible into or exchangeable for, or that represent the right to receive, Stock or any such substantially similar securities (other than pursuant to employee stock option plans or employee stock purchase plans existing on, or upon the conversion of convertible or exchangeable securities outstanding as of, the date of the Pricing Agreement for such Designated Shares and other than in connection with the acquisition of one or more corporations or entities (including, without limitation, subsidiaries of the Company)) without the prior written consent of the Representatives; and</w:t>
      </w:r>
    </w:p>
    <w:p>
      <w:pPr>
        <w:spacing w:after="0" w:line="175" w:lineRule="exact"/>
        <w:rPr>
          <w:rFonts w:ascii="Courier New" w:cs="Courier New" w:eastAsia="Courier New" w:hAnsi="Courier New"/>
          <w:sz w:val="15"/>
          <w:szCs w:val="15"/>
          <w:color w:val="auto"/>
        </w:rPr>
      </w:pPr>
    </w:p>
    <w:p>
      <w:pPr>
        <w:ind w:left="1" w:right="2539" w:firstLine="959"/>
        <w:spacing w:after="0" w:line="244" w:lineRule="auto"/>
        <w:tabs>
          <w:tab w:leader="none" w:pos="1443"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elects to rely upon Rule 462(b), the Company shall file a Rule 462(b) Registration Statement with the Commission in compliance with Rule 462(b) by 10:00 p.m., Washington, D.C. time, on the date of the Pricing Agreement, and the Company shall at the time of filing either pay to the Commission the filing fee for the Rule 462(b) Registration Statement or give irrevocable instructions for the payment of such fee pursuant to Rule 111(b) under the Act.</w:t>
      </w:r>
    </w:p>
    <w:p>
      <w:pPr>
        <w:spacing w:after="0" w:line="186"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with the several Underwriters that</w:t>
      </w:r>
    </w:p>
    <w:p>
      <w:pPr>
        <w:spacing w:after="0" w:line="5" w:lineRule="exact"/>
        <w:rPr>
          <w:rFonts w:ascii="Courier New" w:cs="Courier New" w:eastAsia="Courier New" w:hAnsi="Courier New"/>
          <w:sz w:val="16"/>
          <w:szCs w:val="16"/>
          <w:color w:val="auto"/>
        </w:rPr>
      </w:pPr>
    </w:p>
    <w:p>
      <w:pPr>
        <w:ind w:left="1" w:right="2639" w:hanging="1"/>
        <w:spacing w:after="0" w:line="244" w:lineRule="auto"/>
        <w:tabs>
          <w:tab w:leader="none" w:pos="38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pay or cause to be paid the following: (i) the fees, disbursements and expenses of the Company's counsel and accountants in connection with the registration of the Shares under the Act and all other expenses in connection with the preparation, printing and filing of the Registration Statement, any Preliminary Prospectus and the Prospectus and amendments and supplements thereto and the mailing and delivering of copies thereof to the Underwriters and dealers; (ii) the cost of printing or producing any Agreement among Underwriters, this Agreement, any Pricing Agreement, any Blue Sky Memorandum, closing documents (including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reasonable fees and disbursements of counsel for the Underwriters in connection with such qualification and in connection with the Blue Sky survey(s); (iv) all fees and</w:t>
      </w:r>
    </w:p>
    <w:p>
      <w:pPr>
        <w:spacing w:after="0" w:line="190"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9" w:top="671" w:right="1440" w:bottom="1440" w:gutter="0" w:footer="0" w:header="0"/>
        </w:sectPr>
      </w:pPr>
    </w:p>
    <w:bookmarkStart w:id="35" w:name="page36"/>
    <w:bookmarkEnd w:id="35"/>
    <w:p>
      <w:pPr>
        <w:ind w:left="1" w:right="2539"/>
        <w:spacing w:after="0" w:line="260" w:lineRule="auto"/>
        <w:rPr>
          <w:sz w:val="20"/>
          <w:szCs w:val="20"/>
          <w:color w:val="auto"/>
        </w:rPr>
      </w:pPr>
      <w:r>
        <w:rPr>
          <w:rFonts w:ascii="Courier New" w:cs="Courier New" w:eastAsia="Courier New" w:hAnsi="Courier New"/>
          <w:sz w:val="15"/>
          <w:szCs w:val="15"/>
          <w:color w:val="auto"/>
        </w:rPr>
        <w:t>expenses in connection with listing the Designated Shares on the New York Stock Exchange; (v) the cost of preparing certificates for the Shares; (vi) the cost and charges of any transfer agent or registrar or dividend disbursing agent; and</w:t>
      </w:r>
    </w:p>
    <w:p>
      <w:pPr>
        <w:spacing w:after="0" w:line="2" w:lineRule="exact"/>
        <w:rPr>
          <w:sz w:val="20"/>
          <w:szCs w:val="20"/>
          <w:color w:val="auto"/>
        </w:rPr>
      </w:pPr>
    </w:p>
    <w:p>
      <w:pPr>
        <w:ind w:left="1" w:right="2539" w:hanging="1"/>
        <w:spacing w:after="0" w:line="263" w:lineRule="auto"/>
        <w:tabs>
          <w:tab w:leader="none" w:pos="57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costs and expenses incident to the performance of its obligations hereunder and under any Overallotment Option which are not otherwise specifically provided for in this Section 6. It is understood, however, that except as provided in this Section 6, and Sections 8 and 11 hereof, the Underwriters will pay all of their own costs and expenses, including the fees of their counsel, transfer taxes on resale of any of the Shares by them, and any advertising expenses connected with any offers they may make.</w:t>
      </w:r>
    </w:p>
    <w:p>
      <w:pPr>
        <w:spacing w:after="0" w:line="174" w:lineRule="exact"/>
        <w:rPr>
          <w:rFonts w:ascii="Courier New" w:cs="Courier New" w:eastAsia="Courier New" w:hAnsi="Courier New"/>
          <w:sz w:val="15"/>
          <w:szCs w:val="15"/>
          <w:color w:val="auto"/>
        </w:rPr>
      </w:pPr>
    </w:p>
    <w:p>
      <w:pPr>
        <w:ind w:left="1" w:right="2539" w:firstLine="479"/>
        <w:spacing w:after="0" w:line="262" w:lineRule="auto"/>
        <w:tabs>
          <w:tab w:leader="none" w:pos="962"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Underwriters of any Designated Shares under the Pricing Agreement relating to such Designated Shares shall be subject, in the discretion of the Representatives, to the condition that all representations and warranties and other statements of the Company in or incorporated by reference in the Pricing Agreement relating to such Designated Shares are, at and as of each Time of Delivery for such Designated Shares, true and correct, the condition that the Company shall have performed all of its obligations hereunder theretofore to be performed, and the following additional conditions:</w:t>
      </w:r>
    </w:p>
    <w:p>
      <w:pPr>
        <w:spacing w:after="0" w:line="178" w:lineRule="exact"/>
        <w:rPr>
          <w:rFonts w:ascii="Courier New" w:cs="Courier New" w:eastAsia="Courier New" w:hAnsi="Courier New"/>
          <w:sz w:val="15"/>
          <w:szCs w:val="15"/>
          <w:color w:val="auto"/>
        </w:rPr>
      </w:pPr>
    </w:p>
    <w:p>
      <w:pPr>
        <w:ind w:left="1" w:right="2539" w:firstLine="959"/>
        <w:spacing w:after="0" w:line="244" w:lineRule="auto"/>
        <w:tabs>
          <w:tab w:leader="none" w:pos="1443" w:val="left"/>
        </w:tabs>
        <w:numPr>
          <w:ilvl w:val="2"/>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Prospectus as amended or supplemented in relation to such Designated Shares shall have been filed with the Commission pursuant to Rule 424(b) within the applicable time period prescribed for such filing by the rules and regulations under the Act and in accordance with Section 5(a) hereof; if the Company has elected to rely upon Rule 462(b), the Rule 462(b) Registration Statement shall have become effective by 10:00 p.m., Washington, D.C. time, on the date of the Pricing Agreement;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190" w:lineRule="exact"/>
        <w:rPr>
          <w:rFonts w:ascii="Courier New" w:cs="Courier New" w:eastAsia="Courier New" w:hAnsi="Courier New"/>
          <w:sz w:val="16"/>
          <w:szCs w:val="16"/>
          <w:color w:val="auto"/>
        </w:rPr>
      </w:pPr>
    </w:p>
    <w:p>
      <w:pPr>
        <w:ind w:left="1" w:right="2719" w:firstLine="959"/>
        <w:spacing w:after="0" w:line="244" w:lineRule="auto"/>
        <w:tabs>
          <w:tab w:leader="none" w:pos="1443" w:val="left"/>
        </w:tabs>
        <w:numPr>
          <w:ilvl w:val="2"/>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Counsel for the Underwriters shall have furnished to the Representatives such opinion or opinions, dated each Time of Delivery for such Designated Shares, with respect to such matters as the Representatives may reasonably request, and such counsel shall have received such papers and information as they may reasonably request to enable them to pass upon such matters;</w:t>
      </w:r>
    </w:p>
    <w:p>
      <w:pPr>
        <w:spacing w:after="0" w:line="187" w:lineRule="exact"/>
        <w:rPr>
          <w:rFonts w:ascii="Courier New" w:cs="Courier New" w:eastAsia="Courier New" w:hAnsi="Courier New"/>
          <w:sz w:val="16"/>
          <w:szCs w:val="16"/>
          <w:color w:val="auto"/>
        </w:rPr>
      </w:pPr>
    </w:p>
    <w:p>
      <w:pPr>
        <w:ind w:left="1" w:right="2539" w:firstLine="959"/>
        <w:spacing w:after="0" w:line="244" w:lineRule="auto"/>
        <w:tabs>
          <w:tab w:leader="none" w:pos="1443" w:val="left"/>
        </w:tabs>
        <w:numPr>
          <w:ilvl w:val="2"/>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Wilson Sonsini Goodrich &amp; Rosati, Professional Corporation, counsel for the Company, shall have furnished to the Representatives their written opinion, dated each Time of Delivery for such Designated Shares, in form and substance reasonably satisfactory to the Representatives, to the effect that:</w:t>
      </w:r>
    </w:p>
    <w:p>
      <w:pPr>
        <w:spacing w:after="0" w:line="187" w:lineRule="exact"/>
        <w:rPr>
          <w:rFonts w:ascii="Courier New" w:cs="Courier New" w:eastAsia="Courier New" w:hAnsi="Courier New"/>
          <w:sz w:val="16"/>
          <w:szCs w:val="16"/>
          <w:color w:val="auto"/>
        </w:rPr>
      </w:pPr>
    </w:p>
    <w:p>
      <w:pPr>
        <w:ind w:left="1" w:right="2639" w:firstLine="1440"/>
        <w:spacing w:after="0" w:line="243" w:lineRule="auto"/>
        <w:tabs>
          <w:tab w:leader="none" w:pos="2211" w:val="left"/>
        </w:tabs>
        <w:numPr>
          <w:ilvl w:val="3"/>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Pricing Agreement with respect to the Designated Shares have been duly authorized, executed and delivered by the Company;</w:t>
      </w:r>
    </w:p>
    <w:p>
      <w:pPr>
        <w:spacing w:after="0" w:line="188" w:lineRule="exact"/>
        <w:rPr>
          <w:rFonts w:ascii="Courier New" w:cs="Courier New" w:eastAsia="Courier New" w:hAnsi="Courier New"/>
          <w:sz w:val="16"/>
          <w:szCs w:val="16"/>
          <w:color w:val="auto"/>
        </w:rPr>
      </w:pPr>
    </w:p>
    <w:p>
      <w:pPr>
        <w:ind w:left="1" w:right="2539" w:firstLine="1440"/>
        <w:spacing w:after="0" w:line="244" w:lineRule="auto"/>
        <w:tabs>
          <w:tab w:leader="none" w:pos="2211" w:val="left"/>
        </w:tabs>
        <w:numPr>
          <w:ilvl w:val="3"/>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no consent, approval, authorization, order, registration or qualification of or with any court or governmental agency or body is required for the issue and sale of the Designated Shares being delivered at such Time of Delivery or the performance by the Company of its obligations set forth in this Agreement or such Pricing Agreement, except such as have been obtained under the Act and such consents, approvals, authorizations, registrations or qualifications as may be required under state securities or Blue Sky laws in connection with the purchase and distribution of the Designated Shares by the Underwriters;</w:t>
      </w:r>
    </w:p>
    <w:p>
      <w:pPr>
        <w:spacing w:after="0" w:line="189" w:lineRule="exact"/>
        <w:rPr>
          <w:rFonts w:ascii="Courier New" w:cs="Courier New" w:eastAsia="Courier New" w:hAnsi="Courier New"/>
          <w:sz w:val="16"/>
          <w:szCs w:val="16"/>
          <w:color w:val="auto"/>
        </w:rPr>
      </w:pPr>
    </w:p>
    <w:p>
      <w:pPr>
        <w:ind w:left="1" w:right="2639" w:firstLine="1440"/>
        <w:spacing w:after="0" w:line="243" w:lineRule="auto"/>
        <w:tabs>
          <w:tab w:leader="none" w:pos="2211" w:val="left"/>
        </w:tabs>
        <w:numPr>
          <w:ilvl w:val="3"/>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set forth in the Prospectus under the caption "Description of Capital Stock," insofar as they purport to constitute a summary of the terms of the Company's Common Stock fairly summarize such terms in all material respects;</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9" w:top="671" w:right="1440" w:bottom="1440" w:gutter="0" w:footer="0" w:header="0"/>
        </w:sectPr>
      </w:pPr>
    </w:p>
    <w:bookmarkStart w:id="36" w:name="page37"/>
    <w:bookmarkEnd w:id="36"/>
    <w:p>
      <w:pPr>
        <w:ind w:left="1" w:right="2819" w:firstLine="1440"/>
        <w:spacing w:after="0" w:line="243" w:lineRule="auto"/>
        <w:tabs>
          <w:tab w:leader="none" w:pos="221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the Company is not an "Investment Company" or an entity "controlled" by an "Investment Company," as such terms are defined in the Investment Company Act;</w:t>
      </w:r>
    </w:p>
    <w:p>
      <w:pPr>
        <w:spacing w:after="0" w:line="188" w:lineRule="exact"/>
        <w:rPr>
          <w:rFonts w:ascii="Courier New" w:cs="Courier New" w:eastAsia="Courier New" w:hAnsi="Courier New"/>
          <w:sz w:val="16"/>
          <w:szCs w:val="16"/>
          <w:color w:val="auto"/>
        </w:rPr>
      </w:pPr>
    </w:p>
    <w:p>
      <w:pPr>
        <w:ind w:left="1" w:right="2539" w:firstLine="1440"/>
        <w:spacing w:after="0" w:line="244" w:lineRule="auto"/>
        <w:tabs>
          <w:tab w:leader="none" w:pos="221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as amended or supplemented (other than the financial statements and related schedules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w:t>
      </w:r>
    </w:p>
    <w:p>
      <w:pPr>
        <w:spacing w:after="0" w:line="188" w:lineRule="exact"/>
        <w:rPr>
          <w:rFonts w:ascii="Courier New" w:cs="Courier New" w:eastAsia="Courier New" w:hAnsi="Courier New"/>
          <w:sz w:val="16"/>
          <w:szCs w:val="16"/>
          <w:color w:val="auto"/>
        </w:rPr>
      </w:pPr>
    </w:p>
    <w:p>
      <w:pPr>
        <w:ind w:left="1" w:right="2539" w:firstLine="1440"/>
        <w:spacing w:after="0" w:line="263" w:lineRule="auto"/>
        <w:tabs>
          <w:tab w:leader="none" w:pos="2211"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and the Prospectus as amended or supplemented, and any further amendments and supplements thereto made by the Company prior to such Time of Delivery (other than the financial statements and related schedules therein and financial data derived therefrom, as to which such counsel need express no opinion), comply as to form in all material respects with the requirements of the Act and the rules and regulations thereunder;</w:t>
      </w:r>
    </w:p>
    <w:p>
      <w:pPr>
        <w:spacing w:after="0" w:line="176"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Such counsel shall also include a statement to the effect that, although such counsel does not assume any responsibility for the accuracy, completeness or fairness of the statements contained in the Registration Statement or the Prospectus, except for those referred to in the opinion in subsection (iii) of this Section 7(c), such counsel has no reason to believe that, as of its effective date, the Registration Statement or any further amendment thereto made by the Company prior to such Time of Delivery (other than the financial statements and related schedules therein and financial data derived therefrom, as to which such counsel need express no belief) contained an untrue statement of a material fact or omitted to state a material fact required to be stated therein or necessary to make the statements therein not misleading or that, as of its date, the Prospectus as amended or supplemented or any further amendment or supplement thereto made by the Company prior to such Time of Delivery (other than the financial statements and related schedules therein and financial data derived therefrom, as to which such counsel need express no belief) contained an untrue statement of a material fact or omitted to state a material fact necessary to make the statements therein, in the light of the circumstances under which they were made, not misleading or that, as of such Time of Delivery, either the Registration Statement or the Prospectus as amended or supplemented or any further amendment or supplement thereto made by the Company prior to such Time of Delivery (other than the financial statements and related schedules therein and financial data derived therefrom, as to which such counsel need express no belief) contains an untrue statement of a material fact or omits to state a material fact necessary to make the statements therein, in the light of the circumstances under which they were made, not misleading;</w:t>
      </w:r>
    </w:p>
    <w:p>
      <w:pPr>
        <w:spacing w:after="0" w:line="197"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In rendering the opinions set forth herein, such counsel may rely with respect to matters of fact upon certificates of officers of the Company, provided that such counsel shall state that they have no reason to believe both you and they are not justified upon such certificates and a copy of such certificate shall be delivered to you. Such counsel's opinion that any agreement is valid, binding or enforceable in accordance with its terms may be qualified as to: (1) limitations imposed by bankruptcy, insolvency, reorganization, arrangement, fraudulent conveyance, moratorium or other laws relating to or affecting the rights of creditors generally; (2) rights to indemnification and contribution which may be limited by applicable law or equitable principles; and</w:t>
      </w:r>
    </w:p>
    <w:p>
      <w:pPr>
        <w:spacing w:after="0" w:line="7" w:lineRule="exact"/>
        <w:rPr>
          <w:sz w:val="20"/>
          <w:szCs w:val="20"/>
          <w:color w:val="auto"/>
        </w:rPr>
      </w:pPr>
    </w:p>
    <w:p>
      <w:pPr>
        <w:jc w:val="both"/>
        <w:ind w:left="1" w:right="3119" w:hanging="1"/>
        <w:spacing w:after="0" w:line="244" w:lineRule="auto"/>
        <w:tabs>
          <w:tab w:leader="none" w:pos="38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principles of equity, including without limitation concepts of materiality, reasonableness, good faith and fair dealing, and the possible unavailability of specific performance or injunctive relief, regardless of whether such validity and binding effect are considered in a proceeding in equity or at law;</w:t>
      </w:r>
    </w:p>
    <w:p>
      <w:pPr>
        <w:spacing w:after="0" w:line="187" w:lineRule="exact"/>
        <w:rPr>
          <w:rFonts w:ascii="Courier New" w:cs="Courier New" w:eastAsia="Courier New" w:hAnsi="Courier New"/>
          <w:sz w:val="16"/>
          <w:szCs w:val="16"/>
          <w:color w:val="auto"/>
        </w:rPr>
      </w:pPr>
    </w:p>
    <w:p>
      <w:pPr>
        <w:jc w:val="both"/>
        <w:ind w:left="1" w:right="2639" w:firstLine="959"/>
        <w:spacing w:after="0" w:line="243" w:lineRule="auto"/>
        <w:tabs>
          <w:tab w:leader="none" w:pos="1443"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Roderic W. Lewis, the Company's General Counsel, shall have furnished to you his written opinion, dated each Time of Delivery for such Designated Shares, in form and substance reasonably satisfactory to you, to the effect that:</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9" w:top="671" w:right="1440" w:bottom="1440" w:gutter="0" w:footer="0" w:header="0"/>
        </w:sectPr>
      </w:pPr>
    </w:p>
    <w:bookmarkStart w:id="37" w:name="page38"/>
    <w:bookmarkEnd w:id="37"/>
    <w:p>
      <w:pPr>
        <w:ind w:left="-959" w:right="2819" w:firstLine="1440"/>
        <w:spacing w:after="0" w:line="244" w:lineRule="auto"/>
        <w:tabs>
          <w:tab w:leader="none" w:pos="125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validly existing as a corporation in good standing under the laws of the State of Delaware with power and authority (corporate and other) to own its properties and conduct its business as described in the Prospectus as amended or supplemented;</w:t>
      </w:r>
    </w:p>
    <w:p>
      <w:pPr>
        <w:spacing w:after="0" w:line="187" w:lineRule="exact"/>
        <w:rPr>
          <w:rFonts w:ascii="Courier New" w:cs="Courier New" w:eastAsia="Courier New" w:hAnsi="Courier New"/>
          <w:sz w:val="16"/>
          <w:szCs w:val="16"/>
          <w:color w:val="auto"/>
        </w:rPr>
      </w:pPr>
    </w:p>
    <w:p>
      <w:pPr>
        <w:ind w:left="-959" w:right="2539" w:firstLine="1440"/>
        <w:spacing w:after="0" w:line="244" w:lineRule="auto"/>
        <w:tabs>
          <w:tab w:leader="none" w:pos="125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an authorized capitalization as set forth in the Prospectus as amended or supplemented, and all of the issued shares of capital stock of the Company (including the Designated Shares being delivered at such Time of Delivery) have been duly and validly authorized and issued and are fully paid and non-assessable;</w:t>
      </w:r>
    </w:p>
    <w:p>
      <w:pPr>
        <w:spacing w:after="0" w:line="187" w:lineRule="exact"/>
        <w:rPr>
          <w:rFonts w:ascii="Courier New" w:cs="Courier New" w:eastAsia="Courier New" w:hAnsi="Courier New"/>
          <w:sz w:val="16"/>
          <w:szCs w:val="16"/>
          <w:color w:val="auto"/>
        </w:rPr>
      </w:pPr>
    </w:p>
    <w:p>
      <w:pPr>
        <w:ind w:left="-959" w:right="2539" w:firstLine="1440"/>
        <w:spacing w:after="0" w:line="244" w:lineRule="auto"/>
        <w:tabs>
          <w:tab w:leader="none" w:pos="125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and 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have a material adverse effect on the current consolidated financial position, shareholders' equity or results of operations of the Company and its subsidiaries, taken as a whole;</w:t>
      </w:r>
    </w:p>
    <w:p>
      <w:pPr>
        <w:spacing w:after="0" w:line="188" w:lineRule="exact"/>
        <w:rPr>
          <w:rFonts w:ascii="Courier New" w:cs="Courier New" w:eastAsia="Courier New" w:hAnsi="Courier New"/>
          <w:sz w:val="16"/>
          <w:szCs w:val="16"/>
          <w:color w:val="auto"/>
        </w:rPr>
      </w:pPr>
    </w:p>
    <w:p>
      <w:pPr>
        <w:ind w:left="-959" w:right="2639" w:firstLine="1440"/>
        <w:spacing w:after="0" w:line="244" w:lineRule="auto"/>
        <w:tabs>
          <w:tab w:leader="none" w:pos="125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Designated Shares being delivered at such Time of Delivery and the performance by the Company of its obligations set forth in this Agreement and the Pricing Agreement with respect to the Designated Shares will not result in a breach or violation of or constitute a default under, any indenture, mortgage, deed of trust, loan agreement or other agreement or instrument filed as an exhibit to the Registration Statement or the Company's most recent Annual Report on Form 10-K, nor will such action result in any violation of the provisions of the Certificate of Incorporation or By-laws of the Company or, to such counsel's knowledge, any statute, order, rule or regulation of any court or governmental agency or body having jurisdiction over the Company or any of its properties; and</w:t>
      </w:r>
    </w:p>
    <w:p>
      <w:pPr>
        <w:spacing w:after="0" w:line="190" w:lineRule="exact"/>
        <w:rPr>
          <w:rFonts w:ascii="Courier New" w:cs="Courier New" w:eastAsia="Courier New" w:hAnsi="Courier New"/>
          <w:sz w:val="16"/>
          <w:szCs w:val="16"/>
          <w:color w:val="auto"/>
        </w:rPr>
      </w:pPr>
    </w:p>
    <w:p>
      <w:pPr>
        <w:ind w:left="-959" w:right="2639" w:firstLine="1440"/>
        <w:spacing w:after="0" w:line="244" w:lineRule="auto"/>
        <w:tabs>
          <w:tab w:leader="none" w:pos="125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does not know of any contracts or other documents of a character required to be filed as an exhibit to the Registration Statement or required to be incorporated by reference into the Prospectus as amended or supplemented or required to be described in the Registration Statement or the Prospectus as amended or supplemented which are not filed or incorporated by reference or described as required.</w:t>
      </w:r>
    </w:p>
    <w:p>
      <w:pPr>
        <w:spacing w:after="0" w:line="187" w:lineRule="exact"/>
        <w:rPr>
          <w:rFonts w:ascii="Courier New" w:cs="Courier New" w:eastAsia="Courier New" w:hAnsi="Courier New"/>
          <w:sz w:val="16"/>
          <w:szCs w:val="16"/>
          <w:color w:val="auto"/>
        </w:rPr>
      </w:pPr>
    </w:p>
    <w:p>
      <w:pPr>
        <w:ind w:left="-959" w:right="2539" w:firstLine="959"/>
        <w:spacing w:after="0" w:line="244" w:lineRule="auto"/>
        <w:tabs>
          <w:tab w:leader="none" w:pos="48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the Pricing Agreement for such Designated Shares and at each Time of Delivery for such Designated Shares, the independent accountants of the Company who have certified the financial statements of the Company and its subsidiaries included or incorporated by reference in the Registration Statement shall have furnished to the Representatives a letter, dated the effective date of the Registration Statement or the date of the most recent report filed with the Commission containing financial statements and incorporated by reference in the Registration Statement, if the date of such report is later than such effective date, and a letter dated such Time of Delivery, respectively, to the effect set forth in Annex I hereto, and with respect to such letter dated such Time of Delivery, as to such other matters as the Representatives may reasonably request and in form and substance satisfactory to the Representatives (the executed copy of the letter delivered prior to the execution of the Pricing Agreement is attached as Annex I(a) hereto and a draft of the form of letter to be delivered on the effective date of any post-effective amendment to the Registration Statement and as of each Time of Delivery is attached as Annex I(b) hereto);</w:t>
      </w:r>
    </w:p>
    <w:p>
      <w:pPr>
        <w:spacing w:after="0" w:line="193" w:lineRule="exact"/>
        <w:rPr>
          <w:rFonts w:ascii="Courier New" w:cs="Courier New" w:eastAsia="Courier New" w:hAnsi="Courier New"/>
          <w:sz w:val="16"/>
          <w:szCs w:val="16"/>
          <w:color w:val="auto"/>
        </w:rPr>
      </w:pPr>
    </w:p>
    <w:p>
      <w:pPr>
        <w:ind w:left="-959" w:right="2639" w:firstLine="959"/>
        <w:spacing w:after="0" w:line="244" w:lineRule="auto"/>
        <w:tabs>
          <w:tab w:leader="none" w:pos="48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Neither the Company nor any of its subsidiaries shall have sustained since the date of the latest audited financial statements included or incorporated by reference in the Prospectus as amended prior to the date of the Pricing Agreement relating to the Designated Shares any loss or interference with its business from fire, explosion, flood or other calamity, whether or not covered by insurance, or from any labor dispute or court or governmental action, order or decree, otherwise than as set forth or contemplated in the Prospectus as</w:t>
      </w:r>
    </w:p>
    <w:p>
      <w:pPr>
        <w:spacing w:after="0" w:line="187"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260"/>
          </w:cols>
          <w:pgMar w:left="1199" w:top="671" w:right="1440" w:bottom="1440" w:gutter="0" w:footer="0" w:header="0"/>
        </w:sectPr>
      </w:pPr>
    </w:p>
    <w:bookmarkStart w:id="38" w:name="page39"/>
    <w:bookmarkEnd w:id="38"/>
    <w:p>
      <w:pPr>
        <w:ind w:right="2539"/>
        <w:spacing w:after="0" w:line="244" w:lineRule="auto"/>
        <w:rPr>
          <w:sz w:val="20"/>
          <w:szCs w:val="20"/>
          <w:color w:val="auto"/>
        </w:rPr>
      </w:pPr>
      <w:r>
        <w:rPr>
          <w:rFonts w:ascii="Courier New" w:cs="Courier New" w:eastAsia="Courier New" w:hAnsi="Courier New"/>
          <w:sz w:val="16"/>
          <w:szCs w:val="16"/>
          <w:color w:val="auto"/>
        </w:rPr>
        <w:t>amended prior to the date of the Pricing Agreement relating to the Designated Shares, and (ii) since the respective dates as of which information is given in the Prospectus as amended prior to the date of the Pricing Agreement relating to the Designated Shares there shall not have been any change in the capital stock or long-term debt of the Company or any of its subsidiaries or any change, in the general affairs, management, financial position, shareholders' equity or results of operations of the Company and its subsidiaries, otherwise than as set forth or contemplated in the Prospectus as amended prior to the date of the Pricing Agreement relating to the Designated Shares, the effect of which, in any such case described in Clause (i) or (ii), is in the reasonable judgment of the Representatives so material and adverse as to make it impracticable or inadvisable to proceed with the public offering or the delivery of the Designated Shares on the terms and in the manner contemplated in the Prospectus as amended relating to the Designated Shares;</w:t>
      </w:r>
    </w:p>
    <w:p>
      <w:pPr>
        <w:spacing w:after="0" w:line="192" w:lineRule="exact"/>
        <w:rPr>
          <w:sz w:val="20"/>
          <w:szCs w:val="20"/>
          <w:color w:val="auto"/>
        </w:rPr>
      </w:pPr>
    </w:p>
    <w:p>
      <w:pPr>
        <w:ind w:right="2539" w:firstLine="959"/>
        <w:spacing w:after="0" w:line="262" w:lineRule="auto"/>
        <w:tabs>
          <w:tab w:leader="none" w:pos="1441"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the date of the Pricing Agreement relating to the Designated Shares there shall not have occurred any of the following: (i) a suspension or material limitation in trading in securities generally on the New York Stock Exchange or on Nasdaq; (ii) a suspension or material limitation in trading in the Company's securities on Nasdaq; (iii) a general moratorium on commercial banking activities declared by either Federal or New York state authorities; or (iv) the outbreak or escalation of hostilities involving the United States or the declaration by the United States of a national emergency or war, if the effect of any such event specified in this Clause (iv) in the reasonable judgment of the Representatives makes it impracticable or inadvisable to proceed with the public offering or the delivery of the Firm Shares or Optional Shares or both on the terms and in the manner contemplated in the Prospectus as first amended or supplemented relating to the Designated Shares;</w:t>
      </w:r>
    </w:p>
    <w:p>
      <w:pPr>
        <w:spacing w:after="0" w:line="175" w:lineRule="exact"/>
        <w:rPr>
          <w:rFonts w:ascii="Courier New" w:cs="Courier New" w:eastAsia="Courier New" w:hAnsi="Courier New"/>
          <w:sz w:val="15"/>
          <w:szCs w:val="15"/>
          <w:color w:val="auto"/>
        </w:rPr>
      </w:pPr>
    </w:p>
    <w:p>
      <w:pPr>
        <w:ind w:right="2819" w:firstLine="959"/>
        <w:spacing w:after="0" w:line="242" w:lineRule="auto"/>
        <w:tabs>
          <w:tab w:leader="none" w:pos="144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Designated Shares at each Time of Delivery shall have been duly listed on the New York Stock Exchange;</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44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obtained and delivered to the Underwriters executed copies of an agreement from each [officer and] director of the Company substantially to the effect that, during the period beginning from the date of the Pricing Agreement and continuing to and including the date 90 days after the date of such Pricing Agreement, such officer or director will not offer, sell, contract to sell or otherwise dispose of any securities of the Company that are substantially similar to the Shares, including but not limited to any securities that are convertible into or exchangeable for, or that represent the right to receive, Stock or any such substantially similar securities, without the prior written consent of the Representatives];</w:t>
      </w:r>
    </w:p>
    <w:p>
      <w:pPr>
        <w:spacing w:after="0" w:line="189" w:lineRule="exact"/>
        <w:rPr>
          <w:rFonts w:ascii="Courier New" w:cs="Courier New" w:eastAsia="Courier New" w:hAnsi="Courier New"/>
          <w:sz w:val="16"/>
          <w:szCs w:val="16"/>
          <w:color w:val="auto"/>
        </w:rPr>
      </w:pPr>
    </w:p>
    <w:p>
      <w:pPr>
        <w:ind w:right="2539" w:firstLine="959"/>
        <w:spacing w:after="0" w:line="244" w:lineRule="auto"/>
        <w:tabs>
          <w:tab w:leader="none" w:pos="144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furnished or caused to be furnished to the Representatives at each Time of Delivery for the Designated Shares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the Representatives may reasonably request; and</w:t>
      </w:r>
    </w:p>
    <w:p>
      <w:pPr>
        <w:spacing w:after="0" w:line="188" w:lineRule="exact"/>
        <w:rPr>
          <w:rFonts w:ascii="Courier New" w:cs="Courier New" w:eastAsia="Courier New" w:hAnsi="Courier New"/>
          <w:sz w:val="16"/>
          <w:szCs w:val="16"/>
          <w:color w:val="auto"/>
        </w:rPr>
      </w:pPr>
    </w:p>
    <w:p>
      <w:pPr>
        <w:ind w:right="2819" w:firstLine="959"/>
        <w:spacing w:after="0" w:line="243" w:lineRule="auto"/>
        <w:tabs>
          <w:tab w:leader="none" w:pos="144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complied with the provisions of Section 5(c) hereof with respect to the furnishing of prospectuses on the New York Business Day next succeeding the date of the Pricing Agreement.</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1" w:right="1440" w:bottom="1440" w:gutter="0" w:footer="0" w:header="0"/>
        </w:sectPr>
      </w:pPr>
    </w:p>
    <w:bookmarkStart w:id="39" w:name="page40"/>
    <w:bookmarkEnd w:id="39"/>
    <w:p>
      <w:pPr>
        <w:ind w:left="1" w:right="2539"/>
        <w:spacing w:after="0" w:line="244" w:lineRule="auto"/>
        <w:rPr>
          <w:sz w:val="20"/>
          <w:szCs w:val="20"/>
          <w:color w:val="auto"/>
        </w:rPr>
      </w:pPr>
      <w:r>
        <w:rPr>
          <w:rFonts w:ascii="Courier New" w:cs="Courier New" w:eastAsia="Courier New" w:hAnsi="Courier New"/>
          <w:sz w:val="16"/>
          <w:szCs w:val="16"/>
          <w:color w:val="auto"/>
        </w:rPr>
        <w:t>supplemented and any other prospectus relating to the Shares,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Shares, or any such amendment or supplement in reliance upon and in conformity with written information furnished to the Company by any Underwriter of Designated Shares through the Representatives expressly for use in the Prospectus as amended or supplemented relating to such Shares; and provided further that, with respect to any untrue statement or omission or alleged untrue statement or omission made in any Preliminary Prospectus, any preliminary prospectus supplement or the Registration Statement, the indemnity agreement contained in this subsection (a) shall not inure to the benefit of any Underwriter from whom the person asserting any such loss, claim, damage or liability purchased Designated Shares (or to the benefit of any such person controlling such Underwriter) to the extent that any such loss, claim, damage, liability or expense of such Underwriter or controlling person results from the fact that a copy of an amended or supplemented Prospectus was not sent or given to such person at or prior to the written confirmation of the sale of such Designated Shares to such person as required by the Act, and if the untrue statement or omission concerned has been corrected in the Prospectus as so amended or supplemented, unless such failure is the result of noncompliance by the Company with Section 5(c) hereof.</w:t>
      </w:r>
    </w:p>
    <w:p>
      <w:pPr>
        <w:spacing w:after="0" w:line="200" w:lineRule="exact"/>
        <w:rPr>
          <w:sz w:val="20"/>
          <w:szCs w:val="20"/>
          <w:color w:val="auto"/>
        </w:rPr>
      </w:pPr>
    </w:p>
    <w:p>
      <w:pPr>
        <w:ind w:left="1" w:right="2539" w:firstLine="959"/>
        <w:spacing w:after="0" w:line="244" w:lineRule="auto"/>
        <w:tabs>
          <w:tab w:leader="none" w:pos="1443"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Shares,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Shares,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such expenses are incurred.</w:t>
      </w:r>
    </w:p>
    <w:p>
      <w:pPr>
        <w:spacing w:after="0" w:line="193" w:lineRule="exact"/>
        <w:rPr>
          <w:rFonts w:ascii="Courier New" w:cs="Courier New" w:eastAsia="Courier New" w:hAnsi="Courier New"/>
          <w:sz w:val="16"/>
          <w:szCs w:val="16"/>
          <w:color w:val="auto"/>
        </w:rPr>
      </w:pPr>
    </w:p>
    <w:p>
      <w:pPr>
        <w:ind w:left="1441" w:hanging="481"/>
        <w:spacing w:after="0"/>
        <w:tabs>
          <w:tab w:leader="none" w:pos="1441"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subsection</w:t>
      </w:r>
    </w:p>
    <w:p>
      <w:pPr>
        <w:spacing w:after="0" w:line="5" w:lineRule="exact"/>
        <w:rPr>
          <w:rFonts w:ascii="Courier New" w:cs="Courier New" w:eastAsia="Courier New" w:hAnsi="Courier New"/>
          <w:sz w:val="16"/>
          <w:szCs w:val="16"/>
          <w:color w:val="auto"/>
        </w:rPr>
      </w:pPr>
    </w:p>
    <w:p>
      <w:pPr>
        <w:ind w:left="1" w:right="2639" w:hanging="1"/>
        <w:spacing w:after="0" w:line="244" w:lineRule="auto"/>
        <w:tabs>
          <w:tab w:leader="none" w:pos="38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and, after notice from the indemnifying party to such indemnified party of its election so to assume the defense thereof, the indemnifying party shall not be liable to such indemnified party under such</w:t>
      </w:r>
    </w:p>
    <w:p>
      <w:pPr>
        <w:spacing w:after="0" w:line="190"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9" w:top="671" w:right="1440" w:bottom="1440" w:gutter="0" w:footer="0" w:header="0"/>
        </w:sectPr>
      </w:pPr>
    </w:p>
    <w:bookmarkStart w:id="40" w:name="page41"/>
    <w:bookmarkEnd w:id="40"/>
    <w:p>
      <w:pPr>
        <w:ind w:right="2539"/>
        <w:spacing w:after="0" w:line="262" w:lineRule="auto"/>
        <w:rPr>
          <w:sz w:val="20"/>
          <w:szCs w:val="20"/>
          <w:color w:val="auto"/>
        </w:rPr>
      </w:pPr>
      <w:r>
        <w:rPr>
          <w:rFonts w:ascii="Courier New" w:cs="Courier New" w:eastAsia="Courier New" w:hAnsi="Courier New"/>
          <w:sz w:val="15"/>
          <w:szCs w:val="15"/>
          <w:color w:val="auto"/>
        </w:rPr>
        <w:t>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includes an unconditional release of the indemnified party from all liability arising out of such action or claim.</w:t>
      </w:r>
    </w:p>
    <w:p>
      <w:pPr>
        <w:spacing w:after="0" w:line="178" w:lineRule="exact"/>
        <w:rPr>
          <w:sz w:val="20"/>
          <w:szCs w:val="20"/>
          <w:color w:val="auto"/>
        </w:rPr>
      </w:pPr>
    </w:p>
    <w:p>
      <w:pPr>
        <w:ind w:right="2539" w:firstLine="959"/>
        <w:spacing w:after="0" w:line="261" w:lineRule="auto"/>
        <w:tabs>
          <w:tab w:leader="none" w:pos="144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Shares on the other from the offering of the Designated Shares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Shares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contributions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Shares in this subsection (d) to contribute are several in proportion to their respective underwriting obligations with respect to such Shares and not joint.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38" w:lineRule="exact"/>
        <w:rPr>
          <w:rFonts w:ascii="Courier New" w:cs="Courier New" w:eastAsia="Courier New" w:hAnsi="Courier New"/>
          <w:sz w:val="15"/>
          <w:szCs w:val="15"/>
          <w:color w:val="auto"/>
        </w:rPr>
      </w:pPr>
    </w:p>
    <w:p>
      <w:pPr>
        <w:ind w:right="2539" w:firstLine="959"/>
        <w:spacing w:after="0" w:line="244" w:lineRule="auto"/>
        <w:tabs>
          <w:tab w:leader="none" w:pos="144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Company pursuant to this Section 8 shall be in addition to any liability which the Company may otherwise have and shall extend, upon the same terms and conditions, to each person, if any, who controls any Underwriter within the meaning of the Act; and the obligations of the Underwriters pursuant to this Section 8 shall be in addition to any liability which the respective Underwriters may</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1" w:right="1440" w:bottom="1440" w:gutter="0" w:footer="0" w:header="0"/>
        </w:sectPr>
      </w:pPr>
    </w:p>
    <w:bookmarkStart w:id="41" w:name="page42"/>
    <w:bookmarkEnd w:id="41"/>
    <w:p>
      <w:pPr>
        <w:ind w:left="1" w:right="2539"/>
        <w:spacing w:after="0" w:line="243" w:lineRule="auto"/>
        <w:rPr>
          <w:sz w:val="20"/>
          <w:szCs w:val="20"/>
          <w:color w:val="auto"/>
        </w:rPr>
      </w:pPr>
      <w:r>
        <w:rPr>
          <w:rFonts w:ascii="Courier New" w:cs="Courier New" w:eastAsia="Courier New" w:hAnsi="Courier New"/>
          <w:sz w:val="16"/>
          <w:szCs w:val="16"/>
          <w:color w:val="auto"/>
        </w:rPr>
        <w:t>otherwise have and shall extend, upon the same terms and conditions, to each officer and director of the Company and to each person, if any, who controls the Company within the meaning of the Act.</w:t>
      </w:r>
    </w:p>
    <w:p>
      <w:pPr>
        <w:spacing w:after="0" w:line="189" w:lineRule="exact"/>
        <w:rPr>
          <w:sz w:val="20"/>
          <w:szCs w:val="20"/>
          <w:color w:val="auto"/>
        </w:rPr>
      </w:pPr>
    </w:p>
    <w:p>
      <w:pPr>
        <w:ind w:left="1" w:right="2539" w:firstLine="479"/>
        <w:spacing w:after="0" w:line="244" w:lineRule="auto"/>
        <w:tabs>
          <w:tab w:leader="none" w:pos="962"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If any Underwriter shall default in its obligation to purchase the Firm Shares or Optional Shares which it has agreed to purchase under the Pricing Agreement relating to such Shares, the Representatives may in their discretion arrange for themselves or another party or other parties to purchase such Shares on the terms contained herein. If within thirty-six hours after such default by any Underwriter the Representatives do not arrange for the purchase of such Firm Shares or Optional Shares, as the case may be, then the Company shall be entitled to a further period of thirty-six hours within which to procure another party or other parties satisfactory to the Representatives to purchase such Shares on such terms. In the event that, within the respective prescribed period, the Representatives notify the Company that they have so arranged for the purchase of such Shares, or the Company notify the Representatives that they have so arranged for the purchase of such Shares, the Representatives or the Company shall have the right to postpone a Time of Delivery for such Shares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reasonable opinion of the Company and the Representatives may thereby be made necessary. The term "Underwriter" as used in this Agreement shall include any person substituted under this Section with like effect as if such person had originally been a party to the Pricing Agreement with respect to such Designated Shares.</w:t>
      </w:r>
    </w:p>
    <w:p>
      <w:pPr>
        <w:spacing w:after="0" w:line="196" w:lineRule="exact"/>
        <w:rPr>
          <w:rFonts w:ascii="Courier New" w:cs="Courier New" w:eastAsia="Courier New" w:hAnsi="Courier New"/>
          <w:sz w:val="16"/>
          <w:szCs w:val="16"/>
          <w:color w:val="auto"/>
        </w:rPr>
      </w:pPr>
    </w:p>
    <w:p>
      <w:pPr>
        <w:ind w:left="1" w:right="2539" w:firstLine="959"/>
        <w:spacing w:after="0" w:line="261" w:lineRule="auto"/>
        <w:tabs>
          <w:tab w:leader="none" w:pos="1443"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arrangements for the purchase of the Firm Shares or Optional Shares, as the case may be, of a defaulting Underwriter or Underwriters by the Representatives and the Company as provided in subsection (a) above, the aggregate number of such Shares which remains unpurchased does not exceed one-eleventh of the aggregate number of the Firm Shares or Optional Shares, as the case may be, to be purchased at the respective Time of Delivery, then the Company shall have the right to require each non-defaulting Underwriter to purchase the number of Firm Shares or Optional Shares, as the case may be, which such Underwriter agreed to purchase under the Pricing Agreement relating to such Designated Shares and, in addition, to require each non-defaulting Underwriter to purchase its pro rata share (based on the number of Firm Shares or Optional Shares, as the case may be, which such Underwriter agreed to purchase under such Pricing Agreement) of the Firm Shares or Optional Shares, as the case may be, of such defaulting Underwriter or Underwriters for which such arrangements have not been made; but nothing herein shall relieve a defaulting Underwriter from liability for its default.</w:t>
      </w:r>
    </w:p>
    <w:p>
      <w:pPr>
        <w:spacing w:after="0" w:line="369" w:lineRule="exact"/>
        <w:rPr>
          <w:rFonts w:ascii="Courier New" w:cs="Courier New" w:eastAsia="Courier New" w:hAnsi="Courier New"/>
          <w:sz w:val="15"/>
          <w:szCs w:val="15"/>
          <w:color w:val="auto"/>
        </w:rPr>
      </w:pPr>
    </w:p>
    <w:p>
      <w:pPr>
        <w:ind w:left="1" w:right="2539" w:firstLine="959"/>
        <w:spacing w:after="0" w:line="260" w:lineRule="auto"/>
        <w:tabs>
          <w:tab w:leader="none" w:pos="1443" w:val="left"/>
        </w:tabs>
        <w:numPr>
          <w:ilvl w:val="2"/>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arrangements for the purchase of the Firm Shares or Optional Shares, as the case may be, of a defaulting Underwriter or Underwriters by the Representatives and the Company as provided in subsection (a) above, the aggregate number of Firm Shares or Optional Shares, as the case may be, which remains unpurchased exceeds one-eleventh of the aggregate number of the Firm Shares or Optional Shares, as the case may be, to be purchased at the respective Time of Delivery, as referred to in subsection</w:t>
      </w:r>
    </w:p>
    <w:p>
      <w:pPr>
        <w:spacing w:after="0" w:line="4"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or if the Company shall not exercise the right described in subsection (b) above to require non-defaulting Underwriters to purchase Firm Shares or Optional Shares, as the case may be, of a defaulting Underwriter or Underwriters, then the Pricing Agreement relating to such Firm Shares or the Overallotment Option relating to such Optional Shares, as the case may be,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88"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1"/>
          </w:cols>
          <w:pgMar w:left="239" w:top="671" w:right="1440" w:bottom="1440" w:gutter="0" w:footer="0" w:header="0"/>
        </w:sectPr>
      </w:pPr>
    </w:p>
    <w:bookmarkStart w:id="42" w:name="page43"/>
    <w:bookmarkEnd w:id="42"/>
    <w:p>
      <w:pPr>
        <w:ind w:right="2639" w:firstLine="479"/>
        <w:spacing w:after="0" w:line="244" w:lineRule="auto"/>
        <w:tabs>
          <w:tab w:leader="none" w:pos="96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188" w:lineRule="exact"/>
        <w:rPr>
          <w:rFonts w:ascii="Courier New" w:cs="Courier New" w:eastAsia="Courier New" w:hAnsi="Courier New"/>
          <w:sz w:val="16"/>
          <w:szCs w:val="16"/>
          <w:color w:val="auto"/>
        </w:rPr>
      </w:pPr>
    </w:p>
    <w:p>
      <w:pPr>
        <w:ind w:right="2539" w:firstLine="479"/>
        <w:spacing w:after="0" w:line="261" w:lineRule="auto"/>
        <w:tabs>
          <w:tab w:leader="none" w:pos="96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Pricing Agreement or Overallotment Option shall be terminated pursuant to Section 9 hereof, or if the Underwriters do not purchase Firm Shares of Optional Shares under the Pricing Agreement relating to such Firm Shares or Optional Shares because the condition set forth in Section 7(b) or 7(g) hereof shall not have been satisfied, the Company shall not then be under any liability to any Underwriter with respect to the Firm Shares or Optional Shares with respect to which such Pricing Agreement shall have been terminated except as provided in Section 8 hereof; but, if for any other reason, Designated Shares are not delivered by or on behalf of the Company as provided herein,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such Designated Shares, but the Company shall then be under no further liability to any Underwriter with respect to such Designated Shares except as provided in Sections 6 and 8 hereof.</w:t>
      </w:r>
    </w:p>
    <w:p>
      <w:pPr>
        <w:spacing w:after="0" w:line="184" w:lineRule="exact"/>
        <w:rPr>
          <w:rFonts w:ascii="Courier New" w:cs="Courier New" w:eastAsia="Courier New" w:hAnsi="Courier New"/>
          <w:sz w:val="15"/>
          <w:szCs w:val="15"/>
          <w:color w:val="auto"/>
        </w:rPr>
      </w:pPr>
    </w:p>
    <w:p>
      <w:pPr>
        <w:ind w:right="2639" w:firstLine="479"/>
        <w:spacing w:after="0" w:line="244" w:lineRule="auto"/>
        <w:tabs>
          <w:tab w:leader="none" w:pos="961"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all dealings hereunder, the Representatives of the Underwriters of Designated Shares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All statements, requests, notices and agreements hereunder shall be in writing, and if to the Underwriters shall be delivered or sent by mail, telex or facsimile transmission to the address of the Representatives as set forth in the Pricing Agreement; and if to the Company shall be delivered or sent by mail, telex or facsimile transmission to the address of the Company set forth in the Registration Statement, Attention: Secretary; provided, however, that any notice to an Underwriter pursuant to Section 8(c) hereof shall be delivered or sent by mail, telex or facsimile transmission to such Underwriter at its address set forth in its Underwriters' Questionnaire, or telex constituting such Questionnaire, which address will be supplied to the Company by the Representatives upon request. Any such statements, requests, notices or agreements shall take effect upon receipt thereof.</w:t>
      </w:r>
    </w:p>
    <w:p>
      <w:pPr>
        <w:spacing w:after="0" w:line="191" w:lineRule="exact"/>
        <w:rPr>
          <w:sz w:val="20"/>
          <w:szCs w:val="20"/>
          <w:color w:val="auto"/>
        </w:rPr>
      </w:pPr>
    </w:p>
    <w:p>
      <w:pPr>
        <w:ind w:right="2639" w:firstLine="479"/>
        <w:spacing w:after="0" w:line="244" w:lineRule="auto"/>
        <w:tabs>
          <w:tab w:leader="none" w:pos="96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Pricing Agreement shall be binding upon, and inure solely to the benefit of, the Underwriters and the Company and, to the extent provided in Sections 8 and 10 hereof, the officers and directors of the Company and each person who controls the Company or any Underwriter, and their respective heirs, executors, administrators, successors and assigns, and no other person shall acquire or have any right under or by virtue of this Agreement or any such Pricing Agreement. No purchaser of any of the Shares from any Underwriter shall be deemed a successor or assign by reason merely of such purchase.</w:t>
      </w:r>
    </w:p>
    <w:p>
      <w:pPr>
        <w:spacing w:after="0" w:line="189" w:lineRule="exact"/>
        <w:rPr>
          <w:rFonts w:ascii="Courier New" w:cs="Courier New" w:eastAsia="Courier New" w:hAnsi="Courier New"/>
          <w:sz w:val="16"/>
          <w:szCs w:val="16"/>
          <w:color w:val="auto"/>
        </w:rPr>
      </w:pPr>
    </w:p>
    <w:p>
      <w:pPr>
        <w:ind w:right="2639" w:firstLine="479"/>
        <w:spacing w:after="0" w:line="243" w:lineRule="auto"/>
        <w:tabs>
          <w:tab w:leader="none" w:pos="96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shall be of the essence of each Pricing Agreement. As used herein, the term "business day" shall mean any day when the Commission's office in Washington, D.C. is open for business.</w:t>
      </w:r>
    </w:p>
    <w:p>
      <w:pPr>
        <w:spacing w:after="0" w:line="188" w:lineRule="exact"/>
        <w:rPr>
          <w:rFonts w:ascii="Courier New" w:cs="Courier New" w:eastAsia="Courier New" w:hAnsi="Courier New"/>
          <w:sz w:val="16"/>
          <w:szCs w:val="16"/>
          <w:color w:val="auto"/>
        </w:rPr>
      </w:pPr>
    </w:p>
    <w:p>
      <w:pPr>
        <w:ind w:right="2919" w:firstLine="479"/>
        <w:spacing w:after="0" w:line="242" w:lineRule="auto"/>
        <w:tabs>
          <w:tab w:leader="none" w:pos="96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PRICING AGREEMENT SHALL BE GOVERNED BY AND CONSTRUED IN ACCORDANCE WITH THE LAWS OF THE STATE OF [NEW YORK].</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1" w:right="1440" w:bottom="1440" w:gutter="0" w:footer="0" w:header="0"/>
        </w:sectPr>
      </w:pPr>
    </w:p>
    <w:bookmarkStart w:id="43" w:name="page44"/>
    <w:bookmarkEnd w:id="43"/>
    <w:p>
      <w:pPr>
        <w:ind w:right="2539" w:firstLine="479"/>
        <w:spacing w:after="0" w:line="243" w:lineRule="auto"/>
        <w:tabs>
          <w:tab w:leader="none" w:pos="96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If the foregoing is in accordance with your understanding, please sign and return to us seven (7) counterparts hereof, and upon the acceptance hereof by you, on behalf of each of the Underwriters, this letter and such acceptance hereof shall constitute a binding agreement among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MICRON TECHNOLOGY, INC.</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as of the date hereof:</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of Representatives]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behalf of each of the Underwriters</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1" w:right="1440" w:bottom="1440" w:gutter="0" w:footer="0" w:header="0"/>
        </w:sectPr>
      </w:pPr>
    </w:p>
    <w:bookmarkStart w:id="44" w:name="page45"/>
    <w:bookmarkEnd w:id="44"/>
    <w:p>
      <w:pPr>
        <w:jc w:val="center"/>
        <w:ind w:right="2639"/>
        <w:spacing w:after="0"/>
        <w:rPr>
          <w:sz w:val="20"/>
          <w:szCs w:val="20"/>
          <w:color w:val="auto"/>
        </w:rPr>
      </w:pPr>
      <w:r>
        <w:rPr>
          <w:rFonts w:ascii="Courier New" w:cs="Courier New" w:eastAsia="Courier New" w:hAnsi="Courier New"/>
          <w:sz w:val="16"/>
          <w:szCs w:val="16"/>
          <w:color w:val="auto"/>
        </w:rPr>
        <w:t>ANNEX I</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PRICING AGREEMENT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of Co-Representative(s)]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Representatives of the several</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Underwriters named in Schedule I hereto,</w:t>
      </w:r>
    </w:p>
    <w:p>
      <w:pPr>
        <w:spacing w:after="0" w:line="200" w:lineRule="exact"/>
        <w:rPr>
          <w:sz w:val="20"/>
          <w:szCs w:val="20"/>
          <w:color w:val="auto"/>
        </w:rPr>
      </w:pPr>
    </w:p>
    <w:p>
      <w:pPr>
        <w:spacing w:after="0" w:line="35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 199</w:t>
      </w:r>
    </w:p>
    <w:p>
      <w:pPr>
        <w:spacing w:after="0" w:line="4" w:lineRule="exact"/>
        <w:rPr>
          <w:sz w:val="20"/>
          <w:szCs w:val="20"/>
          <w:color w:val="auto"/>
        </w:rPr>
      </w:pPr>
    </w:p>
    <w:p>
      <w:pPr>
        <w:ind w:left="2980"/>
        <w:spacing w:after="0"/>
        <w:tabs>
          <w:tab w:leader="none" w:pos="45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639" w:firstLine="480"/>
        <w:spacing w:after="0" w:line="260" w:lineRule="auto"/>
        <w:rPr>
          <w:sz w:val="20"/>
          <w:szCs w:val="20"/>
          <w:color w:val="auto"/>
        </w:rPr>
      </w:pPr>
      <w:r>
        <w:rPr>
          <w:rFonts w:ascii="Courier New" w:cs="Courier New" w:eastAsia="Courier New" w:hAnsi="Courier New"/>
          <w:sz w:val="15"/>
          <w:szCs w:val="15"/>
          <w:color w:val="auto"/>
        </w:rPr>
        <w:t>Micron Technology, Inc., a Delaware corporation (the "Company"), proposes, subject to the terms and conditions stated herein and in the Underwriting Agreement, dated .......... , 199 (the "Underwriting Agreement"), to issue and</w:t>
      </w:r>
    </w:p>
    <w:p>
      <w:pPr>
        <w:ind w:left="3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sell to the Underwriters named in Schedule I hereto (the "Underwriters") the Shares specified in Schedule II hereto (the "Designated Shares" consisting of Firm Shares and any Optional Shares the Underwriters may elect to purchase).</w:t>
      </w:r>
    </w:p>
    <w:p>
      <w:pPr>
        <w:spacing w:after="0" w:line="4"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Shares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Representatives and on behalf of each of the Underwriters of the Designated Shares pursuant to Section 12 of the Underwriting Agreement and the address of the Representatives referred to in such Section 12 are set forth in Schedule II hereto.</w:t>
      </w:r>
    </w:p>
    <w:p>
      <w:pPr>
        <w:spacing w:after="0" w:line="194"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An amendment to the Registration Statement, or a supplement to the Prospectus, as the case may be, relating to the Designated Shares, in the form heretofore delivered to you is now proposed to be filed with the Commission.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Subject to the terms and conditions set forth herein and in the Underwriting Agreement incorporated herein by reference, (a) the Company agrees to issue and sell to each of the Underwriters, and each of the Underwriters agrees, severally and not jointly, to purchase from the Company at the time and place and at the purchase price to the Underwriters set forth in Schedule II hereto,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to the Underwriters set forth in Schedule II hereto that portion of the number of Optional Shares as to which such election shall have been exercised.</w:t>
      </w:r>
    </w:p>
    <w:p>
      <w:pPr>
        <w:sectPr>
          <w:pgSz w:w="11900" w:h="16838" w:orient="portrait"/>
          <w:cols w:equalWidth="0" w:num="1">
            <w:col w:w="10219"/>
          </w:cols>
          <w:pgMar w:left="240" w:top="669" w:right="1440" w:bottom="1440" w:gutter="0" w:footer="0" w:header="0"/>
        </w:sectPr>
      </w:pPr>
    </w:p>
    <w:bookmarkStart w:id="45" w:name="page46"/>
    <w:bookmarkEnd w:id="45"/>
    <w:p>
      <w:pPr>
        <w:ind w:right="2539" w:firstLine="480"/>
        <w:spacing w:after="0" w:line="262" w:lineRule="auto"/>
        <w:rPr>
          <w:sz w:val="20"/>
          <w:szCs w:val="20"/>
          <w:color w:val="auto"/>
        </w:rPr>
      </w:pPr>
      <w:r>
        <w:rPr>
          <w:rFonts w:ascii="Courier New" w:cs="Courier New" w:eastAsia="Courier New" w:hAnsi="Courier New"/>
          <w:sz w:val="15"/>
          <w:szCs w:val="15"/>
          <w:color w:val="auto"/>
        </w:rPr>
        <w:t>The Company hereby grants to each of the Underwriters the right to purchase at their election up to the number of Optional Shares set forth opposite the name of such Underwriter in Schedule I hereto on the terms referred to in the paragraph above for the sole purpose of covering over-allotments in the sale of the Firm Shares. Any such election to purchase Optional Shares may be exercised by written notice from the Representatives to the Company given within a period of 30 calendar days after the date of this Pricing Agreement, setting forth the aggregate number of Optional Shares to be purchased and the date on which such Optional Shares are to be delivered, as determined by the Representatives, but in no event earlier than the First Time of Delivery or, unless the Representatives and the Company otherwise agrees in writing, no earlier than two or later than ten business days after the date of such notice.</w:t>
      </w:r>
    </w:p>
    <w:p>
      <w:pPr>
        <w:spacing w:after="0" w:line="362"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If the foregoing is in accordance with your understanding, please sign and return to us seven (7)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 examination, upon request, but without warranty on the part of the Representatives as to the authority of the signers thereof.</w:t>
      </w:r>
    </w:p>
    <w:p>
      <w:pPr>
        <w:spacing w:after="0" w:line="17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MICRON TECHNOLOGY, INC.</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as of the date hereof:</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of Representatives]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behalf of each of the Underwriters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46" w:name="page47"/>
    <w:bookmarkEnd w:id="46"/>
    <w:p>
      <w:pPr>
        <w:ind w:left="3360"/>
        <w:spacing w:after="0"/>
        <w:rPr>
          <w:sz w:val="20"/>
          <w:szCs w:val="20"/>
          <w:color w:val="auto"/>
        </w:rPr>
      </w:pPr>
      <w:r>
        <w:rPr>
          <w:rFonts w:ascii="Courier New" w:cs="Courier New" w:eastAsia="Courier New" w:hAnsi="Courier New"/>
          <w:sz w:val="15"/>
          <w:szCs w:val="15"/>
          <w:color w:val="auto"/>
        </w:rPr>
        <w:t>SCHEDULE I</w:t>
      </w:r>
    </w:p>
    <w:p>
      <w:pPr>
        <w:sectPr>
          <w:pgSz w:w="11900" w:h="16838" w:orient="portrait"/>
          <w:cols w:equalWidth="0" w:num="1">
            <w:col w:w="10219"/>
          </w:cols>
          <w:pgMar w:left="240" w:top="6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UNDERWRITER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FIRM</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PURCHASED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MAXIMUM NUMBER OF</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OPTIONAL SHARES</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WHICH MAY BE</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PURCHASED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3">
            <w:col w:w="2980" w:space="280"/>
            <w:col w:w="1840" w:space="180"/>
            <w:col w:w="4939"/>
          </w:cols>
          <w:pgMar w:left="240" w:top="67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[NAMES OF UNDERWRITERS]</w:t>
      </w:r>
    </w:p>
    <w:p>
      <w:pPr>
        <w:sectPr>
          <w:pgSz w:w="11900" w:h="16838" w:orient="portrait"/>
          <w:cols w:equalWidth="0" w:num="1">
            <w:col w:w="10219"/>
          </w:cols>
          <w:pgMar w:left="240" w:top="67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3">
            <w:col w:w="2840" w:space="720"/>
            <w:col w:w="1680" w:space="720"/>
            <w:col w:w="4259"/>
          </w:cols>
          <w:pgMar w:left="240" w:top="671" w:right="1440" w:bottom="1440" w:gutter="0" w:footer="0" w:header="0"/>
          <w:type w:val="continuous"/>
        </w:sect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type w:val="continuous"/>
        </w:sectPr>
      </w:pPr>
    </w:p>
    <w:bookmarkStart w:id="47" w:name="page48"/>
    <w:bookmarkEnd w:id="47"/>
    <w:p>
      <w:pPr>
        <w:ind w:left="3260"/>
        <w:spacing w:after="0"/>
        <w:rPr>
          <w:sz w:val="20"/>
          <w:szCs w:val="20"/>
          <w:color w:val="auto"/>
        </w:rPr>
      </w:pPr>
      <w:r>
        <w:rPr>
          <w:rFonts w:ascii="Courier New" w:cs="Courier New" w:eastAsia="Courier New" w:hAnsi="Courier New"/>
          <w:sz w:val="16"/>
          <w:szCs w:val="16"/>
          <w:color w:val="auto"/>
        </w:rPr>
        <w:t>SCHEDULE II</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DESIGNATED SHARES: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Common Stock, par value $0.10 per share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DESIGNATED SHARES: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Number of Firm Shares:</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Maximum Number of Optional Shares: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INITIAL OFFERING PRICE TO PUBLIC:</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per Share] [Formula]</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PRICE BY UNDERWRITERS: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per Share] [Formula]</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PAYABLE TO UNDERWRITERS: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per Share in Federal (same day) funds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DESIGNATED SHARES:</w:t>
      </w:r>
    </w:p>
    <w:p>
      <w:pPr>
        <w:spacing w:after="0" w:line="190" w:lineRule="exact"/>
        <w:rPr>
          <w:sz w:val="20"/>
          <w:szCs w:val="20"/>
          <w:color w:val="auto"/>
        </w:rPr>
      </w:pPr>
    </w:p>
    <w:p>
      <w:pPr>
        <w:ind w:left="480" w:right="2719"/>
        <w:spacing w:after="0" w:line="243" w:lineRule="auto"/>
        <w:rPr>
          <w:sz w:val="20"/>
          <w:szCs w:val="20"/>
          <w:color w:val="auto"/>
        </w:rPr>
      </w:pPr>
      <w:r>
        <w:rPr>
          <w:rFonts w:ascii="Courier New" w:cs="Courier New" w:eastAsia="Courier New" w:hAnsi="Courier New"/>
          <w:sz w:val="16"/>
          <w:szCs w:val="16"/>
          <w:color w:val="auto"/>
        </w:rPr>
        <w:t>Definitive form, to be made available for checking at least twenty-four hours prior to the Time of Delivery at the office of The Depository Trust Company or its designated custodian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SPECIFIED FUNDS FOR PAYMENT OF PURCHASE PRICE: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Federal (same day) funds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[DESCRIBE ANY BLACKOUT PROVISIONS WITH RESPECT TO THE DESIGNATED SHARES]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 OF DELIVERY:</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a.m. (New York City time), .................., 199</w:t>
      </w:r>
    </w:p>
    <w:p>
      <w:pPr>
        <w:spacing w:after="0" w:line="4" w:lineRule="exact"/>
        <w:rPr>
          <w:sz w:val="20"/>
          <w:szCs w:val="20"/>
          <w:color w:val="auto"/>
        </w:rPr>
      </w:pPr>
    </w:p>
    <w:p>
      <w:pPr>
        <w:ind w:left="624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CLOSING LOCATION:</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Wilson Sonsini Goodrich &amp; Rosati, Professional Corporation</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650 Page Mill Road</w:t>
      </w:r>
    </w:p>
    <w:p>
      <w:pPr>
        <w:spacing w:after="0" w:line="4" w:lineRule="exact"/>
        <w:rPr>
          <w:sz w:val="20"/>
          <w:szCs w:val="20"/>
          <w:color w:val="auto"/>
        </w:rPr>
      </w:pPr>
    </w:p>
    <w:p>
      <w:pPr>
        <w:ind w:left="480"/>
        <w:spacing w:after="0"/>
        <w:tabs>
          <w:tab w:leader="none" w:pos="2660" w:val="left"/>
        </w:tabs>
        <w:rPr>
          <w:sz w:val="20"/>
          <w:szCs w:val="20"/>
          <w:color w:val="auto"/>
        </w:rPr>
      </w:pPr>
      <w:r>
        <w:rPr>
          <w:rFonts w:ascii="Courier New" w:cs="Courier New" w:eastAsia="Courier New" w:hAnsi="Courier New"/>
          <w:sz w:val="16"/>
          <w:szCs w:val="16"/>
          <w:color w:val="auto"/>
        </w:rPr>
        <w:t>Palo Alto, California</w:t>
        <w:tab/>
        <w:t>94304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AND ADDRESSES OF REPRESENTATIVES: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Designated Representatives: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Address for Notices, etc.:</w:t>
      </w:r>
    </w:p>
    <w:p>
      <w:pPr>
        <w:sectPr>
          <w:pgSz w:w="11900" w:h="16838" w:orient="portrait"/>
          <w:cols w:equalWidth="0" w:num="1">
            <w:col w:w="10219"/>
          </w:cols>
          <w:pgMar w:left="240" w:top="669" w:right="1440" w:bottom="1440" w:gutter="0" w:footer="0" w:header="0"/>
        </w:sectPr>
      </w:pPr>
    </w:p>
    <w:bookmarkStart w:id="48" w:name="page49"/>
    <w:bookmarkEnd w:id="48"/>
    <w:p>
      <w:pPr>
        <w:ind w:left="1"/>
        <w:spacing w:after="0"/>
        <w:rPr>
          <w:sz w:val="20"/>
          <w:szCs w:val="20"/>
          <w:color w:val="auto"/>
        </w:rPr>
      </w:pPr>
      <w:r>
        <w:rPr>
          <w:rFonts w:ascii="Courier New" w:cs="Courier New" w:eastAsia="Courier New" w:hAnsi="Courier New"/>
          <w:sz w:val="16"/>
          <w:szCs w:val="16"/>
          <w:color w:val="auto"/>
        </w:rPr>
        <w:t>[OTHER TERMS]*: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right="2639" w:hanging="481"/>
        <w:spacing w:after="0" w:line="244" w:lineRule="auto"/>
        <w:tabs>
          <w:tab w:leader="none" w:pos="48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particular tax, accounting or other unusual features (including any event risk provisions) of the Designated Shares should be set forth, or referenced to an attached or accompanying description, if necessary, to ensure agreement as to the terms of the Designated Shares to be purchased and sold. Such a description might appropriately be in the form in which such features will be described in the Prospectus Supplement for the offering.</w:t>
      </w:r>
    </w:p>
    <w:p>
      <w:pPr>
        <w:spacing w:after="0" w:line="18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9" w:top="669" w:right="1440" w:bottom="1440" w:gutter="0" w:footer="0" w:header="0"/>
        </w:sectPr>
      </w:pPr>
    </w:p>
    <w:bookmarkStart w:id="49" w:name="page50"/>
    <w:bookmarkEnd w:id="49"/>
    <w:p>
      <w:pPr>
        <w:jc w:val="center"/>
        <w:ind w:right="2639"/>
        <w:spacing w:after="0"/>
        <w:rPr>
          <w:sz w:val="20"/>
          <w:szCs w:val="20"/>
          <w:color w:val="auto"/>
        </w:rPr>
      </w:pPr>
      <w:r>
        <w:rPr>
          <w:rFonts w:ascii="Courier New" w:cs="Courier New" w:eastAsia="Courier New" w:hAnsi="Courier New"/>
          <w:sz w:val="16"/>
          <w:szCs w:val="16"/>
          <w:color w:val="auto"/>
        </w:rPr>
        <w:t>ANNEX I</w:t>
      </w:r>
    </w:p>
    <w:p>
      <w:pPr>
        <w:spacing w:after="0" w:line="190" w:lineRule="exact"/>
        <w:rPr>
          <w:sz w:val="20"/>
          <w:szCs w:val="20"/>
          <w:color w:val="auto"/>
        </w:rPr>
      </w:pPr>
    </w:p>
    <w:p>
      <w:pPr>
        <w:ind w:right="2919" w:firstLine="480"/>
        <w:spacing w:after="0" w:line="242" w:lineRule="auto"/>
        <w:rPr>
          <w:sz w:val="20"/>
          <w:szCs w:val="20"/>
          <w:color w:val="auto"/>
        </w:rPr>
      </w:pPr>
      <w:r>
        <w:rPr>
          <w:rFonts w:ascii="Courier New" w:cs="Courier New" w:eastAsia="Courier New" w:hAnsi="Courier New"/>
          <w:sz w:val="16"/>
          <w:szCs w:val="16"/>
          <w:color w:val="auto"/>
        </w:rPr>
        <w:t>Pursuant to Section 7(f) of the Underwriting Agreement, the accountants shall furnish letters to the Underwriters to the effect that:</w:t>
      </w:r>
    </w:p>
    <w:p>
      <w:pPr>
        <w:spacing w:after="0" w:line="189" w:lineRule="exact"/>
        <w:rPr>
          <w:sz w:val="20"/>
          <w:szCs w:val="20"/>
          <w:color w:val="auto"/>
        </w:rPr>
      </w:pPr>
    </w:p>
    <w:p>
      <w:pPr>
        <w:ind w:right="2719" w:firstLine="671"/>
        <w:spacing w:after="0" w:line="243" w:lineRule="auto"/>
        <w:tabs>
          <w:tab w:leader="none" w:pos="124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are independent certified public accountants with respect to the Company and its subsidiaries within the meaning of the Act and the applicable published rules and regulations thereunder;</w:t>
      </w:r>
    </w:p>
    <w:p>
      <w:pPr>
        <w:spacing w:after="0" w:line="188" w:lineRule="exact"/>
        <w:rPr>
          <w:rFonts w:ascii="Courier New" w:cs="Courier New" w:eastAsia="Courier New" w:hAnsi="Courier New"/>
          <w:sz w:val="16"/>
          <w:szCs w:val="16"/>
          <w:color w:val="auto"/>
        </w:rPr>
      </w:pPr>
    </w:p>
    <w:p>
      <w:pPr>
        <w:ind w:right="2539" w:firstLine="671"/>
        <w:spacing w:after="0" w:line="244" w:lineRule="auto"/>
        <w:tabs>
          <w:tab w:leader="none" w:pos="124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opinion, the financial statements and any supplementary financial information and schedules (and, if applicable, financial forecasts and/or pro forma financial information) examined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 and, if applicable, they have made a review in accordance with standards established by the American Institute of Certified Public Accountants of the consolidated interim financial statements, selected financial data, pro forma financial information, financial forecasts and/or condensed financial statements derived from audited financial statements of the Company for the periods specified in such letter, as indicated in their reports thereon, copies of which have been furnished to the representatives of the Underwriters (the "Representatives") and are attached hereto;</w:t>
      </w:r>
    </w:p>
    <w:p>
      <w:pPr>
        <w:spacing w:after="0" w:line="191" w:lineRule="exact"/>
        <w:rPr>
          <w:rFonts w:ascii="Courier New" w:cs="Courier New" w:eastAsia="Courier New" w:hAnsi="Courier New"/>
          <w:sz w:val="16"/>
          <w:szCs w:val="16"/>
          <w:color w:val="auto"/>
        </w:rPr>
      </w:pPr>
    </w:p>
    <w:p>
      <w:pPr>
        <w:ind w:right="2539" w:firstLine="671"/>
        <w:spacing w:after="0" w:line="244" w:lineRule="auto"/>
        <w:tabs>
          <w:tab w:leader="none" w:pos="124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made a review in accordance with standards established by the American Institute of Certified Public Accountants of the unaudited condensed consolidated statements of income, consolidated balance sheets and consolidated statements of cash flows included in the Prospectus and/or included in the Company's quarterly reports on Form 10-Q incorporated by reference into the Prospectus as indicated in their reports thereon copies of which are attached hereto; and on the basis of specified procedures including inquiries of officials of the Company who have responsibility for financial and accounting matters regarding whether the unaudited condensed consolidated financial statements referred to in paragraph (vi)(A)(i) below comply as to form in all material respects with the applicable accounting requirements of the Act and the Exchange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Exchange Act and the related published rules and regulations;</w:t>
      </w:r>
    </w:p>
    <w:p>
      <w:pPr>
        <w:spacing w:after="0" w:line="192" w:lineRule="exact"/>
        <w:rPr>
          <w:rFonts w:ascii="Courier New" w:cs="Courier New" w:eastAsia="Courier New" w:hAnsi="Courier New"/>
          <w:sz w:val="16"/>
          <w:szCs w:val="16"/>
          <w:color w:val="auto"/>
        </w:rPr>
      </w:pPr>
    </w:p>
    <w:p>
      <w:pPr>
        <w:ind w:right="2539" w:firstLine="671"/>
        <w:spacing w:after="0" w:line="244" w:lineRule="auto"/>
        <w:tabs>
          <w:tab w:leader="none" w:pos="124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selected financial information with respect to the consolidated results of operations and financial position of the Company for the five most recent fiscal years included in the Prospectus and included or incorporated by reference in Item 6 of the Company's Annual Report on Form 10-K for the most recent fiscal year agrees with the corresponding amounts (after restatement where applicable) in the audited consolidated financial statements for such five fiscal years which were included or incorporated by reference in the Company's Annual Reports on Form 10-K for such fiscal years;</w:t>
      </w:r>
    </w:p>
    <w:p>
      <w:pPr>
        <w:spacing w:after="0" w:line="188" w:lineRule="exact"/>
        <w:rPr>
          <w:rFonts w:ascii="Courier New" w:cs="Courier New" w:eastAsia="Courier New" w:hAnsi="Courier New"/>
          <w:sz w:val="16"/>
          <w:szCs w:val="16"/>
          <w:color w:val="auto"/>
        </w:rPr>
      </w:pPr>
    </w:p>
    <w:p>
      <w:pPr>
        <w:ind w:right="2539" w:firstLine="671"/>
        <w:spacing w:after="0" w:line="263" w:lineRule="auto"/>
        <w:tabs>
          <w:tab w:leader="none" w:pos="12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have compared the information in the Prospectus under selected captions with the disclosure requirements of Regulation S-K and on the basis of limited procedures specified in such letter nothing came to their attention as a result of the foregoing procedures that caused them to believe that this information does not conform in all material respects with the disclosure requirements of items 301, 302, 402 and 503(d), respectively, of Regulation S-K;</w:t>
      </w:r>
    </w:p>
    <w:p>
      <w:pPr>
        <w:spacing w:after="0" w:line="176" w:lineRule="exact"/>
        <w:rPr>
          <w:rFonts w:ascii="Courier New" w:cs="Courier New" w:eastAsia="Courier New" w:hAnsi="Courier New"/>
          <w:sz w:val="15"/>
          <w:szCs w:val="15"/>
          <w:color w:val="auto"/>
        </w:rPr>
      </w:pPr>
    </w:p>
    <w:p>
      <w:pPr>
        <w:ind w:right="2539" w:firstLine="671"/>
        <w:spacing w:after="0" w:line="262" w:lineRule="auto"/>
        <w:tabs>
          <w:tab w:leader="none" w:pos="12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or incorporated by reference in the Prospectus, inquiries of officials of the Company and its subsidiaries responsible for financial and accounting matters and such other inquiries and procedures as may be specified in such letter, nothing came to their attention that caused them to believe that:</w:t>
      </w:r>
    </w:p>
    <w:p>
      <w:pPr>
        <w:sectPr>
          <w:pgSz w:w="11900" w:h="16838" w:orient="portrait"/>
          <w:cols w:equalWidth="0" w:num="1">
            <w:col w:w="10219"/>
          </w:cols>
          <w:pgMar w:left="240" w:top="669" w:right="1440" w:bottom="1440" w:gutter="0" w:footer="0" w:header="0"/>
        </w:sectPr>
      </w:pPr>
    </w:p>
    <w:bookmarkStart w:id="50" w:name="page51"/>
    <w:bookmarkEnd w:id="50"/>
    <w:p>
      <w:pPr>
        <w:ind w:right="2539" w:firstLine="959"/>
        <w:spacing w:after="0" w:line="244" w:lineRule="auto"/>
        <w:tabs>
          <w:tab w:leader="none" w:pos="144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unaudited condensed consolidated statements of income, consolidated balance sheets and consolidated statements of cash flows included in the Prospectus and/or included or incorporated by reference in the Company's Quarterly Reports on Form 10-Q incorporated by reference in the Prospectus do not comply as to form in all material respects with the applicable accounting requirements of the Exchange Act and the related published rules and regulations, or (ii) any material modifications should be made to the unaudited condensed consolidated statements of income, consolidated balance sheets and consolidated statements of cash flows included in the Prospectus or included in the Company's Quarterly Reports on Form 10-Q incorporated by reference in the Prospectus, for them to be in conformity with generally accepted accounting principles;</w:t>
      </w:r>
    </w:p>
    <w:p>
      <w:pPr>
        <w:spacing w:after="0" w:line="190" w:lineRule="exact"/>
        <w:rPr>
          <w:rFonts w:ascii="Courier New" w:cs="Courier New" w:eastAsia="Courier New" w:hAnsi="Courier New"/>
          <w:sz w:val="16"/>
          <w:szCs w:val="16"/>
          <w:color w:val="auto"/>
        </w:rPr>
      </w:pPr>
    </w:p>
    <w:p>
      <w:pPr>
        <w:ind w:right="2539" w:firstLine="959"/>
        <w:spacing w:after="0" w:line="263" w:lineRule="auto"/>
        <w:tabs>
          <w:tab w:leader="none" w:pos="144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or incorporated by reference in the Company's Annual Report on Form 10-K for the most recent fiscal year;</w:t>
      </w:r>
    </w:p>
    <w:p>
      <w:pPr>
        <w:spacing w:after="0" w:line="174" w:lineRule="exact"/>
        <w:rPr>
          <w:rFonts w:ascii="Courier New" w:cs="Courier New" w:eastAsia="Courier New" w:hAnsi="Courier New"/>
          <w:sz w:val="15"/>
          <w:szCs w:val="15"/>
          <w:color w:val="auto"/>
        </w:rPr>
      </w:pPr>
    </w:p>
    <w:p>
      <w:pPr>
        <w:ind w:right="2539" w:firstLine="959"/>
        <w:spacing w:after="0" w:line="244" w:lineRule="auto"/>
        <w:tabs>
          <w:tab w:leader="none" w:pos="144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financial statements which were not included in the Prospectus but from which were derived the unaudited condensed financial statements referred to in clause (A) and any unaudited income statement data and balance sheet items included in the Prospectus and referred to in Clause (B) were not determined on a basis substantially consistent with the basis for the audited financial statements included or incorporated by reference in the Company's Annual Report on Form 10-K for the most recent fiscal year;</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44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unaudited pro forma consolidated condensed financial statements included or incorporated by reference in the Prospectus do not comply as to form in all material respects with the applicable accounting requirements of the Act and the published rules and regulations thereunder or the pro forma adjustments have not been properly applied to the historical amounts in the compilation of those statements;</w:t>
      </w:r>
    </w:p>
    <w:p>
      <w:pPr>
        <w:spacing w:after="0" w:line="187" w:lineRule="exact"/>
        <w:rPr>
          <w:rFonts w:ascii="Courier New" w:cs="Courier New" w:eastAsia="Courier New" w:hAnsi="Courier New"/>
          <w:sz w:val="16"/>
          <w:szCs w:val="16"/>
          <w:color w:val="auto"/>
        </w:rPr>
      </w:pPr>
    </w:p>
    <w:p>
      <w:pPr>
        <w:ind w:right="2539" w:firstLine="959"/>
        <w:spacing w:after="0" w:line="244" w:lineRule="auto"/>
        <w:tabs>
          <w:tab w:leader="none" w:pos="144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a specified date not more than five days prior to the date of such letter,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the latest balance sheet included or incorporated by reference in the Prospectus) or any increase in the consolidated long-term debt of the Company and its subsidiaries, or any decreases in consolidated net current assets or stockholders' equity or other items specified by the Representatives, or any increases in any items specified by the Representatives, in each case as compared with amounts shown in the latest balance sheet included or incorporated by reference in the Prospectus, except in each case for changes, increases or decreases which the Prospectus discloses have occurred or may occur or which are described in such letter; and</w:t>
      </w:r>
    </w:p>
    <w:p>
      <w:pPr>
        <w:spacing w:after="0" w:line="191" w:lineRule="exact"/>
        <w:rPr>
          <w:rFonts w:ascii="Courier New" w:cs="Courier New" w:eastAsia="Courier New" w:hAnsi="Courier New"/>
          <w:sz w:val="16"/>
          <w:szCs w:val="16"/>
          <w:color w:val="auto"/>
        </w:rPr>
      </w:pPr>
    </w:p>
    <w:p>
      <w:pPr>
        <w:ind w:right="2539" w:firstLine="959"/>
        <w:spacing w:after="0" w:line="244" w:lineRule="auto"/>
        <w:tabs>
          <w:tab w:leader="none" w:pos="144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period from the date of the latest financial statements included or incorporated by reference in the Prospectus to the specified date referred to in Clause (E) there were any decreases in consolidated net revenues or operating profit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increases or decreases which the Prospectus discloses have occurred or may occur or which are described in such letter; and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All references in this Annex I to the Prospectus shall be deemed to refer to the Prospectus (including the documents incorporated by reference therein) as defined in the Underwriting Agreement as of the date of the letter delivered on the date of the Pricing Agreement for purposes of such letter and to the Prospectus as amended or supplemented (including the documents incorporated by reference therein) in relation to the applicable Designated Shares for purposes of the letter delivered at the Time of Delivery for such Designated Shares.</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51" w:name="page52"/>
    <w:bookmarkEnd w:id="51"/>
    <w:p>
      <w:pPr>
        <w:jc w:val="right"/>
        <w:ind w:right="2539"/>
        <w:spacing w:after="0"/>
        <w:rPr>
          <w:sz w:val="20"/>
          <w:szCs w:val="20"/>
          <w:color w:val="auto"/>
        </w:rPr>
      </w:pPr>
      <w:r>
        <w:rPr>
          <w:rFonts w:ascii="Courier New" w:cs="Courier New" w:eastAsia="Courier New" w:hAnsi="Courier New"/>
          <w:sz w:val="16"/>
          <w:szCs w:val="16"/>
          <w:color w:val="auto"/>
        </w:rPr>
        <w:t>EXHIBIT 1.2</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MICRON TECHNOLOGY, INC.</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DEBT SECURITIES</w:t>
      </w:r>
    </w:p>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UNDERWRITING AGREEMENT</w:t>
      </w:r>
    </w:p>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______________, 199__</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Representatives of the several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Underwriters named in the respective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Pricing Agreements hereinafter described.</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From time to time Micron Technology, Inc., a Delaware corporation (the "Company"), proposes to enter into one or more Pricing Agreements (each a "Pricing Agreement") in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debt securities (the "Securities") specified in Schedule II to such Pricing Agreement (with respect to such Pricing Agreement, the "Designated Securities").</w:t>
      </w:r>
    </w:p>
    <w:p>
      <w:pPr>
        <w:spacing w:after="0" w:line="190"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The terms and rights of any particular issuance of Designated Securities shall be as specified in the Pricing Agreement relating thereto and in or pursuant to the indenture (the "Indenture") identified in such Pricing Agreement.</w:t>
      </w:r>
    </w:p>
    <w:p>
      <w:pPr>
        <w:spacing w:after="0" w:line="190" w:lineRule="exact"/>
        <w:rPr>
          <w:sz w:val="20"/>
          <w:szCs w:val="20"/>
          <w:color w:val="auto"/>
        </w:rPr>
      </w:pPr>
    </w:p>
    <w:p>
      <w:pPr>
        <w:ind w:right="2539" w:firstLine="479"/>
        <w:spacing w:after="0" w:line="244" w:lineRule="auto"/>
        <w:tabs>
          <w:tab w:leader="none" w:pos="96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Particular sales of Designated Securities may be made from time to time to the Underwriters of such Securities, for whom the firms designated as representatives of the Underwriters of such Securities in the Pricing Agreement relating thereto will act as representatives (the "Representatives"). The term "Representatives" also refers to a single firm acting as sole representative of the Underwriters and to an Underwriter or Underwriters who act without any firm being designated as its or their representatives. This Underwriting Agreement shall not be construed as an obligation of the Company to sell any of the Securities or as an obligation of any of the Underwriters to purchase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telegraphic communications or any other rapid</w:t>
      </w:r>
    </w:p>
    <w:p>
      <w:pPr>
        <w:sectPr>
          <w:pgSz w:w="11900" w:h="16838" w:orient="portrait"/>
          <w:cols w:equalWidth="0" w:num="1">
            <w:col w:w="10219"/>
          </w:cols>
          <w:pgMar w:left="240" w:top="509" w:right="1440" w:bottom="1440" w:gutter="0" w:footer="0" w:header="0"/>
        </w:sectPr>
      </w:pPr>
    </w:p>
    <w:bookmarkStart w:id="52" w:name="page53"/>
    <w:bookmarkEnd w:id="52"/>
    <w:p>
      <w:pPr>
        <w:ind w:right="2719"/>
        <w:spacing w:after="0" w:line="243" w:lineRule="auto"/>
        <w:rPr>
          <w:sz w:val="20"/>
          <w:szCs w:val="20"/>
          <w:color w:val="auto"/>
        </w:rPr>
      </w:pPr>
      <w:r>
        <w:rPr>
          <w:rFonts w:ascii="Courier New" w:cs="Courier New" w:eastAsia="Courier New" w:hAnsi="Courier New"/>
          <w:sz w:val="16"/>
          <w:szCs w:val="16"/>
          <w:color w:val="auto"/>
        </w:rPr>
        <w:t>transmission device designed to produce a written record of communications transmitted. The obligations of the Underwriters under this Agreement and each Pricing Agreement shall be several and not joint.</w:t>
      </w:r>
    </w:p>
    <w:p>
      <w:pPr>
        <w:spacing w:after="0" w:line="189" w:lineRule="exact"/>
        <w:rPr>
          <w:sz w:val="20"/>
          <w:szCs w:val="20"/>
          <w:color w:val="auto"/>
        </w:rPr>
      </w:pPr>
    </w:p>
    <w:p>
      <w:pPr>
        <w:ind w:right="2719" w:firstLine="479"/>
        <w:spacing w:after="0" w:line="242" w:lineRule="auto"/>
        <w:tabs>
          <w:tab w:leader="none" w:pos="96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represents and warrants to, and agrees with, each of the Underwriters that:</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statement on Form S-3 (File No. 333-18441) (the "Initial Registration Statement") in respect of the Securities has been filed with the Securities and Exchange Commission (the "Commission"); the Initial Registration Statement and any post-effective amendment thereto, each in the form heretofore delivered or to be delivered to the Representatives and, excluding exhibits to the Initial Registration Statement, but including all documents incorporated by reference in the prospectus contained therein, to the Representatives for each of the other Underwriters, have been declared effective by the Commission in such form; no other document with respect to the Initial Registration Statement or document incorporated by reference therein has heretofore been filed or transmitted for filing with the Commission other than a registration statement, if any, increasing the size of the offering (a "Rule 462(b) Registration Statement"), filed pursuant to Rule 462(b) under the Securities Act of 1933, as amended (the "Act"), which became effective upon filing (and other than prospectuses filed pursuant to Rule 424(b) of the rules and regulations of the Commission under the Act, each in the form heretofore delivered to the Representatives); and no stop order suspending the effectiveness of the Initial Registration Statement, any post-effective amendment thereto or the Rule 462(b) Registration Statement, if any, has been issued and no proceeding for that purpose has been initiated or threatened by the Commission (any preliminary prospectus included in such registration statement or filed with the Commission pursuant to Rule 424(a) under the Act, is hereinafter called a "Preliminary Prospectus;" the various parts of the Initial Registration Statement and the Rule 462(b) Registration Statement, if any, including all exhibits thereto and the documents incorporated by reference in the prospectus contained in the Initial Registration Statement at the time such part of the Initial Registration Statement became effective or such part of the Rule 462(b) Registration Statement, if any, became or hereafter becomes effective, but excluding Form T-1, each as amended at the time such part of the registration statement became effective, are hereinafter collectively called the "Registration Statement;" the prospectus relating to the Securities, in the form in which it has most recently been filed, or transmitted for filing, with the Commission on or prior to the date of this Agreement, being hereinafter called the "Prospectus;" any reference herein to any Preliminary Prospectus or the Prospectus shall be deemed to refer to and include the documents incorporated by reference therein pursuant to the applicable form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annual report of the Company filed pursuant to Sections 13(a) or 15(d) of the Exchange Act after the effective date of the Registration Statement that is incorporated by reference in the Registration Statement; and any reference to the Prospectus as amended or supplemented shall be deemed to refer to the Prospectus as amended or supplemented in relation to the applicable Designated Securities in the form in which it is filed with the Commission pursuant to Rule 424(b) under the Act in accordance with Section 5(a) hereof, including any documents incorporated by reference therein as of the date of such filing);</w:t>
      </w:r>
    </w:p>
    <w:p>
      <w:pPr>
        <w:spacing w:after="0" w:line="210" w:lineRule="exact"/>
        <w:rPr>
          <w:rFonts w:ascii="Courier New" w:cs="Courier New" w:eastAsia="Courier New" w:hAnsi="Courier New"/>
          <w:sz w:val="16"/>
          <w:szCs w:val="16"/>
          <w:color w:val="auto"/>
        </w:rPr>
      </w:pPr>
    </w:p>
    <w:p>
      <w:pPr>
        <w:ind w:right="2639" w:firstLine="959"/>
        <w:spacing w:after="0" w:line="244" w:lineRule="auto"/>
        <w:tabs>
          <w:tab w:leader="none" w:pos="1345"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53" w:name="page54"/>
    <w:bookmarkEnd w:id="53"/>
    <w:p>
      <w:pPr>
        <w:ind w:right="2539"/>
        <w:spacing w:after="0" w:line="244" w:lineRule="auto"/>
        <w:rPr>
          <w:sz w:val="20"/>
          <w:szCs w:val="20"/>
          <w:color w:val="auto"/>
        </w:rPr>
      </w:pPr>
      <w:r>
        <w:rPr>
          <w:rFonts w:ascii="Courier New" w:cs="Courier New" w:eastAsia="Courier New" w:hAnsi="Courier New"/>
          <w:sz w:val="16"/>
          <w:szCs w:val="16"/>
          <w:color w:val="auto"/>
        </w:rPr>
        <w:t>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190" w:lineRule="exact"/>
        <w:rPr>
          <w:sz w:val="20"/>
          <w:szCs w:val="20"/>
          <w:color w:val="auto"/>
        </w:rPr>
      </w:pPr>
    </w:p>
    <w:p>
      <w:pPr>
        <w:ind w:right="2539" w:firstLine="959"/>
        <w:spacing w:after="0" w:line="244" w:lineRule="auto"/>
        <w:tabs>
          <w:tab w:leader="none" w:pos="134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conform, and any further amendments or supplements to the Registration Statement or the Prospectus will conform, in all material respects to the requirements of the Act and the Trust Indenture Act of 1939, as amended (the "Trust Indenture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192"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material change in the capital stock or long-term debt of the Company or any of its subsidiaries or any material adverse change, or any development that would reasonably be expected to cause a prospective material adverse change, in the general affairs, management, financial position, shareholders' equity or results of operations of the Company and its subsidiaries, otherwise than as set forth or contemplated in the Prospectus;</w:t>
      </w:r>
    </w:p>
    <w:p>
      <w:pPr>
        <w:spacing w:after="0" w:line="191" w:lineRule="exact"/>
        <w:rPr>
          <w:rFonts w:ascii="Courier New" w:cs="Courier New" w:eastAsia="Courier New" w:hAnsi="Courier New"/>
          <w:sz w:val="16"/>
          <w:szCs w:val="16"/>
          <w:color w:val="auto"/>
        </w:rPr>
      </w:pPr>
    </w:p>
    <w:p>
      <w:pPr>
        <w:ind w:right="2639" w:firstLine="959"/>
        <w:spacing w:after="0" w:line="243" w:lineRule="auto"/>
        <w:tabs>
          <w:tab w:leader="none" w:pos="134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validly existing as a corporation in good standing under the laws of the State of Delaware, with power and authority (corporate and other) to own its properties and conduct its business as described in the Prospectus;</w:t>
      </w:r>
    </w:p>
    <w:p>
      <w:pPr>
        <w:spacing w:after="0" w:line="189" w:lineRule="exact"/>
        <w:rPr>
          <w:rFonts w:ascii="Courier New" w:cs="Courier New" w:eastAsia="Courier New" w:hAnsi="Courier New"/>
          <w:sz w:val="16"/>
          <w:szCs w:val="16"/>
          <w:color w:val="auto"/>
        </w:rPr>
      </w:pPr>
    </w:p>
    <w:p>
      <w:pPr>
        <w:ind w:right="2719" w:firstLine="959"/>
        <w:spacing w:after="0" w:line="243" w:lineRule="auto"/>
        <w:tabs>
          <w:tab w:leader="none" w:pos="134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an authorized capitalization as set forth in the Prospectus, and all of the issued shares of capital stock of the Company have been duly and validly authorized and issued and are fully paid and non-assessable;</w:t>
      </w:r>
    </w:p>
    <w:p>
      <w:pPr>
        <w:spacing w:after="0" w:line="189"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Designated Securities are issued and delivered pursuant to this Agreement and the Pricing Agreement with respect to such Designated Securities, such Designated Securities will have been duly authorized,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(as defined in Section 4 hereof), the Indenture will constitute a valid and legally binding instrument, enforceable against the Company in accordance with its terms, subject, as to enforcement, to bankruptcy, insolvency, reorganization and other laws of</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sectPr>
      </w:pPr>
    </w:p>
    <w:bookmarkStart w:id="54" w:name="page55"/>
    <w:bookmarkEnd w:id="54"/>
    <w:p>
      <w:pPr>
        <w:ind w:right="2639"/>
        <w:spacing w:after="0" w:line="244" w:lineRule="auto"/>
        <w:rPr>
          <w:sz w:val="20"/>
          <w:szCs w:val="20"/>
          <w:color w:val="auto"/>
        </w:rPr>
      </w:pPr>
      <w:r>
        <w:rPr>
          <w:rFonts w:ascii="Courier New" w:cs="Courier New" w:eastAsia="Courier New" w:hAnsi="Courier New"/>
          <w:sz w:val="16"/>
          <w:szCs w:val="16"/>
          <w:color w:val="auto"/>
        </w:rPr>
        <w:t>general applicability relating to or affecting creditors' rights and to general equity principles; and the Indenture conforms, and the Designated Securities will conform in all material respects to the descriptions thereof contained in the Prospectus as amended or supplemented with respect to such Designated Securities;</w:t>
      </w:r>
    </w:p>
    <w:p>
      <w:pPr>
        <w:spacing w:after="0" w:line="187" w:lineRule="exact"/>
        <w:rPr>
          <w:sz w:val="20"/>
          <w:szCs w:val="20"/>
          <w:color w:val="auto"/>
        </w:rPr>
      </w:pPr>
    </w:p>
    <w:p>
      <w:pPr>
        <w:ind w:right="2539" w:firstLine="959"/>
        <w:spacing w:after="0" w:line="244" w:lineRule="auto"/>
        <w:tabs>
          <w:tab w:leader="none" w:pos="134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Securities and the compliance by the Company with its obligations pursuant to the Securities, the Indenture, this Agreement and any Pricing Agreement will not result in a breach or violation of any of the terms or provisions of, or constitute a default under, any material indenture, mortgage, deed of trust, loan agreement or other agreement or instrument to which the Company is a party or by which the Company is bound or to which any of the property or assets of the Company is subject, nor will such action result in any violation of the provisions of the Certificate of Incorporation or By-laws of the Company or any statute or any order, rule or regulation of any court or governmental agency or body having jurisdiction over the Company or any of its properties, except where such breach, violation or default would not have a material adverse effect on the Company's business and results of operations; and no consent, approval, authorization, order, registration or qualification of or with any such court or governmental agency or body is required for the issue and sale of the Securities or the performance by the Company of its obligations pursuant to this Agreement or any Pricing Agreement or the Indenture, except such as have been, or will have been prior to the Time of Delivery, obtained under the Act and the Trust Indenture Act and such consents, approvals, authorizations, registrations or qualifications as may be required under state securities or Blue Sky laws in connection with the purchase and distribution of the Securities by the Underwriters and except where the failure to obtain such consents would not have a material adverse effect on the Company's business and results of operations;</w:t>
      </w:r>
    </w:p>
    <w:p>
      <w:pPr>
        <w:spacing w:after="0" w:line="196" w:lineRule="exact"/>
        <w:rPr>
          <w:rFonts w:ascii="Courier New" w:cs="Courier New" w:eastAsia="Courier New" w:hAnsi="Courier New"/>
          <w:sz w:val="16"/>
          <w:szCs w:val="16"/>
          <w:color w:val="auto"/>
        </w:rPr>
      </w:pPr>
    </w:p>
    <w:p>
      <w:pPr>
        <w:ind w:right="2639" w:firstLine="959"/>
        <w:spacing w:after="0" w:line="244" w:lineRule="auto"/>
        <w:tabs>
          <w:tab w:leader="none" w:pos="134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set forth in the Prospectus under the captions "Description of Securities" and "Description of [Notes] [Debentures]", insofar as they purport to constitute a summary of the terms of the Securities, and under the caption ["Taxation"], insofar as they purport to summarize certain provisions of the laws and documents referred to therein, fairly summarize such provisions in all material respects;</w:t>
      </w:r>
    </w:p>
    <w:p>
      <w:pPr>
        <w:spacing w:after="0" w:line="187"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in violation of its Certificate of Incorporation or By-laws or, in any material respect,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w:t>
      </w:r>
    </w:p>
    <w:p>
      <w:pPr>
        <w:spacing w:after="0" w:line="187"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current or future consolidated financial position, shareholders' equity or results of operations of the Company and its subsidiaries; and, to the best of the Company's knowledge, no such proceedings are threatened by governmental authorities or by others;</w:t>
      </w:r>
    </w:p>
    <w:p>
      <w:pPr>
        <w:spacing w:after="0" w:line="189" w:lineRule="exact"/>
        <w:rPr>
          <w:rFonts w:ascii="Courier New" w:cs="Courier New" w:eastAsia="Courier New" w:hAnsi="Courier New"/>
          <w:sz w:val="16"/>
          <w:szCs w:val="16"/>
          <w:color w:val="auto"/>
        </w:rPr>
      </w:pPr>
    </w:p>
    <w:p>
      <w:pPr>
        <w:ind w:right="2819" w:firstLine="959"/>
        <w:spacing w:after="0" w:line="243" w:lineRule="auto"/>
        <w:tabs>
          <w:tab w:leader="none" w:pos="134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and, after giving effect to the offering and sale of the Securities, will not be an "investment company" or an entity "controlled" by an "investment company," as such terms are defined in the Investment Company Act of 1940, as amended (the "Investment Company Act");</w:t>
      </w:r>
    </w:p>
    <w:p>
      <w:pPr>
        <w:spacing w:after="0" w:line="189" w:lineRule="exact"/>
        <w:rPr>
          <w:rFonts w:ascii="Courier New" w:cs="Courier New" w:eastAsia="Courier New" w:hAnsi="Courier New"/>
          <w:sz w:val="16"/>
          <w:szCs w:val="16"/>
          <w:color w:val="auto"/>
        </w:rPr>
      </w:pPr>
    </w:p>
    <w:p>
      <w:pPr>
        <w:ind w:right="2819" w:firstLine="959"/>
        <w:spacing w:after="0" w:line="243" w:lineRule="auto"/>
        <w:tabs>
          <w:tab w:leader="none" w:pos="134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Coopers &amp; Lybrand, L.L.P., who have certified certain financial statements of the Company and its subsidiaries, are independent public accountants as required by the Act and the rules and regulations of the Commission thereunder;</w:t>
      </w:r>
    </w:p>
    <w:p>
      <w:pPr>
        <w:spacing w:after="0" w:line="189" w:lineRule="exact"/>
        <w:rPr>
          <w:rFonts w:ascii="Courier New" w:cs="Courier New" w:eastAsia="Courier New" w:hAnsi="Courier New"/>
          <w:sz w:val="16"/>
          <w:szCs w:val="16"/>
          <w:color w:val="auto"/>
        </w:rPr>
      </w:pPr>
    </w:p>
    <w:p>
      <w:pPr>
        <w:ind w:right="2639" w:firstLine="959"/>
        <w:spacing w:after="0" w:line="243" w:lineRule="auto"/>
        <w:tabs>
          <w:tab w:leader="none" w:pos="134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own or possess or can acquire on commercially reasonable terms adequate licenses or other rights to use all patents, trademarks, service marks, trade names,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55" w:name="page56"/>
    <w:bookmarkEnd w:id="55"/>
    <w:p>
      <w:pPr>
        <w:ind w:right="2539"/>
        <w:spacing w:after="0" w:line="262" w:lineRule="auto"/>
        <w:rPr>
          <w:sz w:val="20"/>
          <w:szCs w:val="20"/>
          <w:color w:val="auto"/>
        </w:rPr>
      </w:pPr>
      <w:r>
        <w:rPr>
          <w:rFonts w:ascii="Courier New" w:cs="Courier New" w:eastAsia="Courier New" w:hAnsi="Courier New"/>
          <w:sz w:val="15"/>
          <w:szCs w:val="15"/>
          <w:color w:val="auto"/>
        </w:rPr>
        <w:t>copyrights, mask work rights, technology and know-how necessary to conduct the business now or proposed to be conducted by the Company and its subsidiaries as described in the Prospectus, and except as disclosed in the Prospectus the Company has not received any notice of infringement of or conflict with (and knows of no such infringement of or conflict with) asserted rights of others with respect to any patents, trademarks, service marks, trade names, copyrights, mask work rights or know-how which would be reasonably likely to result in any material adverse effect upon the Company and its subsidiaries; and, except as disclosed in the Prospectus, the discoveries, inventions, products or processes of the Company and its subsidiaries referred to in the Prospectus do not, to the Company's knowledge, infringe or conflict with any right or patent of any third party or any discovery, invention, product or process which is the subject of a patent application filed by any third party, known to the Company; and</w:t>
      </w:r>
    </w:p>
    <w:p>
      <w:pPr>
        <w:spacing w:after="0" w:line="175" w:lineRule="exact"/>
        <w:rPr>
          <w:sz w:val="20"/>
          <w:szCs w:val="20"/>
          <w:color w:val="auto"/>
        </w:rPr>
      </w:pPr>
    </w:p>
    <w:p>
      <w:pPr>
        <w:ind w:right="2639" w:firstLine="959"/>
        <w:spacing w:after="0" w:line="262" w:lineRule="auto"/>
        <w:tabs>
          <w:tab w:leader="none" w:pos="1345"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obtained any permits, consents and authorizations required to be obtained by them under laws or regulations relating to the protection of the environment or concerning the handling, storage, disposal or discharge of toxic materials (collectively "Environmental Laws"), and any such permits, consents and authorizations remain in full force and effect. The Company and its subsidiaries are in compliance with the Environmental Laws in all material respects, and there is no pending or, to the Company's knowledge, threatened, action or proceeding against the Company and its subsidiaries alleging violations of the Environmental laws.</w:t>
      </w:r>
    </w:p>
    <w:p>
      <w:pPr>
        <w:spacing w:after="0" w:line="178" w:lineRule="exact"/>
        <w:rPr>
          <w:rFonts w:ascii="Courier New" w:cs="Courier New" w:eastAsia="Courier New" w:hAnsi="Courier New"/>
          <w:sz w:val="15"/>
          <w:szCs w:val="15"/>
          <w:color w:val="auto"/>
        </w:rPr>
      </w:pPr>
    </w:p>
    <w:p>
      <w:pPr>
        <w:ind w:right="2539" w:firstLine="479"/>
        <w:spacing w:after="0" w:line="244" w:lineRule="auto"/>
        <w:tabs>
          <w:tab w:leader="none" w:pos="96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87" w:lineRule="exact"/>
        <w:rPr>
          <w:rFonts w:ascii="Courier New" w:cs="Courier New" w:eastAsia="Courier New" w:hAnsi="Courier New"/>
          <w:sz w:val="16"/>
          <w:szCs w:val="16"/>
          <w:color w:val="auto"/>
        </w:rPr>
      </w:pPr>
    </w:p>
    <w:p>
      <w:pPr>
        <w:ind w:right="2539" w:firstLine="479"/>
        <w:spacing w:after="0" w:line="262" w:lineRule="auto"/>
        <w:tabs>
          <w:tab w:leader="none" w:pos="961"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Designated Securities to be purchased by each Underwriter pursuant to the Pricing Agreement relating thereto, in the form specified in such Pricing Agreement, and in such authorized denominations and registered in such names as the Representatives may request upon at least forty-eight hours' prior notice to the Company, shall be delivered by or on behalf of the Company to the Representatives for the account of such Underwriter, against payment by such Underwriter or on its behalf of the purchase price therefor by certified or official bank check or checks, payable to the order of the Company in the funds specified in such Pricing Agreement,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76" w:lineRule="exact"/>
        <w:rPr>
          <w:rFonts w:ascii="Courier New" w:cs="Courier New" w:eastAsia="Courier New" w:hAnsi="Courier New"/>
          <w:sz w:val="15"/>
          <w:szCs w:val="15"/>
          <w:color w:val="auto"/>
        </w:rPr>
      </w:pPr>
    </w:p>
    <w:p>
      <w:pPr>
        <w:ind w:right="2919" w:firstLine="479"/>
        <w:spacing w:after="0" w:line="242" w:lineRule="auto"/>
        <w:tabs>
          <w:tab w:leader="none" w:pos="96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with each of the Underwriters of any Designated Securities:</w:t>
      </w:r>
    </w:p>
    <w:p>
      <w:pPr>
        <w:spacing w:after="0" w:line="188" w:lineRule="exact"/>
        <w:rPr>
          <w:rFonts w:ascii="Courier New" w:cs="Courier New" w:eastAsia="Courier New" w:hAnsi="Courier New"/>
          <w:sz w:val="16"/>
          <w:szCs w:val="16"/>
          <w:color w:val="auto"/>
        </w:rPr>
      </w:pPr>
    </w:p>
    <w:p>
      <w:pPr>
        <w:ind w:right="2539" w:firstLine="959"/>
        <w:spacing w:after="0" w:line="261" w:lineRule="auto"/>
        <w:tabs>
          <w:tab w:leader="none" w:pos="1345"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prepare the Prospectus as amended or supplemented in relation to the applicable Designated Securities and to file such Prospectus pursuant to Rule 424(b) under the Act not later than the Commission's close of business on the second business day following the execution and delivery of the Pricing Agreement relating to the applicable Designated Securities or, if applicable, such earlier time as may be required by Rule 424(b); to make no further amendment or any supplement to the Registration Statement or Prospectus as amended or supplemented after the date of the Pricing Agreement relating to such Securities and prior to the Time of Delivery for such Securities which shall be disapproved by the Representatives for such Securities promptly after reasonable notice thereof; to advise the Representatives promptly of any such amendment or supplement after such Time of Delivery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such Securities, and during such same period to advise the</w:t>
      </w:r>
    </w:p>
    <w:p>
      <w:pPr>
        <w:spacing w:after="0" w:line="36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56" w:name="page57"/>
    <w:bookmarkEnd w:id="56"/>
    <w:p>
      <w:pPr>
        <w:ind w:right="2539"/>
        <w:spacing w:after="0" w:line="244" w:lineRule="auto"/>
        <w:rPr>
          <w:sz w:val="20"/>
          <w:szCs w:val="20"/>
          <w:color w:val="auto"/>
        </w:rPr>
      </w:pPr>
      <w:r>
        <w:rPr>
          <w:rFonts w:ascii="Courier New" w:cs="Courier New" w:eastAsia="Courier New" w:hAnsi="Courier New"/>
          <w:sz w:val="16"/>
          <w:szCs w:val="16"/>
          <w:color w:val="auto"/>
        </w:rPr>
        <w:t>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Securities, of the suspension of the qualification of such Securities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Securities or suspending any such qualification, to promptly use its best efforts to obtain the withdrawal of such order;</w:t>
      </w:r>
    </w:p>
    <w:p>
      <w:pPr>
        <w:spacing w:after="0" w:line="191" w:lineRule="exact"/>
        <w:rPr>
          <w:sz w:val="20"/>
          <w:szCs w:val="20"/>
          <w:color w:val="auto"/>
        </w:rPr>
      </w:pPr>
    </w:p>
    <w:p>
      <w:pPr>
        <w:ind w:right="2539" w:firstLine="959"/>
        <w:spacing w:after="0" w:line="262" w:lineRule="auto"/>
        <w:tabs>
          <w:tab w:leader="none" w:pos="134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from time to time to take such action as the Representatives may reasonably request to qualify such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Securities, provided that in connection therewith the Company shall not be required to qualify as a foreign corporation or to file a general consent to service of process in any jurisdiction;</w:t>
      </w:r>
    </w:p>
    <w:p>
      <w:pPr>
        <w:spacing w:after="0" w:line="178" w:lineRule="exact"/>
        <w:rPr>
          <w:rFonts w:ascii="Courier New" w:cs="Courier New" w:eastAsia="Courier New" w:hAnsi="Courier New"/>
          <w:sz w:val="15"/>
          <w:szCs w:val="15"/>
          <w:color w:val="auto"/>
        </w:rPr>
      </w:pPr>
    </w:p>
    <w:p>
      <w:pPr>
        <w:ind w:right="2539" w:firstLine="959"/>
        <w:spacing w:after="0" w:line="244" w:lineRule="auto"/>
        <w:tabs>
          <w:tab w:leader="none" w:pos="134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or prior to 3:00 p.m., New York City time, on the New York Business Day immediately following the date of the Pricing Agreement and from time to time, to furnish the Underwriters with copies of the Prospectus in New York City as amended or supplemented in such quantities as the Representatives may reasonably request, and, if the delivery of a prospectus is required at any time in connection with the offering or sale of the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194"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generally available to its securityholders as soon as practicable, but in any event not later than eighteen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beginning from the date of the Pricing Agreement for such Designated Securities and continuing to and including the later of (i) the termination of trading restrictions for such Designated Securities, as notified to the Company by the Representatives and (ii) the Time of Delivery for such Designated Securities, not to offer, sell, contract to sell or otherwise dispose of any debt securities of the Company which mature more than one year after such Time of Delivery and which are substantially similar to such Designated Securities, without the prior written consent of the Representatives; and</w:t>
      </w:r>
    </w:p>
    <w:p>
      <w:pPr>
        <w:spacing w:after="0" w:line="189" w:lineRule="exact"/>
        <w:rPr>
          <w:rFonts w:ascii="Courier New" w:cs="Courier New" w:eastAsia="Courier New" w:hAnsi="Courier New"/>
          <w:sz w:val="16"/>
          <w:szCs w:val="16"/>
          <w:color w:val="auto"/>
        </w:rPr>
      </w:pPr>
    </w:p>
    <w:p>
      <w:pPr>
        <w:ind w:right="2539" w:firstLine="959"/>
        <w:spacing w:after="0" w:line="265" w:lineRule="auto"/>
        <w:tabs>
          <w:tab w:leader="none" w:pos="134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elects to rely upon Rule 462(b), the Company shall file a Rule 462(b) Registration Statement with the Commission in compliance with Rule 462(b) by 10:00 p.m., Washington, D.C. time, on the date of the Pricing Agreement, and the Company shall at the time of filing either pay to the</w:t>
      </w:r>
    </w:p>
    <w:p>
      <w:pPr>
        <w:spacing w:after="0" w:line="1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1" w:right="1440" w:bottom="1440" w:gutter="0" w:footer="0" w:header="0"/>
        </w:sectPr>
      </w:pPr>
    </w:p>
    <w:bookmarkStart w:id="57" w:name="page58"/>
    <w:bookmarkEnd w:id="57"/>
    <w:p>
      <w:pPr>
        <w:jc w:val="both"/>
        <w:ind w:left="1" w:right="2919"/>
        <w:spacing w:after="0" w:line="243" w:lineRule="auto"/>
        <w:rPr>
          <w:sz w:val="20"/>
          <w:szCs w:val="20"/>
          <w:color w:val="auto"/>
        </w:rPr>
      </w:pPr>
      <w:r>
        <w:rPr>
          <w:rFonts w:ascii="Courier New" w:cs="Courier New" w:eastAsia="Courier New" w:hAnsi="Courier New"/>
          <w:sz w:val="16"/>
          <w:szCs w:val="16"/>
          <w:color w:val="auto"/>
        </w:rPr>
        <w:t>Commission the filing fee for the Rule 462(b) Registration Statement or give irrevocable instructions for the payment of such fee pursuant to Rule 111(b) under the Act.</w:t>
      </w:r>
    </w:p>
    <w:p>
      <w:pPr>
        <w:spacing w:after="0" w:line="189" w:lineRule="exact"/>
        <w:rPr>
          <w:sz w:val="20"/>
          <w:szCs w:val="20"/>
          <w:color w:val="auto"/>
        </w:rPr>
      </w:pPr>
    </w:p>
    <w:p>
      <w:pPr>
        <w:ind w:left="1" w:right="2539" w:firstLine="479"/>
        <w:spacing w:after="0" w:line="261" w:lineRule="auto"/>
        <w:tabs>
          <w:tab w:leader="none" w:pos="962"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and the Prospectus and amendments and supplements thereto and the mailing and delivering of copies thereof to the Underwriters and dealers; (ii) the cost of printing or producing any Agreement among Underwriters, this Agreement, any Pricing Agreement, any Indenture, any Blue Sky and Legal Investment Memoranda,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Section 5(b) hereof, including the reasonable fees and disbursements of counsel for the Underwriters in connection with such qualification and in connection with the Blue Sky and Legal Investment Surveys; (iv) any fees charged by securities rating services for rating the Securities; (v) the cost of preparing the Securities; (vi) the fees and expenses of any Trustee and any agent of any Trustee and the fees and disbursements of counsel for any Trustee in connection with any Indenture and the Securities; and</w:t>
      </w:r>
    </w:p>
    <w:p>
      <w:pPr>
        <w:spacing w:after="0" w:line="184" w:lineRule="exact"/>
        <w:rPr>
          <w:rFonts w:ascii="Courier New" w:cs="Courier New" w:eastAsia="Courier New" w:hAnsi="Courier New"/>
          <w:sz w:val="15"/>
          <w:szCs w:val="15"/>
          <w:color w:val="auto"/>
        </w:rPr>
      </w:pPr>
    </w:p>
    <w:p>
      <w:pPr>
        <w:ind w:left="1" w:right="2639" w:hanging="1"/>
        <w:spacing w:after="0" w:line="244" w:lineRule="auto"/>
        <w:tabs>
          <w:tab w:leader="none" w:pos="57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costs and expenses incident to the performance of its obligations hereunder which are not otherwise specifically provided for in this Section. It is understood, however, that, except as provided in this Section, and Sections 8 and 11 hereof, the Underwriters will pay all of their own costs and expenses, including the fees of their counsel, transfer taxes on resale of any of the Securities by them, and any advertising expenses connected with any offers they may make.</w:t>
      </w:r>
    </w:p>
    <w:p>
      <w:pPr>
        <w:spacing w:after="0" w:line="188" w:lineRule="exact"/>
        <w:rPr>
          <w:rFonts w:ascii="Courier New" w:cs="Courier New" w:eastAsia="Courier New" w:hAnsi="Courier New"/>
          <w:sz w:val="16"/>
          <w:szCs w:val="16"/>
          <w:color w:val="auto"/>
        </w:rPr>
      </w:pPr>
    </w:p>
    <w:p>
      <w:pPr>
        <w:ind w:left="1" w:right="2539" w:firstLine="479"/>
        <w:spacing w:after="0" w:line="244" w:lineRule="auto"/>
        <w:tabs>
          <w:tab w:leader="none" w:pos="962"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in the Pricing Agreement relating to such Designated Securities are, at and as of the Time of Delivery for such Designated Securities, true and correct, the condition that the Company shall have performed all of its obligations hereunder theretofore to be performed, and the following additional conditions:</w:t>
      </w:r>
    </w:p>
    <w:p>
      <w:pPr>
        <w:spacing w:after="0" w:line="189" w:lineRule="exact"/>
        <w:rPr>
          <w:rFonts w:ascii="Courier New" w:cs="Courier New" w:eastAsia="Courier New" w:hAnsi="Courier New"/>
          <w:sz w:val="16"/>
          <w:szCs w:val="16"/>
          <w:color w:val="auto"/>
        </w:rPr>
      </w:pPr>
    </w:p>
    <w:p>
      <w:pPr>
        <w:ind w:left="1" w:right="2539" w:firstLine="959"/>
        <w:spacing w:after="0" w:line="244" w:lineRule="auto"/>
        <w:tabs>
          <w:tab w:leader="none" w:pos="1346"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Prospectus as amended or supplemented in relation to the applicable Designated Securities shall have been filed with the Commission pursuant to Rule 424(b) within the applicable time period prescribed for such filing by the rules and regulations under the Act and in accordance with Section 5(a) hereof; if the Company has elected to rely upon Rule 462(b), the Rule 462(b) Registration Statement shall have become effective by 10:00 p.m., Washington, D.C. time, on the date of the Pricing Agreement;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190" w:lineRule="exact"/>
        <w:rPr>
          <w:rFonts w:ascii="Courier New" w:cs="Courier New" w:eastAsia="Courier New" w:hAnsi="Courier New"/>
          <w:sz w:val="16"/>
          <w:szCs w:val="16"/>
          <w:color w:val="auto"/>
        </w:rPr>
      </w:pPr>
    </w:p>
    <w:p>
      <w:pPr>
        <w:ind w:left="1" w:right="2719" w:firstLine="959"/>
        <w:spacing w:after="0" w:line="244" w:lineRule="auto"/>
        <w:tabs>
          <w:tab w:leader="none" w:pos="1346"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Counsel for the Underwriters shall have furnished to the Representatives such opinion or opinions dated the Time of Delivery for such Designated Securities, with respect to such matters as the Representatives may reasonably request, and such counsel shall have received such papers and information as they may reasonably request to enable them to pass upon such matters;</w:t>
      </w:r>
    </w:p>
    <w:p>
      <w:pPr>
        <w:spacing w:after="0" w:line="187" w:lineRule="exact"/>
        <w:rPr>
          <w:rFonts w:ascii="Courier New" w:cs="Courier New" w:eastAsia="Courier New" w:hAnsi="Courier New"/>
          <w:sz w:val="16"/>
          <w:szCs w:val="16"/>
          <w:color w:val="auto"/>
        </w:rPr>
      </w:pPr>
    </w:p>
    <w:p>
      <w:pPr>
        <w:ind w:left="1" w:right="2539" w:firstLine="959"/>
        <w:spacing w:after="0" w:line="244" w:lineRule="auto"/>
        <w:tabs>
          <w:tab w:leader="none" w:pos="1346" w:val="left"/>
        </w:tabs>
        <w:numPr>
          <w:ilvl w:val="2"/>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Wilson Sonsini Goodrich &amp; Rosati, Professional Corporation, counsel for the Company, shall have furnished to the Representatives their written opinion, dated each Time of Delivery for such Designated Securities, in form and substance reasonably satisfactory to the Representatives, to the effect that:</w:t>
      </w:r>
    </w:p>
    <w:p>
      <w:pPr>
        <w:spacing w:after="0" w:line="18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9" w:top="671" w:right="1440" w:bottom="1440" w:gutter="0" w:footer="0" w:header="0"/>
        </w:sectPr>
      </w:pPr>
    </w:p>
    <w:bookmarkStart w:id="58" w:name="page59"/>
    <w:bookmarkEnd w:id="58"/>
    <w:p>
      <w:pPr>
        <w:ind w:right="2719" w:firstLine="479"/>
        <w:spacing w:after="0" w:line="243" w:lineRule="auto"/>
        <w:tabs>
          <w:tab w:leader="none" w:pos="115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Pricing Agreement with respect to the Designated Securities have been duly authorized, executed and delivered by the Company;</w:t>
      </w:r>
    </w:p>
    <w:p>
      <w:pPr>
        <w:spacing w:after="0" w:line="186" w:lineRule="exact"/>
        <w:rPr>
          <w:rFonts w:ascii="Courier New" w:cs="Courier New" w:eastAsia="Courier New" w:hAnsi="Courier New"/>
          <w:sz w:val="16"/>
          <w:szCs w:val="16"/>
          <w:color w:val="auto"/>
        </w:rPr>
      </w:pPr>
    </w:p>
    <w:p>
      <w:pPr>
        <w:ind w:left="1160" w:hanging="681"/>
        <w:spacing w:after="0"/>
        <w:tabs>
          <w:tab w:leader="none" w:pos="11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Designated Securities are in the form contemplated by</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Indenture, have been duly authorized by the Company and, when executed by the Company and authenticated by the Trustee in the manner provided for in the Indenture and delivered against the purchase price therefor specified herein and in the Pricing Agreement, will constitute valid and legally binding obligations of the Company entitled to the benefits provided by the Indenture; and the Designated Securities and the Indenture conform to the descriptions thereof in the Prospectus as amended or supplemented;</w:t>
      </w:r>
    </w:p>
    <w:p>
      <w:pPr>
        <w:spacing w:after="0" w:line="186" w:lineRule="exact"/>
        <w:rPr>
          <w:sz w:val="20"/>
          <w:szCs w:val="20"/>
          <w:color w:val="auto"/>
        </w:rPr>
      </w:pPr>
    </w:p>
    <w:p>
      <w:pPr>
        <w:ind w:left="1160" w:hanging="681"/>
        <w:spacing w:after="0"/>
        <w:tabs>
          <w:tab w:leader="none" w:pos="11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authorized, executed and</w:t>
      </w:r>
    </w:p>
    <w:p>
      <w:pPr>
        <w:spacing w:after="0" w:line="5"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delivered by the Company and, assuming due authorization, execution and delivery by the Trustee, and constitutes a valid and legally binding instrument, enforceable against the Company in accordance with its terms; and the Indenture has been duly qualified under the Trust Indenture Act;</w:t>
      </w:r>
    </w:p>
    <w:p>
      <w:pPr>
        <w:spacing w:after="0" w:line="188" w:lineRule="exact"/>
        <w:rPr>
          <w:sz w:val="20"/>
          <w:szCs w:val="20"/>
          <w:color w:val="auto"/>
        </w:rPr>
      </w:pPr>
    </w:p>
    <w:p>
      <w:pPr>
        <w:ind w:left="1160" w:hanging="681"/>
        <w:spacing w:after="0"/>
        <w:tabs>
          <w:tab w:leader="none" w:pos="11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no consent, approval,</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authorization, order, registration or qualification of or with any such court or governmental agency or body is required for the issue and sale of the Designated Securities or the performance by the Company of its obligations set forth in this Agreement or such Pricing Agreement or the Indenture, except such as have been obtained under the Act and the Trust Indenture Act and such consents, approvals, authorizations, orders, registrations or qualifications as may be required under state securities or Blue Sky laws in connection with the purchase and distribution of the Designated Securities by the Underwriters;</w:t>
      </w:r>
    </w:p>
    <w:p>
      <w:pPr>
        <w:spacing w:after="0" w:line="187" w:lineRule="exact"/>
        <w:rPr>
          <w:sz w:val="20"/>
          <w:szCs w:val="20"/>
          <w:color w:val="auto"/>
        </w:rPr>
      </w:pPr>
    </w:p>
    <w:p>
      <w:pPr>
        <w:ind w:left="1160" w:hanging="681"/>
        <w:spacing w:after="0"/>
        <w:tabs>
          <w:tab w:leader="none" w:pos="11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set forth in the Prospectus under the</w:t>
      </w:r>
    </w:p>
    <w:p>
      <w:pPr>
        <w:spacing w:after="0" w:line="5" w:lineRule="exact"/>
        <w:rPr>
          <w:sz w:val="20"/>
          <w:szCs w:val="20"/>
          <w:color w:val="auto"/>
        </w:rPr>
      </w:pPr>
    </w:p>
    <w:p>
      <w:pPr>
        <w:jc w:val="both"/>
        <w:ind w:right="2639"/>
        <w:spacing w:after="0" w:line="243" w:lineRule="auto"/>
        <w:rPr>
          <w:sz w:val="20"/>
          <w:szCs w:val="20"/>
          <w:color w:val="auto"/>
        </w:rPr>
      </w:pPr>
      <w:r>
        <w:rPr>
          <w:rFonts w:ascii="Courier New" w:cs="Courier New" w:eastAsia="Courier New" w:hAnsi="Courier New"/>
          <w:sz w:val="16"/>
          <w:szCs w:val="16"/>
          <w:color w:val="auto"/>
        </w:rPr>
        <w:t>captions "Description of Securities," and "Description of [Notes] [Debentures]" insofar as they purport to constitute a summary of the terms of the Securities, fairly summarize such terms in all material respects;</w:t>
      </w:r>
    </w:p>
    <w:p>
      <w:pPr>
        <w:spacing w:after="0" w:line="187" w:lineRule="exact"/>
        <w:rPr>
          <w:sz w:val="20"/>
          <w:szCs w:val="20"/>
          <w:color w:val="auto"/>
        </w:rPr>
      </w:pPr>
    </w:p>
    <w:p>
      <w:pPr>
        <w:ind w:left="1160" w:hanging="681"/>
        <w:spacing w:after="0"/>
        <w:tabs>
          <w:tab w:leader="none" w:pos="11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the Company is not an</w:t>
      </w:r>
    </w:p>
    <w:p>
      <w:pPr>
        <w:spacing w:after="0" w:line="5"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"investment company" or an entity "controlled" by an "investment company," as such terms are defined in the Investment Company Act;</w:t>
      </w:r>
    </w:p>
    <w:p>
      <w:pPr>
        <w:spacing w:after="0" w:line="189" w:lineRule="exact"/>
        <w:rPr>
          <w:sz w:val="20"/>
          <w:szCs w:val="20"/>
          <w:color w:val="auto"/>
        </w:rPr>
      </w:pPr>
    </w:p>
    <w:p>
      <w:pPr>
        <w:ind w:right="2539" w:firstLine="479"/>
        <w:spacing w:after="0" w:line="244" w:lineRule="auto"/>
        <w:tabs>
          <w:tab w:leader="none" w:pos="115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as amended or supplemented (other than the financial statements and related schedules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w:t>
      </w:r>
    </w:p>
    <w:p>
      <w:pPr>
        <w:spacing w:after="0" w:line="188" w:lineRule="exact"/>
        <w:rPr>
          <w:rFonts w:ascii="Courier New" w:cs="Courier New" w:eastAsia="Courier New" w:hAnsi="Courier New"/>
          <w:sz w:val="16"/>
          <w:szCs w:val="16"/>
          <w:color w:val="auto"/>
        </w:rPr>
      </w:pPr>
    </w:p>
    <w:p>
      <w:pPr>
        <w:ind w:right="2639" w:firstLine="479"/>
        <w:spacing w:after="0" w:line="244" w:lineRule="auto"/>
        <w:tabs>
          <w:tab w:leader="none" w:pos="115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as amended or supplemented and any further amendments and supplements thereto made by the Company prior to the Time of Delivery for the Designated Securities (other than the financial statements and related schedules therein and financial data derived therefrom, as to which such counsel need express no opinion) comply as to form in all material respects with the requirements of the Act and the Trust Indenture Act and the rules and regulations thereunder;</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Such counsel shall also include a statement to the effect that, although such counsel does not assume any responsibility for the accuracy, completeness or fairness of the statements contained in the Registration Statement or the Prospectus, except for those referred to in the opinion in subsection (v) of this Section 7(c), such counsel has no reason to believe that, as of its effective date, the Registration Statement or any further amendment thereto made by the Company prior to the Time of Delivery (other than the financial statements and related schedules therein and financial data derived therefrom, as to which such counsel need express no belief) contained an untrue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59" w:name="page60"/>
    <w:bookmarkEnd w:id="59"/>
    <w:p>
      <w:pPr>
        <w:ind w:left="1" w:right="2539"/>
        <w:spacing w:after="0" w:line="261" w:lineRule="auto"/>
        <w:rPr>
          <w:sz w:val="20"/>
          <w:szCs w:val="20"/>
          <w:color w:val="auto"/>
        </w:rPr>
      </w:pPr>
      <w:r>
        <w:rPr>
          <w:rFonts w:ascii="Courier New" w:cs="Courier New" w:eastAsia="Courier New" w:hAnsi="Courier New"/>
          <w:sz w:val="15"/>
          <w:szCs w:val="15"/>
          <w:color w:val="auto"/>
        </w:rPr>
        <w:t>statement of a material fact or omitted to state a material fact required to be stated therein or necessary to make the statements therein not misleading or that, as of its date, the Prospectus as amended or supplemented or any further amendment or supplement thereto made by the Company prior to the Time of Delivery (other than the financial statements and related schedules therein and financial data derived therefrom, as to which such counsel need express no belief) contained an untrue statement of a material fact or omitted to state a material fact necessary to make the statements therein, in the light of the circumstances under which they were made, not misleading or that, as of the Time of Delivery, either the Registration Statement or the Prospectus as amended or supplemented or any further amendment or supplement thereto made by the Company prior to the Time of Delivery (other than the financial statements and related schedules therein and financial data derived therefrom, as to which such counsel need express no belief) contains an untrue statement of a material fact or omits to state a material fact necessary to make the statements therein, in the light of the circumstances under which they were made, not misleading;</w:t>
      </w:r>
    </w:p>
    <w:p>
      <w:pPr>
        <w:spacing w:after="0" w:line="369"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In rendering the opinions set forth herein, such counsel may rely with respect to matters of fact upon certificates of officers of the Company, provided that such counsel shall state that they have no reason to believe both you and they are not justified upon such certificates and a copy of such certificate shall be delivered to you. Such counsel's opinion that any agreement is valid, binding or enforceable in accordance with its terms may be qualified as to: (1) limitations imposed by bankruptcy, insolvency, reorganization, arrangement, fraudulent conveyance, moratorium or other laws relating to or affecting the rights of creditors generally; (2) rights to indemnification and contribution which may be limited by applicable law or equitable principles; and</w:t>
      </w:r>
    </w:p>
    <w:p>
      <w:pPr>
        <w:spacing w:after="0" w:line="7" w:lineRule="exact"/>
        <w:rPr>
          <w:sz w:val="20"/>
          <w:szCs w:val="20"/>
          <w:color w:val="auto"/>
        </w:rPr>
      </w:pPr>
    </w:p>
    <w:p>
      <w:pPr>
        <w:jc w:val="both"/>
        <w:ind w:left="1" w:right="3119" w:hanging="1"/>
        <w:spacing w:after="0" w:line="244" w:lineRule="auto"/>
        <w:tabs>
          <w:tab w:leader="none" w:pos="386"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principles of equity, including without limitation concepts of materiality, reasonableness, good faith and fair dealing, and the possible unavailability of specific performance or injunctive relief, regardless of whether such validity and binding effect are considered in a proceeding in equity or at law.</w:t>
      </w:r>
    </w:p>
    <w:p>
      <w:pPr>
        <w:spacing w:after="0" w:line="187" w:lineRule="exact"/>
        <w:rPr>
          <w:rFonts w:ascii="Courier New" w:cs="Courier New" w:eastAsia="Courier New" w:hAnsi="Courier New"/>
          <w:sz w:val="16"/>
          <w:szCs w:val="16"/>
          <w:color w:val="auto"/>
        </w:rPr>
      </w:pPr>
    </w:p>
    <w:p>
      <w:pPr>
        <w:ind w:left="1" w:right="2639" w:firstLine="959"/>
        <w:spacing w:after="0" w:line="243" w:lineRule="auto"/>
        <w:tabs>
          <w:tab w:leader="none" w:pos="1346"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Roderic W. Lewis, the Company's General Counsel, shall have furnished to you his written opinion, dated each Time of Delivery for such Designated Securities, in form and substance reasonably satisfactory to you, to the effect that:</w:t>
      </w:r>
    </w:p>
    <w:p>
      <w:pPr>
        <w:spacing w:after="0" w:line="190" w:lineRule="exact"/>
        <w:rPr>
          <w:sz w:val="20"/>
          <w:szCs w:val="20"/>
          <w:color w:val="auto"/>
        </w:rPr>
      </w:pPr>
    </w:p>
    <w:p>
      <w:pPr>
        <w:ind w:left="1" w:right="2819" w:firstLine="959"/>
        <w:spacing w:after="0" w:line="244" w:lineRule="auto"/>
        <w:tabs>
          <w:tab w:leader="none" w:pos="1923"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validly existing as a corporation in good standing under the laws of the State of Delaware with power and authority (corporate and other) to own its properties and conduct its business as described in the Prospectus as amended or supplemented;</w:t>
      </w:r>
    </w:p>
    <w:p>
      <w:pPr>
        <w:spacing w:after="0" w:line="187" w:lineRule="exact"/>
        <w:rPr>
          <w:rFonts w:ascii="Courier New" w:cs="Courier New" w:eastAsia="Courier New" w:hAnsi="Courier New"/>
          <w:sz w:val="16"/>
          <w:szCs w:val="16"/>
          <w:color w:val="auto"/>
        </w:rPr>
      </w:pPr>
    </w:p>
    <w:p>
      <w:pPr>
        <w:ind w:left="1" w:right="2539" w:firstLine="863"/>
        <w:spacing w:after="0" w:line="243" w:lineRule="auto"/>
        <w:tabs>
          <w:tab w:leader="none" w:pos="1923"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an authorized capitalization as set forth in the Prospectus as amended or supplemented, and all of the issued shares of capital stock of the Company have been duly and validly authorized and issued and are fully paid and non-assessable;</w:t>
      </w:r>
    </w:p>
    <w:p>
      <w:pPr>
        <w:spacing w:after="0" w:line="189" w:lineRule="exact"/>
        <w:rPr>
          <w:rFonts w:ascii="Courier New" w:cs="Courier New" w:eastAsia="Courier New" w:hAnsi="Courier New"/>
          <w:sz w:val="16"/>
          <w:szCs w:val="16"/>
          <w:color w:val="auto"/>
        </w:rPr>
      </w:pPr>
    </w:p>
    <w:p>
      <w:pPr>
        <w:ind w:left="1" w:right="2639" w:firstLine="959"/>
        <w:spacing w:after="0" w:line="244" w:lineRule="auto"/>
        <w:tabs>
          <w:tab w:leader="none" w:pos="1923"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and 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have a material adverse effect on the current consolidated financial position, shareholders' equity or results of operations of the Company and its subsidiaries, taken as a whole;</w:t>
      </w:r>
    </w:p>
    <w:p>
      <w:pPr>
        <w:spacing w:after="0" w:line="188" w:lineRule="exact"/>
        <w:rPr>
          <w:rFonts w:ascii="Courier New" w:cs="Courier New" w:eastAsia="Courier New" w:hAnsi="Courier New"/>
          <w:sz w:val="16"/>
          <w:szCs w:val="16"/>
          <w:color w:val="auto"/>
        </w:rPr>
      </w:pPr>
    </w:p>
    <w:p>
      <w:pPr>
        <w:ind w:left="1" w:right="2539" w:firstLine="959"/>
        <w:spacing w:after="0" w:line="244" w:lineRule="auto"/>
        <w:tabs>
          <w:tab w:leader="none" w:pos="1923"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Designated Securities and the performance by the Company of its obligations pursuant to the Designated Securities, the Indenture, this Agreement and the Pricing Agreement with respect to the Designated Securities will not result in a breach or violation of any of the terms or provisions of, or constitute a default under, any indenture, mortgage, deed of trust, loan agreement or other agreement or instrument filed as an exhibit to the Registration Statement or to the Company's most recent Annual</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9" w:top="671" w:right="1440" w:bottom="1440" w:gutter="0" w:footer="0" w:header="0"/>
        </w:sectPr>
      </w:pPr>
    </w:p>
    <w:bookmarkStart w:id="60" w:name="page61"/>
    <w:bookmarkEnd w:id="60"/>
    <w:p>
      <w:pPr>
        <w:ind w:right="2539"/>
        <w:spacing w:after="0" w:line="244" w:lineRule="auto"/>
        <w:rPr>
          <w:sz w:val="20"/>
          <w:szCs w:val="20"/>
          <w:color w:val="auto"/>
        </w:rPr>
      </w:pPr>
      <w:r>
        <w:rPr>
          <w:rFonts w:ascii="Courier New" w:cs="Courier New" w:eastAsia="Courier New" w:hAnsi="Courier New"/>
          <w:sz w:val="16"/>
          <w:szCs w:val="16"/>
          <w:color w:val="auto"/>
        </w:rPr>
        <w:t>Report on Form 10-K, nor will such actions result in any violation of the provisions of the Certificate of Incorporation or By-laws of the Company or, to such counsel's knowledge, any statute, order, rule or regulation of any court or governmental agency or body having jurisdiction over the Company or any of its properties; and</w:t>
      </w:r>
    </w:p>
    <w:p>
      <w:pPr>
        <w:spacing w:after="0" w:line="187" w:lineRule="exact"/>
        <w:rPr>
          <w:sz w:val="20"/>
          <w:szCs w:val="20"/>
          <w:color w:val="auto"/>
        </w:rPr>
      </w:pPr>
    </w:p>
    <w:p>
      <w:pPr>
        <w:ind w:right="2639" w:firstLine="959"/>
        <w:spacing w:after="0" w:line="244" w:lineRule="auto"/>
        <w:tabs>
          <w:tab w:leader="none" w:pos="134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does not know of any contracts or other documents of a character required to be filed as an exhibit to the Registration Statement or required to be incorporated by reference into the Prospectus as amended or supplemented or required to be described in the Registration Statement or the Prospectus as amended or supplemented which are not filed or incorporated by reference or described as required.</w:t>
      </w:r>
    </w:p>
    <w:p>
      <w:pPr>
        <w:spacing w:after="0" w:line="188" w:lineRule="exact"/>
        <w:rPr>
          <w:sz w:val="20"/>
          <w:szCs w:val="20"/>
          <w:color w:val="auto"/>
        </w:rPr>
      </w:pPr>
    </w:p>
    <w:p>
      <w:pPr>
        <w:ind w:right="2539" w:firstLine="959"/>
        <w:spacing w:after="0" w:line="261" w:lineRule="auto"/>
        <w:tabs>
          <w:tab w:leader="none" w:pos="134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the Pricing Agreement for such Designated Securities at a time prior to the execution of the Pricing Agreement with respect to such Designated Securities and at the Time of Delivery for such Designated Securities, the independent accountants of the Company who have certified the financial state ments of the Company and its subsidiaries included or incorporated by reference in the Registration Statement shall have furnished to the Representatives a letter, dated the effective date of the Registration Statement or the date of the most recent report filed with the Commission containing financial statements and incorporated by reference in the Registration Statement, if the date of such report is later than such effective date, and a letter dated such Time of Delivery, respectively, to the effect set forth in Annex I hereto, and with respect to such letter dated such Time of Delivery, as to such other matters as the Representatives may reasonably request and in form and substance satisfactory to the Representatives (the executed copy of the letter delivered prior to the execution of the Pricing Agreement is attached as Annex I(a) hereto and a draft of the form of letter to be delivered on the effective date of any post-effective amendment to the Registration Statement and as of each Time of Delivery is attached as Annex I(b) hereto);</w:t>
      </w:r>
    </w:p>
    <w:p>
      <w:pPr>
        <w:spacing w:after="0" w:line="369" w:lineRule="exact"/>
        <w:rPr>
          <w:rFonts w:ascii="Courier New" w:cs="Courier New" w:eastAsia="Courier New" w:hAnsi="Courier New"/>
          <w:sz w:val="15"/>
          <w:szCs w:val="15"/>
          <w:color w:val="auto"/>
        </w:rPr>
      </w:pPr>
    </w:p>
    <w:p>
      <w:pPr>
        <w:ind w:right="2539" w:firstLine="959"/>
        <w:spacing w:after="0" w:line="261" w:lineRule="auto"/>
        <w:tabs>
          <w:tab w:leader="none" w:pos="1633"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Neither the Company nor any of its subsidiaries shall have sustained since the date of the latest audited financial statements included or incorporated by reference in the Prospectus as amended prior to the date of the Pricing Agreement relating to the Designated Securities any loss or interference with its business from fire, explosion, flood or other calamity, whether or not covered by insurance, or from any labor dispute or court or governmental action, order or decree, otherwise than as set forth or contemplated in the Prospectus as amended prior to the date of the Pricing Agreement relating to the Designated Securities, and (ii) since the respective dates as of which information is given in the Prospectus as amended prior to the date of the Pricing Agreement relating to the Designated Securities there shall not have been any material change in the capital stock or long-term debt of the Company or any of its subsidiaries or any change, in the general affairs, management, financial position, shareholders' equity or results of operations of the Company and its subsidiaries, otherwise than as set forth or contemplated in the Prospectus as amended prior to the date of the Pricing Agreement relating to the Designated Securities, the effect of which, in any such case described in Clause (i) or (ii), is in the reasonable judgment of the Representatives so material and adverse as to make it impracticable or inadvisable to proceed with the public offering or the delivery of the Designated Securities on the terms and in the manner contemplated in the Prospectus as first amended or supplemented relating to the Designated Securities;</w:t>
      </w:r>
    </w:p>
    <w:p>
      <w:pPr>
        <w:spacing w:after="0" w:line="369" w:lineRule="exact"/>
        <w:rPr>
          <w:rFonts w:ascii="Courier New" w:cs="Courier New" w:eastAsia="Courier New" w:hAnsi="Courier New"/>
          <w:sz w:val="15"/>
          <w:szCs w:val="15"/>
          <w:color w:val="auto"/>
        </w:rPr>
      </w:pPr>
    </w:p>
    <w:p>
      <w:pPr>
        <w:ind w:right="2639" w:firstLine="959"/>
        <w:spacing w:after="0" w:line="244" w:lineRule="auto"/>
        <w:tabs>
          <w:tab w:leader="none" w:pos="134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date of the Pricing Agreement relating to the Designated Securities (i) no downgrading shall have occurred in the rating accorded the Company's debt securities or preferred stock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stock;</w:t>
      </w:r>
    </w:p>
    <w:p>
      <w:pPr>
        <w:spacing w:after="0" w:line="188" w:lineRule="exact"/>
        <w:rPr>
          <w:rFonts w:ascii="Courier New" w:cs="Courier New" w:eastAsia="Courier New" w:hAnsi="Courier New"/>
          <w:sz w:val="16"/>
          <w:szCs w:val="16"/>
          <w:color w:val="auto"/>
        </w:rPr>
      </w:pPr>
    </w:p>
    <w:p>
      <w:pPr>
        <w:ind w:right="2539" w:firstLine="959"/>
        <w:spacing w:after="0" w:line="243" w:lineRule="auto"/>
        <w:tabs>
          <w:tab w:leader="none" w:pos="1345"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date of the Pricing Agreement relating to the Designated Securities there shall not have occurred any of the following: (i) a suspension or material limitation in trading in securities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61" w:name="page62"/>
    <w:bookmarkEnd w:id="61"/>
    <w:p>
      <w:pPr>
        <w:ind w:right="2539"/>
        <w:spacing w:after="0" w:line="244" w:lineRule="auto"/>
        <w:rPr>
          <w:sz w:val="20"/>
          <w:szCs w:val="20"/>
          <w:color w:val="auto"/>
        </w:rPr>
      </w:pPr>
      <w:r>
        <w:rPr>
          <w:rFonts w:ascii="Courier New" w:cs="Courier New" w:eastAsia="Courier New" w:hAnsi="Courier New"/>
          <w:sz w:val="16"/>
          <w:szCs w:val="16"/>
          <w:color w:val="auto"/>
        </w:rPr>
        <w:t>generally on the New York Stock Exchange or on the Nasdaq National Market ("Nasdaq"); (ii) a suspension or material limitation in trading in the Company's securities on the Nasdaq; (iii) a general moratorium on commercial banking activities declared by either Federal or New York state authorities; or (iv) the outbreak or escalation of hostilities involving the United States or the declaration by the United States of a national emergency or war, if the effect of any such event specified in this Clause (iv) in the reasonable judgment of the Representatives makes it impracticable or inadvisable to proceed with the public offering or the delivery of the Designated Securities on the terms and in the manner contemplated in the Prospectus as first amended or supplemented relating to the Designated Securities;</w:t>
      </w:r>
    </w:p>
    <w:p>
      <w:pPr>
        <w:spacing w:after="0" w:line="190" w:lineRule="exact"/>
        <w:rPr>
          <w:sz w:val="20"/>
          <w:szCs w:val="20"/>
          <w:color w:val="auto"/>
        </w:rPr>
      </w:pPr>
    </w:p>
    <w:p>
      <w:pPr>
        <w:ind w:right="2539" w:firstLine="959"/>
        <w:spacing w:after="0" w:line="244" w:lineRule="auto"/>
        <w:tabs>
          <w:tab w:leader="none" w:pos="1345"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furnished or caused to be furnished to the Representatives at the Time of Delivery for the Designated Securities a certificate or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the Representatives may reasonably request; and</w:t>
      </w:r>
    </w:p>
    <w:p>
      <w:pPr>
        <w:spacing w:after="0" w:line="189" w:lineRule="exact"/>
        <w:rPr>
          <w:rFonts w:ascii="Courier New" w:cs="Courier New" w:eastAsia="Courier New" w:hAnsi="Courier New"/>
          <w:sz w:val="16"/>
          <w:szCs w:val="16"/>
          <w:color w:val="auto"/>
        </w:rPr>
      </w:pPr>
    </w:p>
    <w:p>
      <w:pPr>
        <w:ind w:right="2919" w:firstLine="959"/>
        <w:spacing w:after="0" w:line="243" w:lineRule="auto"/>
        <w:tabs>
          <w:tab w:leader="none" w:pos="1345"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complied with the provisions of Section 5(c) hereof with respect to the furnishing of prospectuses on the New York Business Day next succeeding the date of the Pricing Agreement.</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any Underwriter of Designated Securities through the Representatives expressly for use in the Prospectus as amended or supplemented relating to such Securities; and provided further that, with respect to any untrue statement or omission or alleged untrue statement or omission made in any Preliminary Prospectus, any preliminary prospectus supplement or the Registration Statement, the indemnity agreement contained in this subsection (a) shall not inure to the benefit of any Underwriter from whom the person asserting any such loss, claim, damage or liability purchased Designated Securities (or to the benefit of any such person controlling such Underwriter) to the extent that any such loss, claim, damage, liability or expense of such Underwriter or controlling person results from the fact that a copy of an amended or supplemented Prospectus was not sent or given to such person at or prior to the written confirmation of the sale of such Designated Securities to such person as required by the Act, and if the untrue statement or omission concerned has been corrected in the Prospectus as so amended or supplemented, unless such failures is the result of noncompliance by the Company with Section 5(c) hereof.</w:t>
      </w:r>
    </w:p>
    <w:p>
      <w:pPr>
        <w:spacing w:after="0" w:line="20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1" w:right="1440" w:bottom="1440" w:gutter="0" w:footer="0" w:header="0"/>
        </w:sectPr>
      </w:pPr>
    </w:p>
    <w:bookmarkStart w:id="62" w:name="page63"/>
    <w:bookmarkEnd w:id="62"/>
    <w:p>
      <w:pPr>
        <w:ind w:left="1" w:right="2539" w:firstLine="959"/>
        <w:spacing w:after="0" w:line="244" w:lineRule="auto"/>
        <w:tabs>
          <w:tab w:leader="none" w:pos="1346"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such expenses are incurred.</w:t>
      </w:r>
    </w:p>
    <w:p>
      <w:pPr>
        <w:spacing w:after="0" w:line="193" w:lineRule="exact"/>
        <w:rPr>
          <w:rFonts w:ascii="Courier New" w:cs="Courier New" w:eastAsia="Courier New" w:hAnsi="Courier New"/>
          <w:sz w:val="16"/>
          <w:szCs w:val="16"/>
          <w:color w:val="auto"/>
        </w:rPr>
      </w:pPr>
    </w:p>
    <w:p>
      <w:pPr>
        <w:ind w:left="1341" w:hanging="381"/>
        <w:spacing w:after="0"/>
        <w:tabs>
          <w:tab w:leader="none" w:pos="1341"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subsection</w:t>
      </w:r>
    </w:p>
    <w:p>
      <w:pPr>
        <w:spacing w:after="0" w:line="5" w:lineRule="exact"/>
        <w:rPr>
          <w:rFonts w:ascii="Courier New" w:cs="Courier New" w:eastAsia="Courier New" w:hAnsi="Courier New"/>
          <w:sz w:val="16"/>
          <w:szCs w:val="16"/>
          <w:color w:val="auto"/>
        </w:rPr>
      </w:pPr>
    </w:p>
    <w:p>
      <w:pPr>
        <w:ind w:left="1" w:right="2539" w:hanging="1"/>
        <w:spacing w:after="0" w:line="244" w:lineRule="auto"/>
        <w:tabs>
          <w:tab w:leader="none" w:pos="386"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(b) above of notice of the commencement of any action, such indemnified party shall, if a claim in respect thereof is to be made against the indemnifying party under such subsection, notify the indemnifying party in writing of the commence 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 nifying party shall be entitled to participate therein and, to the extent that it shall wish, jointly with any other indemnifying party similarly notified, to assume the defense thereof, with counsel reasonably satisfactory to such indemnified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includes an unconditional release of the indemnified party from all liability arising out of such action or claim.</w:t>
      </w:r>
    </w:p>
    <w:p>
      <w:pPr>
        <w:spacing w:after="0" w:line="196" w:lineRule="exact"/>
        <w:rPr>
          <w:rFonts w:ascii="Courier New" w:cs="Courier New" w:eastAsia="Courier New" w:hAnsi="Courier New"/>
          <w:sz w:val="16"/>
          <w:szCs w:val="16"/>
          <w:color w:val="auto"/>
        </w:rPr>
      </w:pPr>
    </w:p>
    <w:p>
      <w:pPr>
        <w:ind w:left="1" w:right="2539" w:firstLine="959"/>
        <w:spacing w:after="0" w:line="244" w:lineRule="auto"/>
        <w:tabs>
          <w:tab w:leader="none" w:pos="1346"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such Underwriters</w:t>
      </w:r>
    </w:p>
    <w:p>
      <w:pPr>
        <w:spacing w:after="0" w:line="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9" w:top="671" w:right="1440" w:bottom="1440" w:gutter="0" w:footer="0" w:header="0"/>
        </w:sectPr>
      </w:pPr>
    </w:p>
    <w:bookmarkStart w:id="63" w:name="page64"/>
    <w:bookmarkEnd w:id="63"/>
    <w:p>
      <w:pPr>
        <w:ind w:left="1" w:right="2539"/>
        <w:spacing w:after="0" w:line="244" w:lineRule="auto"/>
        <w:rPr>
          <w:sz w:val="20"/>
          <w:szCs w:val="20"/>
          <w:color w:val="auto"/>
        </w:rPr>
      </w:pPr>
      <w:r>
        <w:rPr>
          <w:rFonts w:ascii="Courier New" w:cs="Courier New" w:eastAsia="Courier New" w:hAnsi="Courier New"/>
          <w:sz w:val="16"/>
          <w:szCs w:val="16"/>
          <w:color w:val="auto"/>
        </w:rPr>
        <w:t>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w:t>
      </w:r>
    </w:p>
    <w:p>
      <w:pPr>
        <w:spacing w:after="0" w:line="7" w:lineRule="exact"/>
        <w:rPr>
          <w:sz w:val="20"/>
          <w:szCs w:val="20"/>
          <w:color w:val="auto"/>
        </w:rPr>
      </w:pPr>
    </w:p>
    <w:p>
      <w:pPr>
        <w:ind w:left="1" w:right="2539" w:hanging="1"/>
        <w:spacing w:after="0" w:line="244" w:lineRule="auto"/>
        <w:tabs>
          <w:tab w:leader="none" w:pos="386"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94" w:lineRule="exact"/>
        <w:rPr>
          <w:rFonts w:ascii="Courier New" w:cs="Courier New" w:eastAsia="Courier New" w:hAnsi="Courier New"/>
          <w:sz w:val="16"/>
          <w:szCs w:val="16"/>
          <w:color w:val="auto"/>
        </w:rPr>
      </w:pPr>
    </w:p>
    <w:p>
      <w:pPr>
        <w:ind w:left="1" w:right="2539" w:firstLine="959"/>
        <w:spacing w:after="0" w:line="262" w:lineRule="auto"/>
        <w:tabs>
          <w:tab w:leader="none" w:pos="1346"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Company pursuant to this Section 8 shall be in addition to any liability which the Company may otherwise have and shall extend, upon the same terms and conditions, to each person, if any, who controls any Underwriter within the meaning of the Act; and the obligations of the Underwriters pursuant to this Section 8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178" w:lineRule="exact"/>
        <w:rPr>
          <w:rFonts w:ascii="Courier New" w:cs="Courier New" w:eastAsia="Courier New" w:hAnsi="Courier New"/>
          <w:sz w:val="15"/>
          <w:szCs w:val="15"/>
          <w:color w:val="auto"/>
        </w:rPr>
      </w:pPr>
    </w:p>
    <w:p>
      <w:pPr>
        <w:ind w:left="1" w:right="2539" w:firstLine="479"/>
        <w:spacing w:after="0" w:line="244" w:lineRule="auto"/>
        <w:tabs>
          <w:tab w:leader="none" w:pos="962"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If any Underwriter shall default in its obligation to purchase the Designated Securities which it has agreed to purchase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 ments or supplements to the Registration Statement or the Prospectus which in the reasonable opinion of the Company and the Representatives may thereby be made necessary. The term "Underwriter" as used in this Agreement shall include any person substituted under this Section with like effect as if such person had originally been a party to the Pricing Agreement with respect to such Designated Securities.</w:t>
      </w:r>
    </w:p>
    <w:p>
      <w:pPr>
        <w:spacing w:after="0" w:line="19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671" w:right="1440" w:bottom="1440" w:gutter="0" w:footer="0" w:header="0"/>
        </w:sectPr>
      </w:pPr>
    </w:p>
    <w:bookmarkStart w:id="64" w:name="page65"/>
    <w:bookmarkEnd w:id="64"/>
    <w:p>
      <w:pPr>
        <w:ind w:right="2539" w:firstLine="959"/>
        <w:spacing w:after="0" w:line="244" w:lineRule="auto"/>
        <w:tabs>
          <w:tab w:leader="none" w:pos="1345"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one-eleventh of the aggregate principal amount of the Designated Securities, then the Company shall have the right to require each non-defaulting Underwriter to purchase the principal amount of Designated Securities which such Underwriter agreed to purchase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92" w:lineRule="exact"/>
        <w:rPr>
          <w:rFonts w:ascii="Courier New" w:cs="Courier New" w:eastAsia="Courier New" w:hAnsi="Courier New"/>
          <w:sz w:val="16"/>
          <w:szCs w:val="16"/>
          <w:color w:val="auto"/>
        </w:rPr>
      </w:pPr>
    </w:p>
    <w:p>
      <w:pPr>
        <w:ind w:right="2639" w:firstLine="959"/>
        <w:spacing w:after="0" w:line="244" w:lineRule="auto"/>
        <w:tabs>
          <w:tab w:leader="none" w:pos="1345"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one-eleventh of the aggregate principal amount of the Designated Securities, as referred to in subsection (b) above, or if the Company shall not exercise the right described in subsection (b) above to require non-defaulting Underwriters to purchase Designated Securities of a defaulting Underwriter or Underwriters, then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91"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Securities.</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Pricing Agreement shall be terminated pursuant to Section 9 hereof, or if the Underwriters do not purchase Designated Securities under the Pricing Agreement relating to such Designated Securities because the condition set forth in Section 7(b) or 7(f) hereof shall not have been satisfied, the Company shall not then be under any liability to any Underwriter with respect to the Designated Securities covered by such Pricing Agreement except as provided in Section 8 hereof; but, if for any other reason Designated Securities are not delivered by or on behalf of the Company as provided herein,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such Designated Securities, but the Company shall then be under no further liability to any Underwriter with respect to such Designated Securities except as provided in Sections 6 and 8 hereof.</w:t>
      </w:r>
    </w:p>
    <w:p>
      <w:pPr>
        <w:spacing w:after="0" w:line="192" w:lineRule="exact"/>
        <w:rPr>
          <w:rFonts w:ascii="Courier New" w:cs="Courier New" w:eastAsia="Courier New" w:hAnsi="Courier New"/>
          <w:sz w:val="16"/>
          <w:szCs w:val="16"/>
          <w:color w:val="auto"/>
        </w:rPr>
      </w:pPr>
    </w:p>
    <w:p>
      <w:pPr>
        <w:ind w:right="2639" w:firstLine="479"/>
        <w:spacing w:after="0" w:line="244" w:lineRule="auto"/>
        <w:tabs>
          <w:tab w:leader="none" w:pos="96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88" w:lineRule="exact"/>
        <w:rPr>
          <w:sz w:val="20"/>
          <w:szCs w:val="20"/>
          <w:color w:val="auto"/>
        </w:rPr>
      </w:pPr>
    </w:p>
    <w:p>
      <w:pPr>
        <w:jc w:val="both"/>
        <w:ind w:right="2539" w:firstLine="961"/>
        <w:spacing w:after="0" w:line="265" w:lineRule="auto"/>
        <w:rPr>
          <w:sz w:val="20"/>
          <w:szCs w:val="20"/>
          <w:color w:val="auto"/>
        </w:rPr>
      </w:pPr>
      <w:r>
        <w:rPr>
          <w:rFonts w:ascii="Courier New" w:cs="Courier New" w:eastAsia="Courier New" w:hAnsi="Courier New"/>
          <w:sz w:val="15"/>
          <w:szCs w:val="15"/>
          <w:color w:val="auto"/>
        </w:rPr>
        <w:t>All statements, requests, notices and agreements hereunder shall be in writing, and if to the Underwriters shall be delivered or sent by mail, telex or facsimile transmission to the address of the Representatives as set forth in the Pricing Agreement; and if to the Company shall be delivered or sent by mail,</w:t>
      </w:r>
    </w:p>
    <w:p>
      <w:pPr>
        <w:spacing w:after="0" w:line="1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1" w:right="1440" w:bottom="1440" w:gutter="0" w:footer="0" w:header="0"/>
        </w:sectPr>
      </w:pPr>
    </w:p>
    <w:bookmarkStart w:id="65" w:name="page66"/>
    <w:bookmarkEnd w:id="65"/>
    <w:p>
      <w:pPr>
        <w:ind w:right="2539"/>
        <w:spacing w:after="0" w:line="244" w:lineRule="auto"/>
        <w:rPr>
          <w:sz w:val="20"/>
          <w:szCs w:val="20"/>
          <w:color w:val="auto"/>
        </w:rPr>
      </w:pPr>
      <w:r>
        <w:rPr>
          <w:rFonts w:ascii="Courier New" w:cs="Courier New" w:eastAsia="Courier New" w:hAnsi="Courier New"/>
          <w:sz w:val="16"/>
          <w:szCs w:val="16"/>
          <w:color w:val="auto"/>
        </w:rPr>
        <w:t>telex or facsimile transmission to the address of the Company set forth in the Registration Statement: Attention: Secretary; provided, however, that any notice to an Underwriter pursuant to Section 8(c) hereof shall be delivered or sent by mail, telex or facsimile transmission to such Underwriter at its address set forth in its Underwriters' Questionnaire, or telex constituting such Questionnaire, which address will be supplied to the Company by the Representatives upon request. Any such statements, requests, notices or agreements shall take effect upon receipt thereof.</w:t>
      </w:r>
    </w:p>
    <w:p>
      <w:pPr>
        <w:spacing w:after="0" w:line="189" w:lineRule="exact"/>
        <w:rPr>
          <w:sz w:val="20"/>
          <w:szCs w:val="20"/>
          <w:color w:val="auto"/>
        </w:rPr>
      </w:pPr>
    </w:p>
    <w:p>
      <w:pPr>
        <w:ind w:right="2539" w:firstLine="479"/>
        <w:spacing w:after="0" w:line="244" w:lineRule="auto"/>
        <w:tabs>
          <w:tab w:leader="none" w:pos="96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Pricing Agreement shall be binding upon, and inure solely to the benefit of, the Underwriters, the Company and, to the extent provided in Sections 8 and 10 hereof, the officers and directors of the Company and each person who controls the Company or any Underwriter, and their respective heirs, executors, administrators, successors and assigns, and no other person shall acquire or have any right under or by virtue of this Agreement or any such Pricing Agreement. No purchaser of any of the Securities from any Underwriter shall be deemed a successor or assign by reason merely of such purchase.</w:t>
      </w:r>
    </w:p>
    <w:p>
      <w:pPr>
        <w:spacing w:after="0" w:line="189" w:lineRule="exact"/>
        <w:rPr>
          <w:rFonts w:ascii="Courier New" w:cs="Courier New" w:eastAsia="Courier New" w:hAnsi="Courier New"/>
          <w:sz w:val="16"/>
          <w:szCs w:val="16"/>
          <w:color w:val="auto"/>
        </w:rPr>
      </w:pPr>
    </w:p>
    <w:p>
      <w:pPr>
        <w:jc w:val="both"/>
        <w:ind w:right="3199" w:firstLine="479"/>
        <w:spacing w:after="0" w:line="243" w:lineRule="auto"/>
        <w:tabs>
          <w:tab w:leader="none" w:pos="96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shall be of the essence of each Pricing Agreement. As used herein, "business day" shall mean any day when the Commission's office in Washington, D.C. is open for business.</w:t>
      </w:r>
    </w:p>
    <w:p>
      <w:pPr>
        <w:spacing w:after="0" w:line="188" w:lineRule="exact"/>
        <w:rPr>
          <w:rFonts w:ascii="Courier New" w:cs="Courier New" w:eastAsia="Courier New" w:hAnsi="Courier New"/>
          <w:sz w:val="16"/>
          <w:szCs w:val="16"/>
          <w:color w:val="auto"/>
        </w:rPr>
      </w:pPr>
    </w:p>
    <w:p>
      <w:pPr>
        <w:ind w:right="2919" w:firstLine="479"/>
        <w:spacing w:after="0" w:line="242" w:lineRule="auto"/>
        <w:tabs>
          <w:tab w:leader="none" w:pos="96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PRICING AGREEMENT SHALL BE GOVERNED BY AND CONSTRUED IN ACCORDANCE WITH THE LAWS OF THE STATE OF [NEW YORK].</w:t>
      </w:r>
    </w:p>
    <w:p>
      <w:pPr>
        <w:spacing w:after="0" w:line="188" w:lineRule="exact"/>
        <w:rPr>
          <w:rFonts w:ascii="Courier New" w:cs="Courier New" w:eastAsia="Courier New" w:hAnsi="Courier New"/>
          <w:sz w:val="16"/>
          <w:szCs w:val="16"/>
          <w:color w:val="auto"/>
        </w:rPr>
      </w:pPr>
    </w:p>
    <w:p>
      <w:pPr>
        <w:ind w:right="2539" w:firstLine="479"/>
        <w:spacing w:after="0" w:line="243" w:lineRule="auto"/>
        <w:tabs>
          <w:tab w:leader="none" w:pos="96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1" w:right="1440" w:bottom="1440" w:gutter="0" w:footer="0" w:header="0"/>
        </w:sectPr>
      </w:pPr>
    </w:p>
    <w:bookmarkStart w:id="66" w:name="page67"/>
    <w:bookmarkEnd w:id="66"/>
    <w:p>
      <w:pPr>
        <w:ind w:right="2639" w:firstLine="480"/>
        <w:spacing w:after="0" w:line="242" w:lineRule="auto"/>
        <w:rPr>
          <w:sz w:val="20"/>
          <w:szCs w:val="20"/>
          <w:color w:val="auto"/>
        </w:rPr>
      </w:pPr>
      <w:r>
        <w:rPr>
          <w:rFonts w:ascii="Courier New" w:cs="Courier New" w:eastAsia="Courier New" w:hAnsi="Courier New"/>
          <w:sz w:val="16"/>
          <w:szCs w:val="16"/>
          <w:color w:val="auto"/>
        </w:rPr>
        <w:t>If the foregoing is in accordance with your understanding, please sign and return to us seven (7) counterparts hereof.</w:t>
      </w:r>
    </w:p>
    <w:p>
      <w:pPr>
        <w:spacing w:after="0" w:line="200" w:lineRule="exact"/>
        <w:rPr>
          <w:sz w:val="20"/>
          <w:szCs w:val="20"/>
          <w:color w:val="auto"/>
        </w:rPr>
      </w:pPr>
    </w:p>
    <w:p>
      <w:pPr>
        <w:spacing w:after="0" w:line="35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MICRON TECHNOLOGY, INC.</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By:___________________________</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Name:_________________________</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Title:________________________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as of the date hereof: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of Representative(s)]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Title:_______________________</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1" w:right="1440" w:bottom="1440" w:gutter="0" w:footer="0" w:header="0"/>
        </w:sectPr>
      </w:pPr>
    </w:p>
    <w:bookmarkStart w:id="67" w:name="page68"/>
    <w:bookmarkEnd w:id="67"/>
    <w:p>
      <w:pPr>
        <w:jc w:val="center"/>
        <w:ind w:right="2639"/>
        <w:spacing w:after="0"/>
        <w:rPr>
          <w:sz w:val="20"/>
          <w:szCs w:val="20"/>
          <w:color w:val="auto"/>
        </w:rPr>
      </w:pPr>
      <w:r>
        <w:rPr>
          <w:rFonts w:ascii="Courier New" w:cs="Courier New" w:eastAsia="Courier New" w:hAnsi="Courier New"/>
          <w:sz w:val="16"/>
          <w:szCs w:val="16"/>
          <w:color w:val="auto"/>
        </w:rPr>
        <w:t>ANNEX I</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PRICING AGREEMENT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of Representative(s)]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Representatives of the several Underwriters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named in Schedule I hereto,</w:t>
      </w:r>
    </w:p>
    <w:p>
      <w:pPr>
        <w:spacing w:after="0" w:line="37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____________, 199__</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639" w:firstLine="480"/>
        <w:spacing w:after="0" w:line="260" w:lineRule="auto"/>
        <w:rPr>
          <w:sz w:val="20"/>
          <w:szCs w:val="20"/>
          <w:color w:val="auto"/>
        </w:rPr>
      </w:pPr>
      <w:r>
        <w:rPr>
          <w:rFonts w:ascii="Courier New" w:cs="Courier New" w:eastAsia="Courier New" w:hAnsi="Courier New"/>
          <w:sz w:val="15"/>
          <w:szCs w:val="15"/>
          <w:color w:val="auto"/>
        </w:rPr>
        <w:t>Micron Technology, Inc., a Delaware corporation (the "Company"), proposes, subject to the terms and conditions stated herein and in the Underwriting Agreement, dated _____________, 199__, (the "Underwriting Agreement"), between</w:t>
      </w:r>
    </w:p>
    <w:p>
      <w:pPr>
        <w:spacing w:after="0" w:line="2"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 on the one hand and (names of Representatives named therein) on the other hand, to issue and sell to the Underwriters named in Schedule I hereto (the "Underwriters") the Securities specified in Schedule II hereto (the "Designated Securities").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Representatives and on behalf of each of the Underwriters of the Designated Securities pursuant to Section 12 of the Underwriting Agreement and the address of the Representatives referred to in such Section 12 are set forth at the end of Schedule II hereto.</w:t>
      </w:r>
    </w:p>
    <w:p>
      <w:pPr>
        <w:spacing w:after="0" w:line="196"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and place and at the purchase price to the Underwriters set forth in Schedule II hereto, the principal amount of Designated Securities set forth opposite the name of such Underwriter in Schedule I hereto.</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the foregoing is in accordance with your understanding, please sign and return to us seven (7)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w:t>
      </w:r>
    </w:p>
    <w:p>
      <w:pPr>
        <w:sectPr>
          <w:pgSz w:w="11900" w:h="16838" w:orient="portrait"/>
          <w:cols w:equalWidth="0" w:num="1">
            <w:col w:w="10219"/>
          </w:cols>
          <w:pgMar w:left="240" w:top="669" w:right="1440" w:bottom="1440" w:gutter="0" w:footer="0" w:header="0"/>
        </w:sectPr>
      </w:pPr>
    </w:p>
    <w:bookmarkStart w:id="68" w:name="page69"/>
    <w:bookmarkEnd w:id="68"/>
    <w:p>
      <w:pPr>
        <w:ind w:right="3979"/>
        <w:spacing w:after="0" w:line="242" w:lineRule="auto"/>
        <w:rPr>
          <w:sz w:val="20"/>
          <w:szCs w:val="20"/>
          <w:color w:val="auto"/>
        </w:rPr>
      </w:pPr>
      <w:r>
        <w:rPr>
          <w:rFonts w:ascii="Courier New" w:cs="Courier New" w:eastAsia="Courier New" w:hAnsi="Courier New"/>
          <w:sz w:val="16"/>
          <w:szCs w:val="16"/>
          <w:color w:val="auto"/>
        </w:rPr>
        <w:t>examination upon request, but without warranty on the part of the Representatives as to the authority of the signers thereof.</w:t>
      </w: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MICRON TECHNOLOGY, INC.</w:t>
      </w:r>
    </w:p>
    <w:p>
      <w:pPr>
        <w:spacing w:after="0" w:line="19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By:____________________________________</w:t>
      </w:r>
    </w:p>
    <w:p>
      <w:pPr>
        <w:spacing w:after="0" w:line="20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Name:__________________________________</w:t>
      </w:r>
    </w:p>
    <w:p>
      <w:pPr>
        <w:spacing w:after="0" w:line="20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Title:_________________________________</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as of the date hereof:</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of Representative(s)]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Title:____________________________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behalf of each of the Underwriters</w:t>
      </w:r>
    </w:p>
    <w:p>
      <w:pPr>
        <w:sectPr>
          <w:pgSz w:w="11900" w:h="16838" w:orient="portrait"/>
          <w:cols w:equalWidth="0" w:num="1">
            <w:col w:w="10219"/>
          </w:cols>
          <w:pgMar w:left="240" w:top="671" w:right="1440" w:bottom="1440" w:gutter="0" w:footer="0" w:header="0"/>
        </w:sectPr>
      </w:pPr>
    </w:p>
    <w:bookmarkStart w:id="69" w:name="page70"/>
    <w:bookmarkEnd w:id="69"/>
    <w:p>
      <w:pPr>
        <w:ind w:left="3360"/>
        <w:spacing w:after="0"/>
        <w:rPr>
          <w:sz w:val="20"/>
          <w:szCs w:val="20"/>
          <w:color w:val="auto"/>
        </w:rPr>
      </w:pPr>
      <w:r>
        <w:rPr>
          <w:rFonts w:ascii="Courier New" w:cs="Courier New" w:eastAsia="Courier New" w:hAnsi="Courier New"/>
          <w:sz w:val="15"/>
          <w:szCs w:val="15"/>
          <w:color w:val="auto"/>
        </w:rPr>
        <w:t>SCHEDULE I</w:t>
      </w:r>
    </w:p>
    <w:p>
      <w:pPr>
        <w:sectPr>
          <w:pgSz w:w="11900" w:h="16838" w:orient="portrait"/>
          <w:cols w:equalWidth="0" w:num="1">
            <w:col w:w="10219"/>
          </w:cols>
          <w:pgMar w:left="240" w:top="6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UNDERWRITER</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PRINCIPAL</w:t>
      </w:r>
    </w:p>
    <w:p>
      <w:pPr>
        <w:spacing w:after="0" w:line="4"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AMOUNT OF</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DESIGNATED</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PURCHASED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400" w:space="280"/>
            <w:col w:w="7539"/>
          </w:cols>
          <w:pgMar w:left="240" w:top="671" w:right="1440" w:bottom="1440" w:gutter="0" w:footer="0" w:header="0"/>
          <w:type w:val="continuous"/>
        </w:sectPr>
      </w:pPr>
    </w:p>
    <w:p>
      <w:pPr>
        <w:spacing w:after="0" w:line="175" w:lineRule="exact"/>
        <w:rPr>
          <w:sz w:val="20"/>
          <w:szCs w:val="20"/>
          <w:color w:val="auto"/>
        </w:rPr>
      </w:pPr>
    </w:p>
    <w:p>
      <w:pPr>
        <w:ind w:right="240"/>
        <w:spacing w:after="0" w:line="242" w:lineRule="auto"/>
        <w:rPr>
          <w:sz w:val="20"/>
          <w:szCs w:val="20"/>
          <w:color w:val="auto"/>
        </w:rPr>
      </w:pPr>
      <w:r>
        <w:rPr>
          <w:rFonts w:ascii="Courier New" w:cs="Courier New" w:eastAsia="Courier New" w:hAnsi="Courier New"/>
          <w:sz w:val="16"/>
          <w:szCs w:val="16"/>
          <w:color w:val="auto"/>
        </w:rPr>
        <w:t>[Names of Underwriters] Total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2440" w:space="720"/>
            <w:col w:w="7059"/>
          </w:cols>
          <w:pgMar w:left="240" w:top="671" w:right="1440" w:bottom="1440" w:gutter="0" w:footer="0" w:header="0"/>
          <w:type w:val="continuous"/>
        </w:sectPr>
      </w:pPr>
    </w:p>
    <w:bookmarkStart w:id="70" w:name="page71"/>
    <w:bookmarkEnd w:id="70"/>
    <w:p>
      <w:pPr>
        <w:ind w:left="3260"/>
        <w:spacing w:after="0"/>
        <w:rPr>
          <w:sz w:val="20"/>
          <w:szCs w:val="20"/>
          <w:color w:val="auto"/>
        </w:rPr>
      </w:pPr>
      <w:r>
        <w:rPr>
          <w:rFonts w:ascii="Courier New" w:cs="Courier New" w:eastAsia="Courier New" w:hAnsi="Courier New"/>
          <w:sz w:val="16"/>
          <w:szCs w:val="16"/>
          <w:color w:val="auto"/>
        </w:rPr>
        <w:t>SCHEDULE II</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DESIGNATED SECURITIES: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[__ %] [Floating Rate] [Zero Coupon] [Notes] [Debentures] due ,</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PRINCIPAL AMOUNT:</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TO PUBLIC:</w:t>
      </w:r>
    </w:p>
    <w:p>
      <w:pPr>
        <w:spacing w:after="0" w:line="190" w:lineRule="exact"/>
        <w:rPr>
          <w:sz w:val="20"/>
          <w:szCs w:val="20"/>
          <w:color w:val="auto"/>
        </w:rPr>
      </w:pPr>
    </w:p>
    <w:p>
      <w:pPr>
        <w:ind w:left="480" w:right="2639"/>
        <w:spacing w:after="0" w:line="274" w:lineRule="auto"/>
        <w:rPr>
          <w:sz w:val="20"/>
          <w:szCs w:val="20"/>
          <w:color w:val="auto"/>
        </w:rPr>
      </w:pPr>
      <w:r>
        <w:rPr>
          <w:rFonts w:ascii="Courier New" w:cs="Courier New" w:eastAsia="Courier New" w:hAnsi="Courier New"/>
          <w:sz w:val="15"/>
          <w:szCs w:val="15"/>
          <w:color w:val="auto"/>
        </w:rPr>
        <w:t>__% of the principal amount of the Designated Securities, plus accrued interest[, if any,] from to [and accrued amortization[, if any,] from to ]</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PRICE BY UNDERWRITERS:</w:t>
      </w:r>
    </w:p>
    <w:p>
      <w:pPr>
        <w:spacing w:after="0" w:line="190" w:lineRule="exact"/>
        <w:rPr>
          <w:sz w:val="20"/>
          <w:szCs w:val="20"/>
          <w:color w:val="auto"/>
        </w:rPr>
      </w:pPr>
    </w:p>
    <w:p>
      <w:pPr>
        <w:ind w:left="480" w:right="2819"/>
        <w:spacing w:after="0" w:line="242" w:lineRule="auto"/>
        <w:rPr>
          <w:sz w:val="20"/>
          <w:szCs w:val="20"/>
          <w:color w:val="auto"/>
        </w:rPr>
      </w:pPr>
      <w:r>
        <w:rPr>
          <w:rFonts w:ascii="Courier New" w:cs="Courier New" w:eastAsia="Courier New" w:hAnsi="Courier New"/>
          <w:sz w:val="16"/>
          <w:szCs w:val="16"/>
          <w:color w:val="auto"/>
        </w:rPr>
        <w:t>__% of the principal amount of the Designated Securities, plus accrued interest from to [and accrued amortization[, if any,] from _________ to</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____________ ]</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DESIGNATED SECURITIES:</w:t>
      </w:r>
    </w:p>
    <w:p>
      <w:pPr>
        <w:spacing w:after="0" w:line="190" w:lineRule="exact"/>
        <w:rPr>
          <w:sz w:val="20"/>
          <w:szCs w:val="20"/>
          <w:color w:val="auto"/>
        </w:rPr>
      </w:pPr>
    </w:p>
    <w:p>
      <w:pPr>
        <w:ind w:left="480" w:right="2539"/>
        <w:spacing w:after="0" w:line="265" w:lineRule="auto"/>
        <w:rPr>
          <w:sz w:val="20"/>
          <w:szCs w:val="20"/>
          <w:color w:val="auto"/>
        </w:rPr>
      </w:pPr>
      <w:r>
        <w:rPr>
          <w:rFonts w:ascii="Courier New" w:cs="Courier New" w:eastAsia="Courier New" w:hAnsi="Courier New"/>
          <w:sz w:val="15"/>
          <w:szCs w:val="15"/>
          <w:color w:val="auto"/>
        </w:rPr>
        <w:t>Book-entry only form represented by one or more global securities deposited with The Depository Trust Company ("DTC") or its designated custodian, to be made available for checking by the Representatives at least twenty-four hours prior to the Time of Delivery at the office of DTC.</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SPECIFIED FUNDS FOR PAYMENT OF PURCHASE PRICE: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Federal (same day) funds [by wire transfer]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 OF DELIVERY:</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_____a.m. (New York City time), , 199____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INDENTURE: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Indenture dated ____________, 199____ , between the Company and , as</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Trustee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[__%] [Zero Coupon] [See Floating Rate Provisions]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[months and dates, commencing .....................</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 199___]</w:t>
            </w:r>
          </w:p>
        </w:tc>
      </w:tr>
    </w:tbl>
    <w:p>
      <w:pPr>
        <w:sectPr>
          <w:pgSz w:w="11900" w:h="16838" w:orient="portrait"/>
          <w:cols w:equalWidth="0" w:num="1">
            <w:col w:w="10219"/>
          </w:cols>
          <w:pgMar w:left="240" w:top="669"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6"/>
          <w:szCs w:val="16"/>
          <w:color w:val="auto"/>
        </w:rPr>
        <w:t>REDEMPTION PROVISIONS: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 provisions for redemption]</w:t>
      </w:r>
    </w:p>
    <w:p>
      <w:pPr>
        <w:spacing w:after="0" w:line="190" w:lineRule="exact"/>
        <w:rPr>
          <w:sz w:val="20"/>
          <w:szCs w:val="20"/>
          <w:color w:val="auto"/>
        </w:rPr>
      </w:pPr>
    </w:p>
    <w:p>
      <w:pPr>
        <w:jc w:val="both"/>
        <w:ind w:left="480" w:right="3019"/>
        <w:spacing w:after="0" w:line="260" w:lineRule="auto"/>
        <w:rPr>
          <w:sz w:val="20"/>
          <w:szCs w:val="20"/>
          <w:color w:val="auto"/>
        </w:rPr>
      </w:pPr>
      <w:r>
        <w:rPr>
          <w:rFonts w:ascii="Courier New" w:cs="Courier New" w:eastAsia="Courier New" w:hAnsi="Courier New"/>
          <w:sz w:val="15"/>
          <w:szCs w:val="15"/>
          <w:color w:val="auto"/>
        </w:rPr>
        <w:t>[The Designated Securities may be redeemed, otherwise than through the sinking fund, in whole or in part at the option of the Company, in the amount of [$______] or an integral multiple thereof, [on or after</w:t>
      </w:r>
    </w:p>
    <w:p>
      <w:pPr>
        <w:ind w:left="480"/>
        <w:spacing w:after="0"/>
        <w:rPr>
          <w:sz w:val="20"/>
          <w:szCs w:val="20"/>
          <w:color w:val="auto"/>
        </w:rPr>
      </w:pPr>
      <w:r>
        <w:rPr>
          <w:rFonts w:ascii="Courier New" w:cs="Courier New" w:eastAsia="Courier New" w:hAnsi="Courier New"/>
          <w:sz w:val="16"/>
          <w:szCs w:val="16"/>
          <w:color w:val="auto"/>
        </w:rPr>
        <w:t>____________, at the following redemption prices (expressed in percentages</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of principal amount). If [redeemed on or before _______________ ,__ %, and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redeemed during the 12-month period beginning,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REDEMPTION</w:t>
      </w:r>
    </w:p>
    <w:p>
      <w:pPr>
        <w:spacing w:after="0" w:line="4" w:lineRule="exact"/>
        <w:rPr>
          <w:sz w:val="20"/>
          <w:szCs w:val="20"/>
          <w:color w:val="auto"/>
        </w:rPr>
      </w:pPr>
    </w:p>
    <w:p>
      <w:pPr>
        <w:ind w:left="2880"/>
        <w:spacing w:after="0"/>
        <w:tabs>
          <w:tab w:leader="none" w:pos="4020" w:val="left"/>
        </w:tabs>
        <w:rPr>
          <w:sz w:val="20"/>
          <w:szCs w:val="20"/>
          <w:color w:val="auto"/>
        </w:rPr>
      </w:pPr>
      <w:r>
        <w:rPr>
          <w:rFonts w:ascii="Courier New" w:cs="Courier New" w:eastAsia="Courier New" w:hAnsi="Courier New"/>
          <w:sz w:val="16"/>
          <w:szCs w:val="16"/>
          <w:color w:val="auto"/>
        </w:rPr>
        <w:t>YEAR</w:t>
      </w:r>
      <w:r>
        <w:rPr>
          <w:sz w:val="20"/>
          <w:szCs w:val="20"/>
          <w:color w:val="auto"/>
        </w:rPr>
        <w:tab/>
      </w:r>
      <w:r>
        <w:rPr>
          <w:rFonts w:ascii="Courier New" w:cs="Courier New" w:eastAsia="Courier New" w:hAnsi="Courier New"/>
          <w:sz w:val="16"/>
          <w:szCs w:val="16"/>
          <w:color w:val="auto"/>
        </w:rPr>
        <w:t>PRICE</w:t>
      </w:r>
    </w:p>
    <w:p>
      <w:pPr>
        <w:spacing w:after="0" w:line="4" w:lineRule="exact"/>
        <w:rPr>
          <w:sz w:val="20"/>
          <w:szCs w:val="20"/>
          <w:color w:val="auto"/>
        </w:rPr>
      </w:pPr>
    </w:p>
    <w:p>
      <w:pPr>
        <w:ind w:left="2680"/>
        <w:spacing w:after="0"/>
        <w:tabs>
          <w:tab w:leader="none" w:pos="3620" w:val="left"/>
        </w:tabs>
        <w:rPr>
          <w:sz w:val="20"/>
          <w:szCs w:val="20"/>
          <w:color w:val="auto"/>
        </w:rPr>
      </w:pPr>
      <w:r>
        <w:rPr>
          <w:rFonts w:ascii="Courier New" w:cs="Courier New" w:eastAsia="Courier New" w:hAnsi="Courier New"/>
          <w:sz w:val="16"/>
          <w:szCs w:val="16"/>
          <w:color w:val="auto"/>
        </w:rPr>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0" w:right="2639"/>
        <w:spacing w:after="0" w:line="260" w:lineRule="auto"/>
        <w:rPr>
          <w:sz w:val="20"/>
          <w:szCs w:val="20"/>
          <w:color w:val="auto"/>
        </w:rPr>
      </w:pPr>
      <w:r>
        <w:rPr>
          <w:rFonts w:ascii="Courier New" w:cs="Courier New" w:eastAsia="Courier New" w:hAnsi="Courier New"/>
          <w:sz w:val="15"/>
          <w:szCs w:val="15"/>
          <w:color w:val="auto"/>
        </w:rPr>
        <w:t>and thereafter at 100% of their principal amount, together in each case with accrued interest to the redemption date.] [on any interest payment date falling on or after _______________ , at the election of the Company,</w:t>
      </w:r>
    </w:p>
    <w:p>
      <w:pPr>
        <w:spacing w:after="0" w:line="2" w:lineRule="exact"/>
        <w:rPr>
          <w:sz w:val="20"/>
          <w:szCs w:val="20"/>
          <w:color w:val="auto"/>
        </w:rPr>
      </w:pPr>
    </w:p>
    <w:p>
      <w:pPr>
        <w:ind w:left="480" w:right="2719"/>
        <w:spacing w:after="0" w:line="242" w:lineRule="auto"/>
        <w:rPr>
          <w:sz w:val="20"/>
          <w:szCs w:val="20"/>
          <w:color w:val="auto"/>
        </w:rPr>
      </w:pPr>
      <w:r>
        <w:rPr>
          <w:rFonts w:ascii="Courier New" w:cs="Courier New" w:eastAsia="Courier New" w:hAnsi="Courier New"/>
          <w:sz w:val="16"/>
          <w:szCs w:val="16"/>
          <w:color w:val="auto"/>
        </w:rPr>
        <w:t>at a redemption price equal to the principal amount thereof, plus accrued interest to the date of redemption.]]</w:t>
      </w:r>
    </w:p>
    <w:p>
      <w:pPr>
        <w:spacing w:after="0" w:line="189" w:lineRule="exact"/>
        <w:rPr>
          <w:sz w:val="20"/>
          <w:szCs w:val="20"/>
          <w:color w:val="auto"/>
        </w:rPr>
      </w:pPr>
    </w:p>
    <w:p>
      <w:pPr>
        <w:ind w:left="480" w:right="2819"/>
        <w:spacing w:after="0" w:line="242" w:lineRule="auto"/>
        <w:rPr>
          <w:sz w:val="20"/>
          <w:szCs w:val="20"/>
          <w:color w:val="auto"/>
        </w:rPr>
      </w:pPr>
      <w:r>
        <w:rPr>
          <w:rFonts w:ascii="Courier New" w:cs="Courier New" w:eastAsia="Courier New" w:hAnsi="Courier New"/>
          <w:sz w:val="16"/>
          <w:szCs w:val="16"/>
          <w:color w:val="auto"/>
        </w:rPr>
        <w:t>[Other possible redemption provisions, such as mandatory redemption upon occurrence of certain events or redemption for changes in tax law]</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[Restriction on refunding]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SINKING FUND PROVISIONS: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 sinking fund provisions]</w:t>
      </w:r>
    </w:p>
    <w:p>
      <w:pPr>
        <w:spacing w:after="0" w:line="190" w:lineRule="exact"/>
        <w:rPr>
          <w:sz w:val="20"/>
          <w:szCs w:val="20"/>
          <w:color w:val="auto"/>
        </w:rPr>
      </w:pPr>
    </w:p>
    <w:p>
      <w:pPr>
        <w:ind w:left="480" w:right="2539"/>
        <w:spacing w:after="0" w:line="260" w:lineRule="auto"/>
        <w:rPr>
          <w:sz w:val="20"/>
          <w:szCs w:val="20"/>
          <w:color w:val="auto"/>
        </w:rPr>
      </w:pPr>
      <w:r>
        <w:rPr>
          <w:rFonts w:ascii="Courier New" w:cs="Courier New" w:eastAsia="Courier New" w:hAnsi="Courier New"/>
          <w:sz w:val="15"/>
          <w:szCs w:val="15"/>
          <w:color w:val="auto"/>
        </w:rPr>
        <w:t>[The Designated Securities are entitled to the benefit of a sinking fund to retire [$__________] principal amount of Designated Securities on in each</w:t>
      </w:r>
    </w:p>
    <w:p>
      <w:pPr>
        <w:spacing w:after="0" w:line="1" w:lineRule="exact"/>
        <w:rPr>
          <w:sz w:val="20"/>
          <w:szCs w:val="20"/>
          <w:color w:val="auto"/>
        </w:rPr>
      </w:pPr>
    </w:p>
    <w:p>
      <w:pPr>
        <w:ind w:left="480" w:right="2819"/>
        <w:spacing w:after="0" w:line="243" w:lineRule="auto"/>
        <w:rPr>
          <w:sz w:val="20"/>
          <w:szCs w:val="20"/>
          <w:color w:val="auto"/>
        </w:rPr>
      </w:pPr>
      <w:r>
        <w:rPr>
          <w:rFonts w:ascii="Courier New" w:cs="Courier New" w:eastAsia="Courier New" w:hAnsi="Courier New"/>
          <w:sz w:val="16"/>
          <w:szCs w:val="16"/>
          <w:color w:val="auto"/>
        </w:rPr>
        <w:t>of the years through at 100% of their principal amount plus accrued interest[, together with [cumulative] [noncumulative] redemptions at the option of the Company to retire an additional [$__________] principal</w:t>
      </w:r>
    </w:p>
    <w:p>
      <w:pPr>
        <w:spacing w:after="0" w:line="4" w:lineRule="exact"/>
        <w:rPr>
          <w:sz w:val="20"/>
          <w:szCs w:val="20"/>
          <w:color w:val="auto"/>
        </w:rPr>
      </w:pPr>
    </w:p>
    <w:p>
      <w:pPr>
        <w:ind w:left="480" w:right="3119"/>
        <w:spacing w:after="0" w:line="242" w:lineRule="auto"/>
        <w:rPr>
          <w:sz w:val="20"/>
          <w:szCs w:val="20"/>
          <w:color w:val="auto"/>
        </w:rPr>
      </w:pPr>
      <w:r>
        <w:rPr>
          <w:rFonts w:ascii="Courier New" w:cs="Courier New" w:eastAsia="Courier New" w:hAnsi="Courier New"/>
          <w:sz w:val="16"/>
          <w:szCs w:val="16"/>
          <w:color w:val="auto"/>
        </w:rPr>
        <w:t>amount of Designated Securities in the years through at 100% of their principal amount plus accrued interest.]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Designated Securities are extendable debt securities, insert]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EXTENDABLE PROVISIONS:</w:t>
      </w:r>
    </w:p>
    <w:p>
      <w:pPr>
        <w:spacing w:after="0" w:line="190" w:lineRule="exact"/>
        <w:rPr>
          <w:sz w:val="20"/>
          <w:szCs w:val="20"/>
          <w:color w:val="auto"/>
        </w:rPr>
      </w:pPr>
    </w:p>
    <w:p>
      <w:pPr>
        <w:ind w:left="480" w:right="2539"/>
        <w:spacing w:after="0" w:line="243" w:lineRule="auto"/>
        <w:rPr>
          <w:sz w:val="20"/>
          <w:szCs w:val="20"/>
          <w:color w:val="auto"/>
        </w:rPr>
      </w:pPr>
      <w:r>
        <w:rPr>
          <w:rFonts w:ascii="Courier New" w:cs="Courier New" w:eastAsia="Courier New" w:hAnsi="Courier New"/>
          <w:sz w:val="16"/>
          <w:szCs w:val="16"/>
          <w:color w:val="auto"/>
        </w:rPr>
        <w:t>Designated Securities are repayable on , [insert date and years], at the option of the holder, at their principal amount with accrued interest. The initial annual interest rate will be ____%, and thereafter the annual</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rate will be adjusted on , and to a rate not less than ____% of</w:t>
      </w:r>
    </w:p>
    <w:p>
      <w:pPr>
        <w:spacing w:after="0" w:line="5" w:lineRule="exact"/>
        <w:rPr>
          <w:sz w:val="20"/>
          <w:szCs w:val="20"/>
          <w:color w:val="auto"/>
        </w:rPr>
      </w:pPr>
    </w:p>
    <w:p>
      <w:pPr>
        <w:ind w:left="480" w:right="2719"/>
        <w:spacing w:after="0" w:line="243" w:lineRule="auto"/>
        <w:rPr>
          <w:sz w:val="20"/>
          <w:szCs w:val="20"/>
          <w:color w:val="auto"/>
        </w:rPr>
      </w:pPr>
      <w:r>
        <w:rPr>
          <w:rFonts w:ascii="Courier New" w:cs="Courier New" w:eastAsia="Courier New" w:hAnsi="Courier New"/>
          <w:sz w:val="16"/>
          <w:szCs w:val="16"/>
          <w:color w:val="auto"/>
        </w:rPr>
        <w:t>the effective annual interest rate on U.S. Treasury obligations with ___-year maturities as of the [insert date 15 days prior to maturity date] prior to such [insert maturity date].]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Designated Securities are floating rate debt securities, insert]</w:t>
      </w:r>
    </w:p>
    <w:p>
      <w:pPr>
        <w:sectPr>
          <w:pgSz w:w="11900" w:h="16838" w:orient="portrait"/>
          <w:cols w:equalWidth="0" w:num="1">
            <w:col w:w="10219"/>
          </w:cols>
          <w:pgMar w:left="240" w:top="669" w:right="1440" w:bottom="1440" w:gutter="0" w:footer="0" w:header="0"/>
        </w:sectPr>
      </w:pPr>
    </w:p>
    <w:bookmarkStart w:id="72" w:name="page73"/>
    <w:bookmarkEnd w:id="72"/>
    <w:p>
      <w:pPr>
        <w:ind w:left="1"/>
        <w:spacing w:after="0"/>
        <w:rPr>
          <w:sz w:val="20"/>
          <w:szCs w:val="20"/>
          <w:color w:val="auto"/>
        </w:rPr>
      </w:pPr>
      <w:r>
        <w:rPr>
          <w:rFonts w:ascii="Courier New" w:cs="Courier New" w:eastAsia="Courier New" w:hAnsi="Courier New"/>
          <w:sz w:val="16"/>
          <w:szCs w:val="16"/>
          <w:color w:val="auto"/>
        </w:rPr>
        <w:t>FLOATING RATE PROVISIONS:</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Initial annual interest rate will be ____% through ______________ [and</w:t>
      </w:r>
    </w:p>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thereafter will be adjusted [monthly] [on each, __________, and] [to an</w:t>
      </w:r>
    </w:p>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annual rate of ____% above the average rate for ___-year [month]</w:t>
      </w:r>
    </w:p>
    <w:p>
      <w:pPr>
        <w:spacing w:after="0" w:line="5" w:lineRule="exact"/>
        <w:rPr>
          <w:sz w:val="20"/>
          <w:szCs w:val="20"/>
          <w:color w:val="auto"/>
        </w:rPr>
      </w:pPr>
    </w:p>
    <w:p>
      <w:pPr>
        <w:ind w:left="481" w:right="2639"/>
        <w:spacing w:after="0" w:line="244" w:lineRule="auto"/>
        <w:rPr>
          <w:sz w:val="20"/>
          <w:szCs w:val="20"/>
          <w:color w:val="auto"/>
        </w:rPr>
      </w:pPr>
      <w:r>
        <w:rPr>
          <w:rFonts w:ascii="Courier New" w:cs="Courier New" w:eastAsia="Courier New" w:hAnsi="Courier New"/>
          <w:sz w:val="16"/>
          <w:szCs w:val="16"/>
          <w:color w:val="auto"/>
        </w:rPr>
        <w:t>[securities] [certificates of deposit] issued by and [insert names of banks].] [and the annual interest rate [thereafter] [from through ] will be the interest yield equivalent of the weekly average per annum market discount rate for -month Treasury bills plus ___% of Interest Differential (the excess, if any, of (i) the then current weekly average per annum secondary market yield for ___-month certificates of deposit over (ii) the then current interest yield equivalent of the weekly average per annum market discount rate for ___-month Treasury bills); [from and thereafter the rate will be the then current interest yield equivalent plus ____% of Interest Differential].]</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DEFEASANCE PROVISIONS: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CLOSING LOCATION FOR DELIVERY OF DESIGNATED SECURITIES:</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Wilson Sonsini Goodrich &amp; Rosati, Professional Corporation</w:t>
      </w:r>
    </w:p>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650 Page Mill Road</w:t>
      </w:r>
    </w:p>
    <w:p>
      <w:pPr>
        <w:spacing w:after="0" w:line="4" w:lineRule="exact"/>
        <w:rPr>
          <w:sz w:val="20"/>
          <w:szCs w:val="20"/>
          <w:color w:val="auto"/>
        </w:rPr>
      </w:pPr>
    </w:p>
    <w:p>
      <w:pPr>
        <w:ind w:left="481"/>
        <w:spacing w:after="0"/>
        <w:tabs>
          <w:tab w:leader="none" w:pos="2661" w:val="left"/>
        </w:tabs>
        <w:rPr>
          <w:sz w:val="20"/>
          <w:szCs w:val="20"/>
          <w:color w:val="auto"/>
        </w:rPr>
      </w:pPr>
      <w:r>
        <w:rPr>
          <w:rFonts w:ascii="Courier New" w:cs="Courier New" w:eastAsia="Courier New" w:hAnsi="Courier New"/>
          <w:sz w:val="16"/>
          <w:szCs w:val="16"/>
          <w:color w:val="auto"/>
        </w:rPr>
        <w:t>Palo Alto, California</w:t>
        <w:tab/>
        <w:t>94304</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ADDITIONAL CLOSING CONDITIONS:</w:t>
      </w:r>
    </w:p>
    <w:p>
      <w:pPr>
        <w:spacing w:after="0" w:line="190" w:lineRule="exact"/>
        <w:rPr>
          <w:sz w:val="20"/>
          <w:szCs w:val="20"/>
          <w:color w:val="auto"/>
        </w:rPr>
      </w:pPr>
    </w:p>
    <w:p>
      <w:pPr>
        <w:ind w:left="481" w:right="2639"/>
        <w:spacing w:after="0" w:line="244" w:lineRule="auto"/>
        <w:rPr>
          <w:sz w:val="20"/>
          <w:szCs w:val="20"/>
          <w:color w:val="auto"/>
        </w:rPr>
      </w:pPr>
      <w:r>
        <w:rPr>
          <w:rFonts w:ascii="Courier New" w:cs="Courier New" w:eastAsia="Courier New" w:hAnsi="Courier New"/>
          <w:sz w:val="16"/>
          <w:szCs w:val="16"/>
          <w:color w:val="auto"/>
        </w:rPr>
        <w:t>Paragraph 7(h) of the Underwriting Agreement should be modified in the event that the Securities are denominated in, indexed to, or principal or interest are paid in, a currency other than the U.S. dollar, more than one currency or in a composite currency. The country or countries issuing such currency should be added to the banking moratorium and hostilities clauses and the following additional clause should be added to the paragraph (the entire paragraph should be restated, as amended):</w:t>
      </w:r>
    </w:p>
    <w:p>
      <w:pPr>
        <w:spacing w:after="0" w:line="188" w:lineRule="exact"/>
        <w:rPr>
          <w:sz w:val="20"/>
          <w:szCs w:val="20"/>
          <w:color w:val="auto"/>
        </w:rPr>
      </w:pPr>
    </w:p>
    <w:p>
      <w:pPr>
        <w:ind w:left="481" w:right="2919"/>
        <w:spacing w:after="0" w:line="243" w:lineRule="auto"/>
        <w:rPr>
          <w:sz w:val="20"/>
          <w:szCs w:val="20"/>
          <w:color w:val="auto"/>
        </w:rPr>
      </w:pPr>
      <w:r>
        <w:rPr>
          <w:rFonts w:ascii="Courier New" w:cs="Courier New" w:eastAsia="Courier New" w:hAnsi="Courier New"/>
          <w:sz w:val="16"/>
          <w:szCs w:val="16"/>
          <w:color w:val="auto"/>
        </w:rPr>
        <w:t>the imposition of the proposal of exchange controls by any governmental authority in [insert the country or countries issuing such currency, currencies or composite currency].</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NAMES AND ADDRESSES OF REPRESENTATIVES: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Designated Representatives: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Address for Notices, etc.:</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[OTHER TERMS]*: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right="2539" w:hanging="481"/>
        <w:spacing w:after="0" w:line="244" w:lineRule="auto"/>
        <w:tabs>
          <w:tab w:leader="none" w:pos="48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particular tax, accounting or other unusual features (such as the addition of event risk provisions) of the Designated Securities should be set forth, or referenced to an attached and accompanying description, if necessary, to ensure agreement as to the terms of the Designated Securities to be purchased and sold. Such a description might appropriately be in the form in which such features will be described in the Prospectus Supplement for the offering.</w:t>
      </w:r>
    </w:p>
    <w:p>
      <w:pPr>
        <w:sectPr>
          <w:pgSz w:w="11900" w:h="16838" w:orient="portrait"/>
          <w:cols w:equalWidth="0" w:num="1">
            <w:col w:w="10221"/>
          </w:cols>
          <w:pgMar w:left="239" w:top="669" w:right="1440" w:bottom="1440" w:gutter="0" w:footer="0" w:header="0"/>
        </w:sectPr>
      </w:pPr>
    </w:p>
    <w:bookmarkStart w:id="73" w:name="page74"/>
    <w:bookmarkEnd w:id="73"/>
    <w:p>
      <w:pPr>
        <w:jc w:val="center"/>
        <w:ind w:right="2639"/>
        <w:spacing w:after="0"/>
        <w:rPr>
          <w:sz w:val="20"/>
          <w:szCs w:val="20"/>
          <w:color w:val="auto"/>
        </w:rPr>
      </w:pPr>
      <w:r>
        <w:rPr>
          <w:rFonts w:ascii="Courier New" w:cs="Courier New" w:eastAsia="Courier New" w:hAnsi="Courier New"/>
          <w:sz w:val="16"/>
          <w:szCs w:val="16"/>
          <w:color w:val="auto"/>
        </w:rPr>
        <w:t>ANNEX I</w:t>
      </w:r>
    </w:p>
    <w:p>
      <w:pPr>
        <w:spacing w:after="0" w:line="190" w:lineRule="exact"/>
        <w:rPr>
          <w:sz w:val="20"/>
          <w:szCs w:val="20"/>
          <w:color w:val="auto"/>
        </w:rPr>
      </w:pPr>
    </w:p>
    <w:p>
      <w:pPr>
        <w:ind w:right="2919" w:firstLine="480"/>
        <w:spacing w:after="0" w:line="242" w:lineRule="auto"/>
        <w:rPr>
          <w:sz w:val="20"/>
          <w:szCs w:val="20"/>
          <w:color w:val="auto"/>
        </w:rPr>
      </w:pPr>
      <w:r>
        <w:rPr>
          <w:rFonts w:ascii="Courier New" w:cs="Courier New" w:eastAsia="Courier New" w:hAnsi="Courier New"/>
          <w:sz w:val="16"/>
          <w:szCs w:val="16"/>
          <w:color w:val="auto"/>
        </w:rPr>
        <w:t>Pursuant to Section 7(e) of the Underwriting Agreement, the accountants shall furnish letters to the Underwriters to the effect that:</w:t>
      </w:r>
    </w:p>
    <w:p>
      <w:pPr>
        <w:spacing w:after="0" w:line="189" w:lineRule="exact"/>
        <w:rPr>
          <w:sz w:val="20"/>
          <w:szCs w:val="20"/>
          <w:color w:val="auto"/>
        </w:rPr>
      </w:pPr>
    </w:p>
    <w:p>
      <w:pPr>
        <w:ind w:right="2719" w:firstLine="479"/>
        <w:spacing w:after="0" w:line="243" w:lineRule="auto"/>
        <w:tabs>
          <w:tab w:leader="none" w:pos="153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are independent certified public accountants with respect to the Company and its subsidiaries within the meaning of the Act and the applicable published rules and regulations thereunder;</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144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opinion, the financial statements and any supplementary financial information and schedules audited (and, if applicable, financial forecasts and/or pro forma financial information) examined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 and, if applicable, they have made a review in accordance with standards established by the American Institute of Certified Public Accountants of the consolidated interim financial statements, selected financial data, pro forma financial information, financial forecasts and/or condensed financial statements derived from audited financial statements of the Company for the periods specified in such letter, as indicated in their reports thereon, copies of which have been furnished to the representative or representatives of the Underwriters (the "Representatives") such term to include an Underwriter or Underwriters who act without any firm being designated as its or their representatives and are attached hereto;</w:t>
      </w:r>
    </w:p>
    <w:p>
      <w:pPr>
        <w:spacing w:after="0" w:line="192" w:lineRule="exact"/>
        <w:rPr>
          <w:rFonts w:ascii="Courier New" w:cs="Courier New" w:eastAsia="Courier New" w:hAnsi="Courier New"/>
          <w:sz w:val="16"/>
          <w:szCs w:val="16"/>
          <w:color w:val="auto"/>
        </w:rPr>
      </w:pPr>
    </w:p>
    <w:p>
      <w:pPr>
        <w:ind w:right="2539" w:firstLine="479"/>
        <w:spacing w:after="0" w:line="244" w:lineRule="auto"/>
        <w:tabs>
          <w:tab w:leader="none" w:pos="144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made a review in accordance with standards established by the American Institute of Certified Public Accountants of the unaudited condensed consolidated statements of income, consolidated balance sheets and consolidated statements of cash flows included in the Prospectus and/or included in the Company's quarterly report on Form 10-Q incorporated by reference into the Prospectus as indicated in their reports thereon copies of which are attached hereto; and on the basis of specified procedures including inquiries of officials of the Company who have responsibility for financial and accounting matters regarding whether the unaudited condensed consolidated financial statements referred to in paragraph (vi)(A)(i) below comply as to form in all material respects with the applicable accounting requirements of the Act and the Exchange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Exchange Act and the related published rules and regulations;</w:t>
      </w:r>
    </w:p>
    <w:p>
      <w:pPr>
        <w:spacing w:after="0" w:line="192" w:lineRule="exact"/>
        <w:rPr>
          <w:rFonts w:ascii="Courier New" w:cs="Courier New" w:eastAsia="Courier New" w:hAnsi="Courier New"/>
          <w:sz w:val="16"/>
          <w:szCs w:val="16"/>
          <w:color w:val="auto"/>
        </w:rPr>
      </w:pPr>
    </w:p>
    <w:p>
      <w:pPr>
        <w:ind w:right="2539" w:firstLine="479"/>
        <w:spacing w:after="0" w:line="244" w:lineRule="auto"/>
        <w:tabs>
          <w:tab w:leader="none" w:pos="134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selected financial information with respect to the consolidated results of operations and financial position of the Company for the five most recent fiscal years included in the Prospectus and included or incorporated by reference in Item 6 of the Company's Annual Report on Form 10-K for the most recent fiscal year agrees with the corresponding amounts (after restatement where applicable) in the audited consolidated financial statements for five such fiscal years which were included or incorporated by reference in the Company's Annual Reports on Form 10-K for such fiscal years;</w:t>
      </w:r>
    </w:p>
    <w:p>
      <w:pPr>
        <w:spacing w:after="0" w:line="188" w:lineRule="exact"/>
        <w:rPr>
          <w:rFonts w:ascii="Courier New" w:cs="Courier New" w:eastAsia="Courier New" w:hAnsi="Courier New"/>
          <w:sz w:val="16"/>
          <w:szCs w:val="16"/>
          <w:color w:val="auto"/>
        </w:rPr>
      </w:pPr>
    </w:p>
    <w:p>
      <w:pPr>
        <w:ind w:right="2639" w:firstLine="479"/>
        <w:spacing w:after="0" w:line="244" w:lineRule="auto"/>
        <w:tabs>
          <w:tab w:leader="none" w:pos="1345"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compared the information in the Prospectus under selected captions with the disclosure requirements of Regulation S-K and on the basis of limited procedures specified in such letter nothing came to their attention as a result of the foregoing procedures that caused them to believe that this information does not conform in all material respects with the disclosure requirements of Items 301, 302, 402 and 503(d), respectively, of Regulation S-K;</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144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or incorporated by reference in the Prospectus, inquiries of officials of the</w:t>
      </w:r>
    </w:p>
    <w:p>
      <w:pPr>
        <w:sectPr>
          <w:pgSz w:w="11900" w:h="16838" w:orient="portrait"/>
          <w:cols w:equalWidth="0" w:num="1">
            <w:col w:w="10219"/>
          </w:cols>
          <w:pgMar w:left="240" w:top="669" w:right="1440" w:bottom="1440" w:gutter="0" w:footer="0" w:header="0"/>
        </w:sectPr>
      </w:pPr>
    </w:p>
    <w:bookmarkStart w:id="74" w:name="page75"/>
    <w:bookmarkEnd w:id="74"/>
    <w:p>
      <w:pPr>
        <w:ind w:right="2819"/>
        <w:spacing w:after="0" w:line="243" w:lineRule="auto"/>
        <w:rPr>
          <w:sz w:val="20"/>
          <w:szCs w:val="20"/>
          <w:color w:val="auto"/>
        </w:rPr>
      </w:pPr>
      <w:r>
        <w:rPr>
          <w:rFonts w:ascii="Courier New" w:cs="Courier New" w:eastAsia="Courier New" w:hAnsi="Courier New"/>
          <w:sz w:val="16"/>
          <w:szCs w:val="16"/>
          <w:color w:val="auto"/>
        </w:rPr>
        <w:t>Company and its subsidiaries responsible for financial and accounting matters and such other inquiries and procedures as may be specified in such letter, nothing came to their attention that caused them to believe that:</w:t>
      </w:r>
    </w:p>
    <w:p>
      <w:pPr>
        <w:spacing w:after="0" w:line="189" w:lineRule="exact"/>
        <w:rPr>
          <w:sz w:val="20"/>
          <w:szCs w:val="20"/>
          <w:color w:val="auto"/>
        </w:rPr>
      </w:pPr>
    </w:p>
    <w:p>
      <w:pPr>
        <w:ind w:right="2639" w:firstLine="959"/>
        <w:spacing w:after="0" w:line="244" w:lineRule="auto"/>
        <w:tabs>
          <w:tab w:leader="none" w:pos="134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unaudited condensed consolidated statements of income, consolidated balance sheets and consolidated statements of cash flows included in the Prospectus and/or included or incorporated by reference in the Company's Quarterly Reports on Form 10-Q incorporated by reference in the Prospectus do not comply as to form in all material respects with the applicable accounting requirements of the Exchange Act and the related published rules and regulations, or (ii) any material modifications should be made to the unaudited condensed consolidated statements of income, consolidated balance sheets and consolidated statements of cash flows included in the Prospectus or included in the Company's Quarterly Reports on Form 10-Q incorporated by reference in the Prospectus for them to be in conformity with generally accepted accounting principles;</w:t>
      </w:r>
    </w:p>
    <w:p>
      <w:pPr>
        <w:spacing w:after="0" w:line="190" w:lineRule="exact"/>
        <w:rPr>
          <w:rFonts w:ascii="Courier New" w:cs="Courier New" w:eastAsia="Courier New" w:hAnsi="Courier New"/>
          <w:sz w:val="16"/>
          <w:szCs w:val="16"/>
          <w:color w:val="auto"/>
        </w:rPr>
      </w:pPr>
    </w:p>
    <w:p>
      <w:pPr>
        <w:ind w:right="2639" w:firstLine="959"/>
        <w:spacing w:after="0" w:line="263" w:lineRule="auto"/>
        <w:tabs>
          <w:tab w:leader="none" w:pos="134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or incorporated by reference in the Company's Annual Report on Form 10-K for the most recent fiscal year;</w:t>
      </w:r>
    </w:p>
    <w:p>
      <w:pPr>
        <w:spacing w:after="0" w:line="174" w:lineRule="exact"/>
        <w:rPr>
          <w:rFonts w:ascii="Courier New" w:cs="Courier New" w:eastAsia="Courier New" w:hAnsi="Courier New"/>
          <w:sz w:val="15"/>
          <w:szCs w:val="15"/>
          <w:color w:val="auto"/>
        </w:rPr>
      </w:pPr>
    </w:p>
    <w:p>
      <w:pPr>
        <w:ind w:right="2539" w:firstLine="959"/>
        <w:spacing w:after="0" w:line="244" w:lineRule="auto"/>
        <w:tabs>
          <w:tab w:leader="none" w:pos="134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financial statements which were not included in the Prospectus but from which were derived the unaudited condensed financial statements referred to in clause (A) and any unaudited income statement data and balance sheet items included in the Prospectus and referred to in Clause (B) were not determined on a basis substantially consistent with the basis for the audited financial statements included or incorporated by reference in the Company's Annual Report on Form 10- K for the most recent fiscal year; (D) any unaudited pro forma consolidated condensed financial statements included or incorporated by reference in the Prospectus do not comply as to form in all material respects with the applicable accounting requirements of the Act and the published rules and regulations thereunder or the pro forma adjustments have not been properly applied to the historical amounts in the compilation of those statements;</w:t>
      </w:r>
    </w:p>
    <w:p>
      <w:pPr>
        <w:spacing w:after="0" w:line="191" w:lineRule="exact"/>
        <w:rPr>
          <w:sz w:val="20"/>
          <w:szCs w:val="20"/>
          <w:color w:val="auto"/>
        </w:rPr>
      </w:pPr>
    </w:p>
    <w:p>
      <w:pPr>
        <w:ind w:right="2539" w:firstLine="959"/>
        <w:spacing w:after="0" w:line="244" w:lineRule="auto"/>
        <w:tabs>
          <w:tab w:leader="none" w:pos="1345"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a specified date not more than five days prior to the date of such letter,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the latest balance sheet included or incorporated by reference in the Prospectus) or any increase in the consolidated long-term debt of the Company and its subsidiaries, or any decreases in consolidated net current assets or stockholders' equity or other items specified by the Representatives, or any increases in any items specified by the Representatives, in each case as compared with amounts shown in the latest balance sheet included or incorporated by reference in the Prospectus, except in each case for changes, increases or decreases which the Prospectus discloses have occurred or may occur or which are described in such letter; and</w:t>
      </w:r>
    </w:p>
    <w:p>
      <w:pPr>
        <w:spacing w:after="0" w:line="191"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period from the date of the latest financial statements included or incorporated by reference in the Prospectus to the specified date referred to in Clause (E) there were any decreases in consolidated net revenues or operating profit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increases or decreases which the Prospectus discloses have occurred or may occur or which are described in such letter; and (vii) In addition to the audit referred to in their report(s) included or incorporated by reference in the Prospectus and the limited procedures, inspection of</w:t>
      </w:r>
    </w:p>
    <w:p>
      <w:pPr>
        <w:sectPr>
          <w:pgSz w:w="11900" w:h="16838" w:orient="portrait"/>
          <w:cols w:equalWidth="0" w:num="1">
            <w:col w:w="10219"/>
          </w:cols>
          <w:pgMar w:left="240" w:top="671" w:right="1440" w:bottom="1440" w:gutter="0" w:footer="0" w:header="0"/>
        </w:sectPr>
      </w:pPr>
    </w:p>
    <w:bookmarkStart w:id="75" w:name="page76"/>
    <w:bookmarkEnd w:id="75"/>
    <w:p>
      <w:pPr>
        <w:ind w:left="1"/>
        <w:spacing w:after="0"/>
        <w:rPr>
          <w:sz w:val="20"/>
          <w:szCs w:val="20"/>
          <w:color w:val="auto"/>
        </w:rPr>
      </w:pPr>
      <w:r>
        <w:rPr>
          <w:rFonts w:ascii="Courier New" w:cs="Courier New" w:eastAsia="Courier New" w:hAnsi="Courier New"/>
          <w:sz w:val="15"/>
          <w:szCs w:val="15"/>
          <w:color w:val="auto"/>
        </w:rPr>
        <w:t>minute books, inquiries and other procedures referred to in paragraphs (iii) and</w:t>
      </w:r>
    </w:p>
    <w:p>
      <w:pPr>
        <w:spacing w:after="0" w:line="15" w:lineRule="exact"/>
        <w:rPr>
          <w:sz w:val="20"/>
          <w:szCs w:val="20"/>
          <w:color w:val="auto"/>
        </w:rPr>
      </w:pPr>
    </w:p>
    <w:p>
      <w:pPr>
        <w:ind w:left="1" w:right="2539" w:hanging="1"/>
        <w:spacing w:after="0" w:line="244" w:lineRule="auto"/>
        <w:tabs>
          <w:tab w:leader="none" w:pos="482"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they have carried out certain specified procedures, not constituting an audit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(excluding documents incorporated by reference), or in Part II of, or in exhibits and schedules to, the Registration Statement specified by the Representatives or in documents incorporated by reference in the Prospectus specified by the Representatives, and have compared certain of such amounts, percentages and financial information with the accounting records of the Company and its subsidiaries and have found them to be in agreement.</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All references in this Annex I to the Prospectus shall be deemed to refer to the Prospectus (including the documents incorporated by reference therein) as defined in the Underwriting Agreement as of the date of the letter delivered on the date of the Pricing Agreement for purposes of such letter and to the Prospectus as amended or supplemented (including the documents incorporated by reference therein) in relation to the applicable Designated Securities for purposes of the letter delivered at the Time of Delivery for such Designated Securities.</w:t>
      </w:r>
    </w:p>
    <w:p>
      <w:pPr>
        <w:sectPr>
          <w:pgSz w:w="11900" w:h="16838" w:orient="portrait"/>
          <w:cols w:equalWidth="0" w:num="1">
            <w:col w:w="10221"/>
          </w:cols>
          <w:pgMar w:left="239" w:top="671" w:right="1440" w:bottom="1440" w:gutter="0" w:footer="0" w:header="0"/>
        </w:sectPr>
      </w:pPr>
    </w:p>
    <w:bookmarkStart w:id="76" w:name="page77"/>
    <w:bookmarkEnd w:id="76"/>
    <w:p>
      <w:pPr>
        <w:jc w:val="right"/>
        <w:ind w:right="2539"/>
        <w:spacing w:after="0"/>
        <w:rPr>
          <w:sz w:val="20"/>
          <w:szCs w:val="20"/>
          <w:color w:val="auto"/>
        </w:rPr>
      </w:pPr>
      <w:r>
        <w:rPr>
          <w:rFonts w:ascii="Courier New" w:cs="Courier New" w:eastAsia="Courier New" w:hAnsi="Courier New"/>
          <w:sz w:val="16"/>
          <w:szCs w:val="16"/>
          <w:color w:val="auto"/>
        </w:rPr>
        <w:t>EXHIBIT 1.3</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MICRON TECHNOLOGY, INC.</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CONVERTIBLE DEBT SECURITIES</w:t>
      </w:r>
    </w:p>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UNDERWRITING AGREEMENT</w:t>
      </w:r>
    </w:p>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______________, 199__</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Representatives of the several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Underwriters named in the respective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Pricing Agreements hereinafter described.</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From time to time Micron Technology, Inc., a Delaware corporation (the "Company"), proposes to enter into one or more Pricing Agreements (each a "Pricing Agreement") in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convertible debt securities (the "Securities") specified in Schedule II to such Pricing Agreement (with respect to such Pricing Agreement, the "Designated Securities"), convertible into Common Stock, par value $0.10 per share, of the Company (the "Common Stock").</w:t>
      </w:r>
    </w:p>
    <w:p>
      <w:pPr>
        <w:spacing w:after="0" w:line="190"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The terms and rights of any particular issuance of Designated Securities shall be as specified in the Pricing Agreement relating thereto and in or pursuant to the indenture (the "Indenture") identified in such Pricing Agreement.</w:t>
      </w:r>
    </w:p>
    <w:p>
      <w:pPr>
        <w:spacing w:after="0" w:line="190" w:lineRule="exact"/>
        <w:rPr>
          <w:sz w:val="20"/>
          <w:szCs w:val="20"/>
          <w:color w:val="auto"/>
        </w:rPr>
      </w:pPr>
    </w:p>
    <w:p>
      <w:pPr>
        <w:ind w:right="2539" w:firstLine="479"/>
        <w:spacing w:after="0" w:line="244" w:lineRule="auto"/>
        <w:tabs>
          <w:tab w:leader="none" w:pos="96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Particular sales of Designated Securities may be made from time to time to the Underwriters of such Securities, for whom the firms designated as representatives of the Underwriters of such Securities in the Pricing Agreement relating thereto will act as representatives (the "Representatives"). The term "Representatives" also refers to a single firm acting as sole representative of the Underwriters and to an Underwriter or Underwriters who act without any firm being designated as its or their representatives. This Underwriting Agreement shall not be construed as an obligation of the Company to sell any of the Securities or as an obligation of any of the Underwriters to purchase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telegraphic communications or any other rapid</w:t>
      </w:r>
    </w:p>
    <w:p>
      <w:pPr>
        <w:sectPr>
          <w:pgSz w:w="11900" w:h="16838" w:orient="portrait"/>
          <w:cols w:equalWidth="0" w:num="1">
            <w:col w:w="10219"/>
          </w:cols>
          <w:pgMar w:left="240" w:top="509" w:right="1440" w:bottom="1440" w:gutter="0" w:footer="0" w:header="0"/>
        </w:sectPr>
      </w:pPr>
    </w:p>
    <w:bookmarkStart w:id="77" w:name="page78"/>
    <w:bookmarkEnd w:id="77"/>
    <w:p>
      <w:pPr>
        <w:ind w:right="2719"/>
        <w:spacing w:after="0" w:line="243" w:lineRule="auto"/>
        <w:rPr>
          <w:sz w:val="20"/>
          <w:szCs w:val="20"/>
          <w:color w:val="auto"/>
        </w:rPr>
      </w:pPr>
      <w:r>
        <w:rPr>
          <w:rFonts w:ascii="Courier New" w:cs="Courier New" w:eastAsia="Courier New" w:hAnsi="Courier New"/>
          <w:sz w:val="16"/>
          <w:szCs w:val="16"/>
          <w:color w:val="auto"/>
        </w:rPr>
        <w:t>transmission device designed to produce a written record of communications transmitted. The obligations of the Underwriters under this Agreement and each Pricing Agreement shall be several and not joint.</w:t>
      </w:r>
    </w:p>
    <w:p>
      <w:pPr>
        <w:spacing w:after="0" w:line="189" w:lineRule="exact"/>
        <w:rPr>
          <w:sz w:val="20"/>
          <w:szCs w:val="20"/>
          <w:color w:val="auto"/>
        </w:rPr>
      </w:pPr>
    </w:p>
    <w:p>
      <w:pPr>
        <w:ind w:right="2719" w:firstLine="479"/>
        <w:spacing w:after="0" w:line="242" w:lineRule="auto"/>
        <w:tabs>
          <w:tab w:leader="none" w:pos="96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represents and warrants to, and agrees with, each of the Underwriters that:</w:t>
      </w:r>
    </w:p>
    <w:p>
      <w:pPr>
        <w:spacing w:after="0" w:line="188" w:lineRule="exact"/>
        <w:rPr>
          <w:rFonts w:ascii="Courier New" w:cs="Courier New" w:eastAsia="Courier New" w:hAnsi="Courier New"/>
          <w:sz w:val="16"/>
          <w:szCs w:val="16"/>
          <w:color w:val="auto"/>
        </w:rPr>
      </w:pPr>
    </w:p>
    <w:p>
      <w:pPr>
        <w:ind w:right="2539" w:firstLine="959"/>
        <w:spacing w:after="0" w:line="261" w:lineRule="auto"/>
        <w:tabs>
          <w:tab w:leader="none" w:pos="1345"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registration statement on Form S-3 (File No. 333-18441) (the "Initial Registration Statement") in respect of the Securities and the shares of Common Stock issuable upon conversion thereof has been filed with the Securities and Exchange Commission (the "Commission"); the Initial Registration Statement and any post-effective amendment thereto, each in the form heretofore delivered or to be delivered to the Representatives and, excluding exhibits to the Initial Registration Statement, but including all documents incorporated by reference in the prospectus contained therein, to the Representatives for each of the other Underwriters, have been declared effective by the Commission in such form; no other document with respect to the Initial Registration Statement or document incorporated by reference therein has heretofore been filed or transmitted for filing with the Commission other than a registration statement, if any, increasing the size of the offering (a "Rule 462(b) Registration Statement"), filed pursuant to Rule 462(b) under the Securities Act of 1933, as amended (the "Act"), which became effective upon filing (and other than prospectuses filed pursuant to Rule 424(b) of the rules and regulations of the Commission under the Act, each in the form heretofore delivered to the Representatives); and no stop order suspending the effectiveness of the Initial Registration Statement, any post-effective amendment thereto or the Rule 462(b) Registration Statement, if any, has been issued and no proceeding for that purpose has been initiated or threatened by the Commission (any preliminary prospectus included in such registration statement or filed with the Commission pursuant to Rule 424(a) under the Act, is hereinafter called a "Preliminary Prospectus;" the various parts of the Initial Registration Statement and the Rule 462(b) Registration Statement, if any, including all exhibits thereto and the documents incorporated by reference in the prospectus contained in the Initial Registration Statement at the time such part of the Initial Registration Statement became effective or such part of the Rule 462(b) Registration Statement, if any, became or hereafter becomes effective, but excluding Form T-1, each as amended at the time such part of the registration statement became effective, are hereinafter collectively called the "Registration Statement;" the prospectus relating to the Securities, in the form in which it has most recently been filed, or transmitted for filing, with the Commission on or prior to the date of this Agreement, being hereinafter called the "Prospectus;" any reference herein to any Preliminary Prospectus or the Prospectus shall be deemed to refer to and include the documents incorporated by reference therein pursuant to the applicable form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annual report of the Company filed pursuant to Sections 13(a) or 15(d) of the Exchange Act after the effective date of the Registration Statement that is incorporated by reference in the Registration Statement; and any reference to the Prospectus as amended or supplemented shall be deemed to refer to the Prospectus as amended or supplemented in relation to the applicable Designated Securities in the form in which it is filed with the Commission pursuant to Rule 424(b) under the Act in accordance with Section 5(a) hereof, including any documents incorporated by reference therein as of the date of such filing);</w:t>
      </w:r>
    </w:p>
    <w:p>
      <w:pPr>
        <w:spacing w:after="0" w:line="200" w:lineRule="exact"/>
        <w:rPr>
          <w:rFonts w:ascii="Courier New" w:cs="Courier New" w:eastAsia="Courier New" w:hAnsi="Courier New"/>
          <w:sz w:val="15"/>
          <w:szCs w:val="15"/>
          <w:color w:val="auto"/>
        </w:rPr>
      </w:pPr>
    </w:p>
    <w:p>
      <w:pPr>
        <w:spacing w:after="0" w:line="353" w:lineRule="exact"/>
        <w:rPr>
          <w:rFonts w:ascii="Courier New" w:cs="Courier New" w:eastAsia="Courier New" w:hAnsi="Courier New"/>
          <w:sz w:val="15"/>
          <w:szCs w:val="15"/>
          <w:color w:val="auto"/>
        </w:rPr>
      </w:pPr>
    </w:p>
    <w:p>
      <w:pPr>
        <w:ind w:right="2639" w:firstLine="959"/>
        <w:spacing w:after="0" w:line="244" w:lineRule="auto"/>
        <w:tabs>
          <w:tab w:leader="none" w:pos="1345"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78" w:name="page79"/>
    <w:bookmarkEnd w:id="78"/>
    <w:p>
      <w:pPr>
        <w:ind w:right="2539"/>
        <w:spacing w:after="0" w:line="244" w:lineRule="auto"/>
        <w:rPr>
          <w:sz w:val="20"/>
          <w:szCs w:val="20"/>
          <w:color w:val="auto"/>
        </w:rPr>
      </w:pPr>
      <w:r>
        <w:rPr>
          <w:rFonts w:ascii="Courier New" w:cs="Courier New" w:eastAsia="Courier New" w:hAnsi="Courier New"/>
          <w:sz w:val="16"/>
          <w:szCs w:val="16"/>
          <w:color w:val="auto"/>
        </w:rPr>
        <w:t>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191" w:lineRule="exact"/>
        <w:rPr>
          <w:sz w:val="20"/>
          <w:szCs w:val="20"/>
          <w:color w:val="auto"/>
        </w:rPr>
      </w:pPr>
    </w:p>
    <w:p>
      <w:pPr>
        <w:ind w:right="2539" w:firstLine="959"/>
        <w:spacing w:after="0" w:line="244" w:lineRule="auto"/>
        <w:tabs>
          <w:tab w:leader="none" w:pos="134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conform, and any further amendments or supplements to the Registration Statement or the Prospectus will conform, in all material respects to the requirements of the Act and the Trust Indenture Act of 1939, as amended (the "Trust Indenture Act") and the rules and regulations of the Commission thereunder and do not and will not, as of the applicable effective date as to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Securities through the Representatives expressly for use in the Prospectus as amended or supplemented relating to such Securities;</w:t>
      </w:r>
    </w:p>
    <w:p>
      <w:pPr>
        <w:spacing w:after="0" w:line="192"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material change in the capital stock or long-term debt of the Company or any of its subsidiaries or any material adverse change, or any development that would reasonably be expected to cause a prospective material adverse change, in the general affairs, management, financial position, shareholders' equity or results of operations of the Company and its subsidiaries, otherwise than as set forth or contemplated in the Prospectus;</w:t>
      </w:r>
    </w:p>
    <w:p>
      <w:pPr>
        <w:spacing w:after="0" w:line="191" w:lineRule="exact"/>
        <w:rPr>
          <w:rFonts w:ascii="Courier New" w:cs="Courier New" w:eastAsia="Courier New" w:hAnsi="Courier New"/>
          <w:sz w:val="16"/>
          <w:szCs w:val="16"/>
          <w:color w:val="auto"/>
        </w:rPr>
      </w:pPr>
    </w:p>
    <w:p>
      <w:pPr>
        <w:ind w:right="2639" w:firstLine="959"/>
        <w:spacing w:after="0" w:line="243" w:lineRule="auto"/>
        <w:tabs>
          <w:tab w:leader="none" w:pos="134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validly existing as a corporation in good standing under the laws of the State of Delaware, with power and authority (corporate and other) to own its properties and conduct its business as described in the Prospectus;</w:t>
      </w:r>
    </w:p>
    <w:p>
      <w:pPr>
        <w:spacing w:after="0" w:line="189"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an authorized capitalization as set forth in the Prospectus, and all of the issued shares of capital stock of the Company have been duly and validly authorized and issued and are fully paid and non-assessable; the shares of Common Stock initially issuable upon conversion of the Securities (the "Conversion Shares") have been duly and validly authorized and reserved for issuance and, when issued and delivered in accordance with the provisions of the Securities and the Indenture, will be duly and validly issued, fully paid and non-assessable and will conform to the description of the Common Stock contained in the Prospectus;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sectPr>
      </w:pPr>
    </w:p>
    <w:bookmarkStart w:id="79" w:name="page80"/>
    <w:bookmarkEnd w:id="79"/>
    <w:p>
      <w:pPr>
        <w:ind w:left="-959" w:right="2539" w:firstLine="959"/>
        <w:spacing w:after="0" w:line="244" w:lineRule="auto"/>
        <w:tabs>
          <w:tab w:leader="none" w:pos="386"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Designated Securities are issued and delivered pursuant to this Agreement and the Pricing Agreement with respect to such Designated Securities, such Designated Securities will have been duly authorized,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(as defined in Section 4 hereof), the Indenture will constitute a valid and legally binding instrument, enforceable against the Company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in all material respects to the descriptions thereof contained in the Prospectus as amended or supplemented with respect to such Designated Securities;</w:t>
      </w:r>
    </w:p>
    <w:p>
      <w:pPr>
        <w:spacing w:after="0" w:line="192" w:lineRule="exact"/>
        <w:rPr>
          <w:rFonts w:ascii="Courier New" w:cs="Courier New" w:eastAsia="Courier New" w:hAnsi="Courier New"/>
          <w:sz w:val="16"/>
          <w:szCs w:val="16"/>
          <w:color w:val="auto"/>
        </w:rPr>
      </w:pPr>
    </w:p>
    <w:p>
      <w:pPr>
        <w:ind w:left="-959" w:right="2539" w:firstLine="959"/>
        <w:spacing w:after="0" w:line="244" w:lineRule="auto"/>
        <w:tabs>
          <w:tab w:leader="none" w:pos="386"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Securities, the issuance of the Conversion Shares and the compliance by the Company with its obligations pursuant to the Securities, the Indenture, this Agreement and any Pricing Agreement will not result in a breach or violation of any of the terms or provisions of, or constitute a default under, any material indenture, mortgage, deed of trust, loan agreement or other agreement or instrument to which the Company is a party or by which the Company is bound or to which any of the property or assets of the Company is subject, nor will such action result in any violation of the provisions of the Certificate of Incorporation or By-laws of the Company or any statute or any order, rule or regulation of any court or governmental agency or body having jurisdiction over the Company or any of its properties, except where such breach, violation or default would not have a material adverse effect on the Company's business and results of operations; and no consent, approval, authorization, order, registration or qualification of or with any such court or governmental agency or body is required for the issue and sale of the Securities or the performance by the Company of its obligations pursuant to this Agreement or any Pricing Agreement or the Indenture, except (i) such as have been, or will have been prior to the Time of Delivery, obtained under the Act and the Trust Indenture Act, (ii) the approval of the listing of the Conversion Shares on the New York Stock Exchange and (iii) such consents, approvals, authorizations, registrations or qualifications as may be required under state securities or Blue Sky laws in connection with the purchase and distribution of the Securities by the Underwriters and except where the failure to obtain such consents would not have a material adverse effect on the Company's business and results of operations;</w:t>
      </w:r>
    </w:p>
    <w:p>
      <w:pPr>
        <w:spacing w:after="0" w:line="197" w:lineRule="exact"/>
        <w:rPr>
          <w:rFonts w:ascii="Courier New" w:cs="Courier New" w:eastAsia="Courier New" w:hAnsi="Courier New"/>
          <w:sz w:val="16"/>
          <w:szCs w:val="16"/>
          <w:color w:val="auto"/>
        </w:rPr>
      </w:pPr>
    </w:p>
    <w:p>
      <w:pPr>
        <w:ind w:left="-959" w:right="2639" w:firstLine="959"/>
        <w:spacing w:after="0" w:line="244" w:lineRule="auto"/>
        <w:tabs>
          <w:tab w:leader="none" w:pos="386"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set forth in the Prospectus under the captions "Description of Securities," "Description of [Notes] [Debentures]" and "Description of Capital Stock," insofar as they purport to constitute a summary of the terms of the Securities and the Common Stock, and under the caption ["Taxation"], insofar as they purport to summarize certain provisions of the laws and documents referred to therein, fairly summarize such provisions in all material respects;</w:t>
      </w:r>
    </w:p>
    <w:p>
      <w:pPr>
        <w:spacing w:after="0" w:line="188" w:lineRule="exact"/>
        <w:rPr>
          <w:rFonts w:ascii="Courier New" w:cs="Courier New" w:eastAsia="Courier New" w:hAnsi="Courier New"/>
          <w:sz w:val="16"/>
          <w:szCs w:val="16"/>
          <w:color w:val="auto"/>
        </w:rPr>
      </w:pPr>
    </w:p>
    <w:p>
      <w:pPr>
        <w:ind w:left="-959" w:right="2539" w:firstLine="959"/>
        <w:spacing w:after="0" w:line="244" w:lineRule="auto"/>
        <w:tabs>
          <w:tab w:leader="none" w:pos="386"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in violation of its Certificate of Incorporation or By-laws or, in any material respect,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w:t>
      </w:r>
    </w:p>
    <w:p>
      <w:pPr>
        <w:spacing w:after="0" w:line="187" w:lineRule="exact"/>
        <w:rPr>
          <w:rFonts w:ascii="Courier New" w:cs="Courier New" w:eastAsia="Courier New" w:hAnsi="Courier New"/>
          <w:sz w:val="16"/>
          <w:szCs w:val="16"/>
          <w:color w:val="auto"/>
        </w:rPr>
      </w:pPr>
    </w:p>
    <w:p>
      <w:pPr>
        <w:ind w:left="-959" w:right="2539" w:firstLine="959"/>
        <w:spacing w:after="0" w:line="244" w:lineRule="auto"/>
        <w:tabs>
          <w:tab w:leader="none" w:pos="386"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current or future consolidated financial position, shareholders' equity or results of operations of the Company and its subsidiaries; and, to the best of the Company's knowledge, no such proceedings are threatened by governmental authorities or by others;</w:t>
      </w:r>
    </w:p>
    <w:p>
      <w:pPr>
        <w:spacing w:after="0" w:line="187"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260"/>
          </w:cols>
          <w:pgMar w:left="1199" w:top="671" w:right="1440" w:bottom="1440" w:gutter="0" w:footer="0" w:header="0"/>
        </w:sectPr>
      </w:pPr>
    </w:p>
    <w:bookmarkStart w:id="80" w:name="page81"/>
    <w:bookmarkEnd w:id="80"/>
    <w:p>
      <w:pPr>
        <w:ind w:left="-479" w:right="2819" w:firstLine="959"/>
        <w:spacing w:after="0" w:line="243" w:lineRule="auto"/>
        <w:tabs>
          <w:tab w:leader="none" w:pos="866"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and, after giving effect to the offering and sale of the Securities, will not be an "investment company" or an entity "controlled" by an "investment company," as such terms are defined in the Investment Company Act of 1940, as amended (the "Investment Company Act");</w:t>
      </w:r>
    </w:p>
    <w:p>
      <w:pPr>
        <w:spacing w:after="0" w:line="189" w:lineRule="exact"/>
        <w:rPr>
          <w:rFonts w:ascii="Courier New" w:cs="Courier New" w:eastAsia="Courier New" w:hAnsi="Courier New"/>
          <w:sz w:val="16"/>
          <w:szCs w:val="16"/>
          <w:color w:val="auto"/>
        </w:rPr>
      </w:pPr>
    </w:p>
    <w:p>
      <w:pPr>
        <w:ind w:left="-479" w:right="2819" w:firstLine="959"/>
        <w:spacing w:after="0" w:line="243" w:lineRule="auto"/>
        <w:tabs>
          <w:tab w:leader="none" w:pos="866"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Coopers &amp; Lybrand, L.L.P., who have certified certain financial statements of the Company and its subsidiaries, are independent public accountants as required by the Act and the rules and regulations of the Commission thereunder;</w:t>
      </w:r>
    </w:p>
    <w:p>
      <w:pPr>
        <w:spacing w:after="0" w:line="189" w:lineRule="exact"/>
        <w:rPr>
          <w:rFonts w:ascii="Courier New" w:cs="Courier New" w:eastAsia="Courier New" w:hAnsi="Courier New"/>
          <w:sz w:val="16"/>
          <w:szCs w:val="16"/>
          <w:color w:val="auto"/>
        </w:rPr>
      </w:pPr>
    </w:p>
    <w:p>
      <w:pPr>
        <w:ind w:left="-479" w:right="2539" w:firstLine="959"/>
        <w:spacing w:after="0" w:line="244" w:lineRule="auto"/>
        <w:tabs>
          <w:tab w:leader="none" w:pos="866"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own or possess or can acquire on commercially reasonable terms adequate licenses or other rights to use all patents, trademarks, service marks, trade names, copyrights, mask work rights, technology and know-how necessary to conduct the business now or proposed to be conducted by the Company and its subsidiaries as described in the Prospectus, and except as disclosed in the Prospectus the Company has not received any notice of infringement of or conflict with (and knows of no such infringement of or conflict with) asserted rights of others with respect to any patents, trademarks, service marks, trade names, copyrights, mask work rights or know-how which would be reasonably likely to result in any material adverse effect upon the Company and its subsidiaries; and, except as disclosed in the Prospectus, the discoveries, inventions, products or processes of the Company and its subsidiaries referred to in the Prospectus do not, to the Company's knowledge, infringe or conflict with any right or patent of any third party or any discovery, invention, product or process which is the subject of a patent application filed by any third party, known to the Company; and</w:t>
      </w:r>
    </w:p>
    <w:p>
      <w:pPr>
        <w:spacing w:after="0" w:line="192" w:lineRule="exact"/>
        <w:rPr>
          <w:rFonts w:ascii="Courier New" w:cs="Courier New" w:eastAsia="Courier New" w:hAnsi="Courier New"/>
          <w:sz w:val="16"/>
          <w:szCs w:val="16"/>
          <w:color w:val="auto"/>
        </w:rPr>
      </w:pPr>
    </w:p>
    <w:p>
      <w:pPr>
        <w:ind w:left="-479" w:right="2639" w:firstLine="959"/>
        <w:spacing w:after="0" w:line="262" w:lineRule="auto"/>
        <w:tabs>
          <w:tab w:leader="none" w:pos="866"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obtained any permits, consents and authorizations required to be obtained by them under laws or regulations relating to the protection of the environment or concerning the handling, storage, disposal or discharge of toxic materials (collectively "Environmental Laws"), and any such permits, consents and authorizations remain in full force and effect. The Company and its subsidiaries are in compliance with the Environmental Laws in all material respects, and there is no pending or, to the Company's knowledge, threatened, action or proceeding against the Company and its subsidiaries alleging violations of the Environmental laws.</w:t>
      </w:r>
    </w:p>
    <w:p>
      <w:pPr>
        <w:spacing w:after="0" w:line="178" w:lineRule="exact"/>
        <w:rPr>
          <w:rFonts w:ascii="Courier New" w:cs="Courier New" w:eastAsia="Courier New" w:hAnsi="Courier New"/>
          <w:sz w:val="15"/>
          <w:szCs w:val="15"/>
          <w:color w:val="auto"/>
        </w:rPr>
      </w:pPr>
    </w:p>
    <w:p>
      <w:pPr>
        <w:ind w:left="-479" w:right="2539" w:firstLine="479"/>
        <w:spacing w:after="0" w:line="244" w:lineRule="auto"/>
        <w:tabs>
          <w:tab w:leader="none" w:pos="48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87" w:lineRule="exact"/>
        <w:rPr>
          <w:rFonts w:ascii="Courier New" w:cs="Courier New" w:eastAsia="Courier New" w:hAnsi="Courier New"/>
          <w:sz w:val="16"/>
          <w:szCs w:val="16"/>
          <w:color w:val="auto"/>
        </w:rPr>
      </w:pPr>
    </w:p>
    <w:p>
      <w:pPr>
        <w:ind w:left="-479" w:right="2539" w:firstLine="479"/>
        <w:spacing w:after="0" w:line="262" w:lineRule="auto"/>
        <w:tabs>
          <w:tab w:leader="none" w:pos="48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Designated Securities to be purchased by each Underwriter pursuant to the Pricing Agreement relating thereto, in the form specified in such Pricing Agreement, and in such authorized denominations and registered in such names as the Representatives may request upon at least forty-eight hours' prior notice to the Company, shall be delivered by or on behalf of the Company to the Representatives for the account of such Underwriter, against payment by such Underwriter or on its behalf of the purchase price therefor by certified or official bank check or checks, payable to the order of the Company in the funds specified in such Pricing Agreement,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76" w:lineRule="exact"/>
        <w:rPr>
          <w:rFonts w:ascii="Courier New" w:cs="Courier New" w:eastAsia="Courier New" w:hAnsi="Courier New"/>
          <w:sz w:val="15"/>
          <w:szCs w:val="15"/>
          <w:color w:val="auto"/>
        </w:rPr>
      </w:pPr>
    </w:p>
    <w:p>
      <w:pPr>
        <w:ind w:left="-479" w:right="2919" w:firstLine="479"/>
        <w:spacing w:after="0" w:line="242" w:lineRule="auto"/>
        <w:tabs>
          <w:tab w:leader="none" w:pos="48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with each of the Underwriters of any Designated Securities:</w:t>
      </w:r>
    </w:p>
    <w:p>
      <w:pPr>
        <w:spacing w:after="0" w:line="187"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40"/>
          </w:cols>
          <w:pgMar w:left="719" w:top="671" w:right="1440" w:bottom="1440" w:gutter="0" w:footer="0" w:header="0"/>
        </w:sectPr>
      </w:pPr>
    </w:p>
    <w:bookmarkStart w:id="81" w:name="page82"/>
    <w:bookmarkEnd w:id="81"/>
    <w:p>
      <w:pPr>
        <w:ind w:left="-959" w:right="2539" w:firstLine="959"/>
        <w:spacing w:after="0" w:line="261" w:lineRule="auto"/>
        <w:tabs>
          <w:tab w:leader="none" w:pos="386"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prepare the Prospectus as amended or supplemented in relation to the applicable Designated Securities and to file such Prospectus pursuant to Rule 424(b) under the Act not later than the Commission's close of business on the second business day following the execution and delivery of the Pricing Agreement relating to the applicable Designated Securities or, if applicable, such earlier time as may be required by Rule 424(b); to make no further amendment or any supplement to the Registration Statement or Prospectus as amended or supplemented after the date of the Pricing Agreement relating to such Securities and prior to the Time of Delivery for such Securities which shall be disapproved by the Representatives for such Securities promptly after reasonable notice thereof; to advise the Representatives promptly of any such amendment or supplement after such Time of Delivery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such Securities,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relating to the Securities, of the suspension of the qualification of such Securities or the Conversion Shares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such stop order or of any such order preventing or suspending the use of any prospectus relating to the Securities or suspending any such qualification, to promptly use its best efforts to obtain the withdrawal of such order;</w:t>
      </w:r>
    </w:p>
    <w:p>
      <w:pPr>
        <w:spacing w:after="0" w:line="369" w:lineRule="exact"/>
        <w:rPr>
          <w:rFonts w:ascii="Courier New" w:cs="Courier New" w:eastAsia="Courier New" w:hAnsi="Courier New"/>
          <w:sz w:val="15"/>
          <w:szCs w:val="15"/>
          <w:color w:val="auto"/>
        </w:rPr>
      </w:pPr>
    </w:p>
    <w:p>
      <w:pPr>
        <w:ind w:left="-959" w:right="2539" w:firstLine="959"/>
        <w:spacing w:after="0" w:line="244" w:lineRule="auto"/>
        <w:tabs>
          <w:tab w:leader="none" w:pos="386"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from time to time to take such action as the Representatives may reasonably request to qualify such Securities and the Conversion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Securities, provided that in connection therewith the Company shall not be required to qualify as a foreign corporation or to file a general consent to service of process in any jurisdiction;</w:t>
      </w:r>
    </w:p>
    <w:p>
      <w:pPr>
        <w:spacing w:after="0" w:line="189" w:lineRule="exact"/>
        <w:rPr>
          <w:rFonts w:ascii="Courier New" w:cs="Courier New" w:eastAsia="Courier New" w:hAnsi="Courier New"/>
          <w:sz w:val="16"/>
          <w:szCs w:val="16"/>
          <w:color w:val="auto"/>
        </w:rPr>
      </w:pPr>
    </w:p>
    <w:p>
      <w:pPr>
        <w:ind w:left="-959" w:right="2539" w:firstLine="959"/>
        <w:spacing w:after="0" w:line="244" w:lineRule="auto"/>
        <w:tabs>
          <w:tab w:leader="none" w:pos="386"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or prior to 3:00 p.m., New York City time, on the New York Business Day immediately following the date of the Pricing Agreement and from time to time, to furnish the Underwriters with copies of the Prospectus in New York City as amended or supplemented in such quantities as the Representatives may reasonably request, and, if the delivery of a prospectus is required at any time in connection with the offering or sale of the Securities and the Conversion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193"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260"/>
          </w:cols>
          <w:pgMar w:left="1199" w:top="671" w:right="1440" w:bottom="1440" w:gutter="0" w:footer="0" w:header="0"/>
        </w:sectPr>
      </w:pPr>
    </w:p>
    <w:bookmarkStart w:id="82" w:name="page83"/>
    <w:bookmarkEnd w:id="82"/>
    <w:p>
      <w:pPr>
        <w:ind w:left="1" w:right="2539" w:firstLine="959"/>
        <w:spacing w:after="0" w:line="244" w:lineRule="auto"/>
        <w:tabs>
          <w:tab w:leader="none" w:pos="1346"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generally available to its securityholders as soon as practicable, but in any event not later than eighteen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88"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[(e) During the period beginning from the date of the Pricing Agreement for such Designated Securities and continuing to and including the later of (i) the termination of trading restrictions for such Designated Securities, as notified to the Company by the Representatives and (ii) the Time of Delivery for such Designated Securities, not to offer, sell, contract to sell or otherwise dispose of any securities of the Company which are substantially similar to such Designated Securities or the Common Stock (other than pursuant to employee stock option plans or employee stock purchase plans existing on, or upon the conversion of convertible or exchangeable securities outstanding as of, the date of the Pricing Agreement for such Designated Shares and other than in connection with the acquisition of another corporation or entity (including, without limitation, any subsidiary of the Company)), without the prior written consent of the Representatives;]</w:t>
      </w:r>
    </w:p>
    <w:p>
      <w:pPr>
        <w:spacing w:after="0" w:line="191" w:lineRule="exact"/>
        <w:rPr>
          <w:sz w:val="20"/>
          <w:szCs w:val="20"/>
          <w:color w:val="auto"/>
        </w:rPr>
      </w:pPr>
    </w:p>
    <w:p>
      <w:pPr>
        <w:ind w:left="1" w:right="2539" w:firstLine="959"/>
        <w:spacing w:after="0" w:line="244" w:lineRule="auto"/>
        <w:tabs>
          <w:tab w:leader="none" w:pos="1346" w:val="left"/>
        </w:tabs>
        <w:numPr>
          <w:ilvl w:val="2"/>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elects to rely upon Rule 462(b), the Company shall file a Rule 462(b) Registration Statement with the Commission in compliance with Rule 462(b) by 10:00 p.m., Washington, D.C. time, on the date of the Pricing Agreement, and the Company shall at the time of filing either pay to the Commission the filing fee for the Rule 462(b) Registration Statement or give irrevocable instructions for the payment of such fee pursuant to Rule 111(b) under the Act;</w:t>
      </w:r>
    </w:p>
    <w:p>
      <w:pPr>
        <w:spacing w:after="0" w:line="188" w:lineRule="exact"/>
        <w:rPr>
          <w:rFonts w:ascii="Courier New" w:cs="Courier New" w:eastAsia="Courier New" w:hAnsi="Courier New"/>
          <w:sz w:val="16"/>
          <w:szCs w:val="16"/>
          <w:color w:val="auto"/>
        </w:rPr>
      </w:pPr>
    </w:p>
    <w:p>
      <w:pPr>
        <w:ind w:left="1" w:right="2919" w:firstLine="959"/>
        <w:spacing w:after="0" w:line="243" w:lineRule="auto"/>
        <w:tabs>
          <w:tab w:leader="none" w:pos="1346" w:val="left"/>
        </w:tabs>
        <w:numPr>
          <w:ilvl w:val="2"/>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reserve and keep available at all times, free of preemptive rights, shares of Common Stock for the purpose of enabling the Company to satisfy any obligation to issue the Conversion Shares; and</w:t>
      </w:r>
    </w:p>
    <w:p>
      <w:pPr>
        <w:spacing w:after="0" w:line="188" w:lineRule="exact"/>
        <w:rPr>
          <w:rFonts w:ascii="Courier New" w:cs="Courier New" w:eastAsia="Courier New" w:hAnsi="Courier New"/>
          <w:sz w:val="16"/>
          <w:szCs w:val="16"/>
          <w:color w:val="auto"/>
        </w:rPr>
      </w:pPr>
    </w:p>
    <w:p>
      <w:pPr>
        <w:ind w:left="1" w:right="2819" w:firstLine="959"/>
        <w:spacing w:after="0" w:line="242" w:lineRule="auto"/>
        <w:tabs>
          <w:tab w:leader="none" w:pos="1346" w:val="left"/>
        </w:tabs>
        <w:numPr>
          <w:ilvl w:val="2"/>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use its best efforts to list, subject to notice of issuance, the Conversion Shares on the New York Stock Exchange.</w:t>
      </w:r>
    </w:p>
    <w:p>
      <w:pPr>
        <w:spacing w:after="0" w:line="188" w:lineRule="exact"/>
        <w:rPr>
          <w:rFonts w:ascii="Courier New" w:cs="Courier New" w:eastAsia="Courier New" w:hAnsi="Courier New"/>
          <w:sz w:val="16"/>
          <w:szCs w:val="16"/>
          <w:color w:val="auto"/>
        </w:rPr>
      </w:pPr>
    </w:p>
    <w:p>
      <w:pPr>
        <w:ind w:left="1" w:right="2639" w:firstLine="479"/>
        <w:spacing w:after="0" w:line="260" w:lineRule="auto"/>
        <w:tabs>
          <w:tab w:leader="none" w:pos="962"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and agrees with the several Underwriters that the Company will pay or cause to be paid the following: (i) the fees, disbursements and expenses of the Company's counsel and accountants in connection with the registration of the Securities and the Conversion Shares under the Act and all other expenses in connection with the preparation, printing and filing of the Registration Statement, any Preliminary Prospectus and the Prospectus and amendments and supplements thereto and the mailing and delivering of copies thereof to the Underwriters and dealers; (ii) the cost of printing or producing any Agreement among Underwriters, this Agreement, any Pricing Agreement, any Indenture, any Blue Sky and Legal Investment Memoranda, closing documents (including any compilations thereof) and any other documents in connection with the offering, purchase, sale and delivery of the Securities;</w:t>
      </w:r>
    </w:p>
    <w:p>
      <w:pPr>
        <w:spacing w:after="0" w:line="8" w:lineRule="exact"/>
        <w:rPr>
          <w:rFonts w:ascii="Courier New" w:cs="Courier New" w:eastAsia="Courier New" w:hAnsi="Courier New"/>
          <w:sz w:val="15"/>
          <w:szCs w:val="15"/>
          <w:color w:val="auto"/>
        </w:rPr>
      </w:pPr>
    </w:p>
    <w:p>
      <w:pPr>
        <w:ind w:left="1" w:right="2539" w:hanging="1"/>
        <w:spacing w:after="0" w:line="261" w:lineRule="auto"/>
        <w:tabs>
          <w:tab w:leader="none" w:pos="57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expenses in connection with the qualification of the Securities and the Conversion Shares for offering and sale under state securities laws as provided in Section 5(b) hereof, including the reasonable fees and disbursements of counsel for the Underwriters in connection with such qualification and in connection with the Blue Sky and Legal Investment Surveys; (iv) any fees charged by securities rating services for rating the Securities; (v) the cost of preparing the Securities; (vi) the fees and expenses of any Trustee and any agent of any Trustee and the fees and disbursements of counsel for any Trustee in connection with any Indenture and the Securities; and (vii) all other costs and expenses incident to the performance of its obligations hereunder which are not otherwise specifically provided for in this Section. It is understood, however, that, except as provided in this Section, and Sections 8 and 11 hereof, the Underwriters will pay all of their own costs and expenses, including the fees of their counsel, transfer taxes on resale of any of the Securities by them, and any advertising expenses connected with any offers they may make.</w:t>
      </w:r>
    </w:p>
    <w:p>
      <w:pPr>
        <w:spacing w:after="0" w:line="18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9" w:top="671" w:right="1440" w:bottom="1440" w:gutter="0" w:footer="0" w:header="0"/>
        </w:sectPr>
      </w:pPr>
    </w:p>
    <w:bookmarkStart w:id="83" w:name="page84"/>
    <w:bookmarkEnd w:id="83"/>
    <w:p>
      <w:pPr>
        <w:ind w:right="2539" w:firstLine="479"/>
        <w:spacing w:after="0" w:line="244" w:lineRule="auto"/>
        <w:tabs>
          <w:tab w:leader="none" w:pos="961"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in the Pricing Agreement relating to such Designated Securities are, at and as of the Time of Delivery for such Designated Securities, true and correct, the condition that the Company shall have performed all of its obligations hereunder theretofore to be performed, and the following additional conditions:</w:t>
      </w:r>
    </w:p>
    <w:p>
      <w:pPr>
        <w:spacing w:after="0" w:line="189"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Prospectus as amended or supplemented in relation to the applicable Designated Securities shall have been filed with the Commission pursuant to Rule 424(b) within the applicable time period prescribed for such filing by the rules and regulations under the Act and in accordance with Section 5(a) hereof; if the Company has elected to rely upon Rule 462(b), the Rule 462(b) Registration Statement shall have become effective by 10:00 p.m., Washington, D.C. time, on the date of the Pricing Agreement;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191" w:lineRule="exact"/>
        <w:rPr>
          <w:sz w:val="20"/>
          <w:szCs w:val="20"/>
          <w:color w:val="auto"/>
        </w:rPr>
      </w:pPr>
    </w:p>
    <w:p>
      <w:pPr>
        <w:ind w:right="2719" w:firstLine="961"/>
        <w:spacing w:after="0" w:line="244" w:lineRule="auto"/>
        <w:rPr>
          <w:sz w:val="20"/>
          <w:szCs w:val="20"/>
          <w:color w:val="auto"/>
        </w:rPr>
      </w:pPr>
      <w:r>
        <w:rPr>
          <w:rFonts w:ascii="Courier New" w:cs="Courier New" w:eastAsia="Courier New" w:hAnsi="Courier New"/>
          <w:sz w:val="16"/>
          <w:szCs w:val="16"/>
          <w:color w:val="auto"/>
        </w:rPr>
        <w:t>[(b) Counsel for the Underwriters shall have furnished to the Representatives such opinion or opinions dated the Time of Delivery for such Designated Securities, with respect to such matters as the Representatives may reasonably request, and such counsel shall have received such papers and information as they may reasonably request to enable them to pass upon such matters;]</w:t>
      </w:r>
    </w:p>
    <w:p>
      <w:pPr>
        <w:spacing w:after="0" w:line="188" w:lineRule="exact"/>
        <w:rPr>
          <w:sz w:val="20"/>
          <w:szCs w:val="20"/>
          <w:color w:val="auto"/>
        </w:rPr>
      </w:pPr>
    </w:p>
    <w:p>
      <w:pPr>
        <w:ind w:right="2539" w:firstLine="959"/>
        <w:spacing w:after="0" w:line="244" w:lineRule="auto"/>
        <w:tabs>
          <w:tab w:leader="none" w:pos="134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Wilson Sonsini Goodrich &amp; Rosati, Professional Corporation, counsel for the Company, shall have furnished to the Representatives their written opinion, dated each Time of Delivery for such Designated Securities, in form and substance reasonably satisfactory to the Representatives, to the effect that:</w:t>
      </w:r>
    </w:p>
    <w:p>
      <w:pPr>
        <w:spacing w:after="0" w:line="187" w:lineRule="exact"/>
        <w:rPr>
          <w:sz w:val="20"/>
          <w:szCs w:val="20"/>
          <w:color w:val="auto"/>
        </w:rPr>
      </w:pPr>
    </w:p>
    <w:p>
      <w:pPr>
        <w:ind w:right="2539" w:firstLine="959"/>
        <w:spacing w:after="0" w:line="243" w:lineRule="auto"/>
        <w:tabs>
          <w:tab w:leader="none" w:pos="1922"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Pricing Agreement with respect to the Designated Securities have been duly authorized, executed and delivered by the Company;</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922"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Designated Securities are in the form contemplated by the Indenture, have been duly authorized by the Company and, when executed by the Company and authenticated by the Trustee in the manner provided for in the Indenture and delivered against the purchase price therefor specified herein and in the Pricing Agreement, will constitute valid and legally binding obligations of the Company entitled to the benefits provided by the Indenture; and the Designated Securities and the Indenture conform to the descriptions thereof in the Prospectus as amended or supplemented;</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922"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has been duly authorized, executed and delivered by the Company and, assuming due authorization, execution and delivery by the Trustee, and constitutes a valid and legally binding instrument, enforceable against the Company in accordance with its terms; and the Indenture has been duly qualified under the Trust Indenture Act;</w:t>
      </w:r>
    </w:p>
    <w:p>
      <w:pPr>
        <w:spacing w:after="0" w:line="187" w:lineRule="exact"/>
        <w:rPr>
          <w:rFonts w:ascii="Courier New" w:cs="Courier New" w:eastAsia="Courier New" w:hAnsi="Courier New"/>
          <w:sz w:val="16"/>
          <w:szCs w:val="16"/>
          <w:color w:val="auto"/>
        </w:rPr>
      </w:pPr>
    </w:p>
    <w:p>
      <w:pPr>
        <w:ind w:right="2539" w:firstLine="959"/>
        <w:spacing w:after="0" w:line="244" w:lineRule="auto"/>
        <w:tabs>
          <w:tab w:leader="none" w:pos="1922"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no consent, approval, authorization, order, registration or qualification of or with any such court or governmental agency or body is required for the issue and sale of the Designated Securities, the issuance of the Conversion Shares or the performance by the Company of its obligations set forth in this Agreement or such Pricing Agreement or the Indenture, except (x) such as have been obtained under the Act and the Trust Indenture Act, (y) the approval of the listing of the Conversion Shares on the New York Stock Exchange and (z) such consents, approvals, authorizations, orders, registrations or qualifications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84" w:name="page85"/>
    <w:bookmarkEnd w:id="84"/>
    <w:p>
      <w:pPr>
        <w:ind w:right="2639"/>
        <w:spacing w:after="0" w:line="274" w:lineRule="auto"/>
        <w:rPr>
          <w:sz w:val="20"/>
          <w:szCs w:val="20"/>
          <w:color w:val="auto"/>
        </w:rPr>
      </w:pPr>
      <w:r>
        <w:rPr>
          <w:rFonts w:ascii="Courier New" w:cs="Courier New" w:eastAsia="Courier New" w:hAnsi="Courier New"/>
          <w:sz w:val="15"/>
          <w:szCs w:val="15"/>
          <w:color w:val="auto"/>
        </w:rPr>
        <w:t>as may be required under state securities or Blue Sky laws in connection with the purchase and distribution of the Designated Securities by the Underwriters;</w:t>
      </w:r>
    </w:p>
    <w:p>
      <w:pPr>
        <w:spacing w:after="0" w:line="166" w:lineRule="exact"/>
        <w:rPr>
          <w:sz w:val="20"/>
          <w:szCs w:val="20"/>
          <w:color w:val="auto"/>
        </w:rPr>
      </w:pPr>
    </w:p>
    <w:p>
      <w:pPr>
        <w:ind w:right="2539" w:firstLine="959"/>
        <w:spacing w:after="0" w:line="244" w:lineRule="auto"/>
        <w:tabs>
          <w:tab w:leader="none" w:pos="1825"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set forth in the Prospectus under the captions "Description of Securities," "Description of [Notes] [Debentures]" and "Description of Capital Stock," insofar as they purport to constitute a summary of the terms of the Securities and the Common Stock, fairly summarize such terms in all material respects;</w:t>
      </w:r>
    </w:p>
    <w:p>
      <w:pPr>
        <w:spacing w:after="0" w:line="187" w:lineRule="exact"/>
        <w:rPr>
          <w:rFonts w:ascii="Courier New" w:cs="Courier New" w:eastAsia="Courier New" w:hAnsi="Courier New"/>
          <w:sz w:val="16"/>
          <w:szCs w:val="16"/>
          <w:color w:val="auto"/>
        </w:rPr>
      </w:pPr>
    </w:p>
    <w:p>
      <w:pPr>
        <w:ind w:right="2819" w:firstLine="959"/>
        <w:spacing w:after="0" w:line="243" w:lineRule="auto"/>
        <w:tabs>
          <w:tab w:leader="none" w:pos="1825"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the Company is not an "investment company" or an entity "controlled" by an "investment company," as such terms are defined in the Investment Company Act;</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825"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as amended or supplemented (other than the financial statements and related schedules therein, as to which such counsel need express no opinion), when they became effective or were filed with the Commission, as the case may be, complied as to form in all material respects with the requirements of the Act or the Exchange Act, as applicable, and the rules and regulations of the Commission thereunder; and</w:t>
      </w:r>
    </w:p>
    <w:p>
      <w:pPr>
        <w:spacing w:after="0" w:line="188" w:lineRule="exact"/>
        <w:rPr>
          <w:rFonts w:ascii="Courier New" w:cs="Courier New" w:eastAsia="Courier New" w:hAnsi="Courier New"/>
          <w:sz w:val="16"/>
          <w:szCs w:val="16"/>
          <w:color w:val="auto"/>
        </w:rPr>
      </w:pPr>
    </w:p>
    <w:p>
      <w:pPr>
        <w:ind w:right="2639" w:firstLine="959"/>
        <w:spacing w:after="0" w:line="244" w:lineRule="auto"/>
        <w:tabs>
          <w:tab w:leader="none" w:pos="1825"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as amended or supplemented and any further amendments and supplements thereto made by the Company prior to the Time of Delivery for the Designated Securities (other than the financial statements and related schedules therein and financial data derived therefrom, as to which such counsel need express no opinion) comply as to form in all material respects with the requirements of the Act and the Trust Indenture Act and the rules and regulations thereunder;</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Such counsel shall also include a statement to the effect that, although such counsel does not assume any responsibility for the accuracy, completeness or fairness of the statements contained in the Registration Statement or the Prospectus, except for those referred to in the opinion in subsection (v) of this Section 7(c), such counsel has no reason to believe that, as of its effective date, the Registration Statement or any further amendment thereto made by the Company prior to the Time of Delivery (other than the financial statements and related schedules therein and financial data derived therefrom, as to which such counsel need express no belief) contained an untrue statement of a material fact or omitted to state a material fact required to be stated therein or necessary to make the statements therein not misleading or that, as of its date, the Prospectus as amended or supplemented or any further amendment or supplement thereto made by the Company prior to the Time of Delivery (other than the financial statements and related schedules therein and financial data derived therefrom, as to which such counsel need express no belief) contained an untrue statement of a material fact or omitted to state a material fact necessary to make the statements therein, in the light of the circumstances under which they were made, not misleading or that, as of the Time of Delivery, either the Registration Statement or the Prospectus as amended or supplemented or any further amendment or supplement thereto made by the Company prior to the Time of Delivery (other than the financial statements and related schedules therein and financial data derived therefrom, as to which such counsel need express no belief) contains an untrue statement of a material fact or omits to state a material fact necessary to make the statements therein, in the light of the circumstances under which they were made, not misleading;</w:t>
      </w:r>
    </w:p>
    <w:p>
      <w:pPr>
        <w:spacing w:after="0" w:line="19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rendering the opinions set forth herein, such counsel may rely with respect to matters of fact upon certificates of officers of the Company, provided that such counsel shall state that they have no reason to believe both you and they are not justified upon such certificates and a copy of such certificate shall be delivered to you. Such counsel's opinion that any agreement is valid, binding or enforceable in accordance with its terms may be qualified as to: (1) limitations imposed by bankruptcy, insolvency, reorganization, arrangement, fraudulent conveyance, moratorium or other laws relating to or affecting the rights of creditors generally; (2) rights to</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1" w:right="1440" w:bottom="1440" w:gutter="0" w:footer="0" w:header="0"/>
        </w:sectPr>
      </w:pPr>
    </w:p>
    <w:bookmarkStart w:id="85" w:name="page86"/>
    <w:bookmarkEnd w:id="85"/>
    <w:p>
      <w:pPr>
        <w:ind w:right="2539"/>
        <w:spacing w:after="0" w:line="244" w:lineRule="auto"/>
        <w:rPr>
          <w:sz w:val="20"/>
          <w:szCs w:val="20"/>
          <w:color w:val="auto"/>
        </w:rPr>
      </w:pPr>
      <w:r>
        <w:rPr>
          <w:rFonts w:ascii="Courier New" w:cs="Courier New" w:eastAsia="Courier New" w:hAnsi="Courier New"/>
          <w:sz w:val="16"/>
          <w:szCs w:val="16"/>
          <w:color w:val="auto"/>
        </w:rPr>
        <w:t>indemnification and contribution which may be limited by applicable law or equitable principles; and (3) general principles of equity, including without limitation concepts of materiality, reasonableness, good faith and fair dealing, and the possible unavailability of specific performance or injunctive relief, regardless of whether such validity and binding effect are considered in a proceeding in equity or at law.</w:t>
      </w:r>
    </w:p>
    <w:p>
      <w:pPr>
        <w:spacing w:after="0" w:line="188" w:lineRule="exact"/>
        <w:rPr>
          <w:sz w:val="20"/>
          <w:szCs w:val="20"/>
          <w:color w:val="auto"/>
        </w:rPr>
      </w:pPr>
    </w:p>
    <w:p>
      <w:pPr>
        <w:ind w:right="2639" w:firstLine="959"/>
        <w:spacing w:after="0" w:line="243" w:lineRule="auto"/>
        <w:tabs>
          <w:tab w:leader="none" w:pos="1345"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Roderic W. Lewis, the Company's General Counsel, shall have furnished to you his written opinion, dated each Time of Delivery for such Designated Securities, in form and substance reasonably satisfactory to you, to the effect that:</w:t>
      </w:r>
    </w:p>
    <w:p>
      <w:pPr>
        <w:spacing w:after="0" w:line="190" w:lineRule="exact"/>
        <w:rPr>
          <w:sz w:val="20"/>
          <w:szCs w:val="20"/>
          <w:color w:val="auto"/>
        </w:rPr>
      </w:pPr>
    </w:p>
    <w:p>
      <w:pPr>
        <w:ind w:right="2819" w:firstLine="959"/>
        <w:spacing w:after="0" w:line="244" w:lineRule="auto"/>
        <w:tabs>
          <w:tab w:leader="none" w:pos="1729"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validly existing as a corporation in good standing under the laws of the State of Delaware with power and authority (corporate and other) to own its properties and conduct its business as described in the Prospectus as amended or supplemented;</w:t>
      </w:r>
    </w:p>
    <w:p>
      <w:pPr>
        <w:spacing w:after="0" w:line="187" w:lineRule="exact"/>
        <w:rPr>
          <w:rFonts w:ascii="Courier New" w:cs="Courier New" w:eastAsia="Courier New" w:hAnsi="Courier New"/>
          <w:sz w:val="16"/>
          <w:szCs w:val="16"/>
          <w:color w:val="auto"/>
        </w:rPr>
      </w:pPr>
    </w:p>
    <w:p>
      <w:pPr>
        <w:ind w:right="2539" w:firstLine="959"/>
        <w:spacing w:after="0" w:line="244" w:lineRule="auto"/>
        <w:tabs>
          <w:tab w:leader="none" w:pos="1729"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an authorized capitalization as set forth in the Prospectus as amended or supplemented, and all of the issued shares of capital stock of the Company have been duly and validly authorized and issued and are fully paid and non-assessable; the Conversion Shares have been validly reserved for issuance; the Conversion Shares have been validly authorized and, when issued and delivered in accordance with the provisions of the Designated Securities and the Indenture, will be duly and validly issued and fully paid and non-assessable;</w:t>
      </w:r>
    </w:p>
    <w:p>
      <w:pPr>
        <w:spacing w:after="0" w:line="188" w:lineRule="exact"/>
        <w:rPr>
          <w:rFonts w:ascii="Courier New" w:cs="Courier New" w:eastAsia="Courier New" w:hAnsi="Courier New"/>
          <w:sz w:val="16"/>
          <w:szCs w:val="16"/>
          <w:color w:val="auto"/>
        </w:rPr>
      </w:pPr>
    </w:p>
    <w:p>
      <w:pPr>
        <w:ind w:right="2639" w:firstLine="959"/>
        <w:spacing w:after="0" w:line="244" w:lineRule="auto"/>
        <w:tabs>
          <w:tab w:leader="none" w:pos="1729"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and 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have a material adverse effect on the current consolidated financial position, shareholders' equity or results of operations of the Company and its subsidiaries, taken as a whole;</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729"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 and sale of the Designated Securities, the issuance of the Conversion Shares and the performance by the Company of its obligations pursuant to the Designated Securities, the Indenture, this Agreement and the Pricing Agreement with respect to the Designated Securities will not result in a breach or violation of any of the terms or provisions of, or constitute a default under, any indenture, mortgage, deed of trust, loan agreement or other agreement or instrument filed as an exhibit to the Registration Statement or to the Company's most recent Annual Report on Form 10-K, nor will such actions result in any violation of the provisions of the Certificate of Incorporation or By-laws of the Company or, to such counsel's knowledge, any statute, order, rule or regulation of any court or governmental agency or body having jurisdiction over the Company or any of its properties; and</w:t>
      </w:r>
    </w:p>
    <w:p>
      <w:pPr>
        <w:spacing w:after="0" w:line="188" w:lineRule="exact"/>
        <w:rPr>
          <w:rFonts w:ascii="Courier New" w:cs="Courier New" w:eastAsia="Courier New" w:hAnsi="Courier New"/>
          <w:sz w:val="16"/>
          <w:szCs w:val="16"/>
          <w:color w:val="auto"/>
        </w:rPr>
      </w:pPr>
    </w:p>
    <w:p>
      <w:pPr>
        <w:ind w:left="1720" w:hanging="761"/>
        <w:spacing w:after="0"/>
        <w:tabs>
          <w:tab w:leader="none" w:pos="17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does not know of any contracts or other</w:t>
      </w:r>
    </w:p>
    <w:p>
      <w:pPr>
        <w:spacing w:after="0" w:line="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documents of a character required to be filed as an exhibit to the Registration Statement or required to be incorporated by reference into the Prospectus as amended or supplemented or required to be described in the Registration Statement or the Prospectus as amended or supplemented which are not filed or incorporated by reference or described as required.</w:t>
      </w:r>
    </w:p>
    <w:p>
      <w:pPr>
        <w:spacing w:after="0" w:line="187" w:lineRule="exact"/>
        <w:rPr>
          <w:sz w:val="20"/>
          <w:szCs w:val="20"/>
          <w:color w:val="auto"/>
        </w:rPr>
      </w:pPr>
    </w:p>
    <w:p>
      <w:pPr>
        <w:ind w:right="2719" w:firstLine="959"/>
        <w:spacing w:after="0" w:line="244" w:lineRule="auto"/>
        <w:tabs>
          <w:tab w:leader="none" w:pos="1729"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the Pricing Agreement for such Designated Securities at a time prior to the execution of the Pricing Agreement with respect to such Designated Securities and at the Time of Delivery for such Designated Securities, the independent accountants of the Company who have certified the financial state ments of the Company and its subsidiaries included or incorporated by reference in the Registration Statement shall have furnished to the Representatives a letter, dated the effective date of the Registration Statement or the date of the most recent report filed with the Commission containing financial statements and incorporated by</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86" w:name="page87"/>
    <w:bookmarkEnd w:id="86"/>
    <w:p>
      <w:pPr>
        <w:ind w:right="2539"/>
        <w:spacing w:after="0" w:line="244" w:lineRule="auto"/>
        <w:rPr>
          <w:sz w:val="20"/>
          <w:szCs w:val="20"/>
          <w:color w:val="auto"/>
        </w:rPr>
      </w:pPr>
      <w:r>
        <w:rPr>
          <w:rFonts w:ascii="Courier New" w:cs="Courier New" w:eastAsia="Courier New" w:hAnsi="Courier New"/>
          <w:sz w:val="16"/>
          <w:szCs w:val="16"/>
          <w:color w:val="auto"/>
        </w:rPr>
        <w:t>reference in the Registration Statement, if the date of such report is later than such effective date, and a letter dated such Time of Delivery, respectively, to the effect set forth in Annex I hereto, and with respect to such letter dated such Time of Delivery, as to such other matters as the Representatives may reasonably request and in form and substance satisfactory to the Representatives (the executed copy of the letter delivered prior to the execution of the Pricing Agreement is attached as Annex I(a) hereto and a draft of the form of letter to be delivered on the effective date of any post-effective amendment to the Registration Statement and as of each Time of Delivery is attached as Annex I(b) hereto);</w:t>
      </w:r>
    </w:p>
    <w:p>
      <w:pPr>
        <w:spacing w:after="0" w:line="190" w:lineRule="exact"/>
        <w:rPr>
          <w:sz w:val="20"/>
          <w:szCs w:val="20"/>
          <w:color w:val="auto"/>
        </w:rPr>
      </w:pPr>
    </w:p>
    <w:p>
      <w:pPr>
        <w:ind w:right="2539" w:firstLine="959"/>
        <w:spacing w:after="0" w:line="261" w:lineRule="auto"/>
        <w:tabs>
          <w:tab w:leader="none" w:pos="163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Neither the Company nor any of its subsidiaries shall have sustained since the date of the latest audited financial statements included or incorporated by reference in the Prospectus as amended prior to the date of the Pricing Agreement relating to the Designated Securities any loss or interference with its business from fire, explosion, flood or other calamity, whether or not covered by insurance, or from any labor dispute or court or governmental action, order or decree, otherwise than as set forth or contemplated in the Prospectus as amended prior to the date of the Pricing Agreement relating to the Designated Securities, and (ii) since the respective dates as of which information is given in the Prospectus as amended prior to the date of the Pricing Agreement relating to the Designated Securities there shall not have been any material change in the capital stock or long-term debt of the Company or any of its subsidiaries or any change, in the general affairs, management, financial position, shareholders' equity or results of operations of the Company and its subsidiaries, otherwise than as set forth or contemplated in the Prospectus as amended prior to the date of the Pricing Agreement relating to the Designated Securities, the effect of which, in any such case described in Clause (i) or (ii), is in the reasonable judgment of the Representatives so material and adverse as to make it impracticable or inadvisable to proceed with the public offering or the delivery of the Designated Securities on the terms and in the manner contemplated in the Prospectus as first amended or supplemented relating to the Designated Securities;</w:t>
      </w:r>
    </w:p>
    <w:p>
      <w:pPr>
        <w:spacing w:after="0" w:line="369" w:lineRule="exact"/>
        <w:rPr>
          <w:rFonts w:ascii="Courier New" w:cs="Courier New" w:eastAsia="Courier New" w:hAnsi="Courier New"/>
          <w:sz w:val="15"/>
          <w:szCs w:val="15"/>
          <w:color w:val="auto"/>
        </w:rPr>
      </w:pPr>
    </w:p>
    <w:p>
      <w:pPr>
        <w:ind w:right="2639" w:firstLine="959"/>
        <w:spacing w:after="0" w:line="244" w:lineRule="auto"/>
        <w:tabs>
          <w:tab w:leader="none" w:pos="1345"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date of the Pricing Agreement relating to the Designated Securities (i) no downgrading shall have occurred in the rating accorded the Company's debt securities or preferred stock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stock;</w:t>
      </w:r>
    </w:p>
    <w:p>
      <w:pPr>
        <w:spacing w:after="0" w:line="188"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date of the Pricing Agreement relating to the Designated Securities there shall not have occurred any of the following: (i) a suspension or material limitation in trading in securities generally on the New York Stock Exchange or on the Nasdaq National Market ("Nasdaq"); (ii) a suspension or material limitation in trading in the Company's securities on the Nasdaq; (iii) a general moratorium on commercial banking activities declared by either Federal or New York state authorities; or (iv) the outbreak or escalation of hostilities involving the United States or the declaration by the United States of a national emergency or war, if the effect of any such event specified in this Clause (iv) in the reasonable judgment of the Representatives makes it impracticable or inadvisable to proceed with the public offering or the delivery of the Designated Securities on the terms and in the manner contemplated in the Prospectus as first amended or supplemented relating to the Designated Securities;</w:t>
      </w:r>
    </w:p>
    <w:p>
      <w:pPr>
        <w:spacing w:after="0" w:line="191"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furnished or caused to be furnished to the Representatives at the Time of Delivery for the Designated Securities a certificate or certificates of officers of the Company satisfactory to the Representatives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the Representatives may reasonably request;</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1" w:right="1440" w:bottom="1440" w:gutter="0" w:footer="0" w:header="0"/>
        </w:sectPr>
      </w:pPr>
    </w:p>
    <w:bookmarkStart w:id="87" w:name="page88"/>
    <w:bookmarkEnd w:id="87"/>
    <w:p>
      <w:pPr>
        <w:ind w:right="2819" w:firstLine="959"/>
        <w:spacing w:after="0" w:line="243" w:lineRule="auto"/>
        <w:tabs>
          <w:tab w:leader="none" w:pos="144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complied with the provisions of Section 5(c) hereof with respect to the furnishing of prospectuses on the New York Business Day next succeeding the date of the Pricing Agreement; and</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[(k) The Company shall have obtained and delivered to the Underwriters executed copies of an agreement from each [officer and] director of the Company substantially to the effect set forth in Section 5(e) hereof with respect to securities beneficially owned by such individuals in form and substance reasonably satisfactory to the Representatives.]</w:t>
      </w:r>
    </w:p>
    <w:p>
      <w:pPr>
        <w:spacing w:after="0" w:line="187" w:lineRule="exact"/>
        <w:rPr>
          <w:sz w:val="20"/>
          <w:szCs w:val="20"/>
          <w:color w:val="auto"/>
        </w:rPr>
      </w:pPr>
    </w:p>
    <w:p>
      <w:pPr>
        <w:ind w:right="2539" w:firstLine="479"/>
        <w:spacing w:after="0" w:line="244" w:lineRule="auto"/>
        <w:tabs>
          <w:tab w:leader="none" w:pos="96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any Underwriter of Designated Securities through the Representatives expressly for use in the Prospectus as amended or supplemented relating to such Securities; and provided further that, with respect to any untrue statement or omission or alleged untrue statement or omission made in any Preliminary Prospectus, any preliminary prospectus supplement or the Registration Statement, the indemnity agreement contained in this subsection (a) shall not inure to the benefit of any Underwriter from whom the person asserting any such loss, claim, damage or liability purchased Designated Securities (or to the benefit of any such person controlling such Underwriter) to the extent that any such loss, claim, damage, liability or expense of such Underwriter or controlling person results from the fact that a copy of an amended or supplemented Prospectus was not sent or given to such person at or prior to the written confirmation of the sale of such Designated Securities to such person as required by the Act, and if the untrue statement or omission concerned has been corrected in the Prospectus as so amended or supplemented, unless such failures is the result of noncompliance by the Company with Section 5(c) hereof.</w:t>
      </w:r>
    </w:p>
    <w:p>
      <w:pPr>
        <w:spacing w:after="0" w:line="203"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Securities, or any such amendment or supplement in reliance upon and in conformity with written information furnished to the Company by such Underwriter through the Representatives</w:t>
      </w:r>
    </w:p>
    <w:p>
      <w:pPr>
        <w:spacing w:after="0" w:line="19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1" w:right="1440" w:bottom="1440" w:gutter="0" w:footer="0" w:header="0"/>
        </w:sectPr>
      </w:pPr>
    </w:p>
    <w:bookmarkStart w:id="88" w:name="page89"/>
    <w:bookmarkEnd w:id="88"/>
    <w:p>
      <w:pPr>
        <w:jc w:val="both"/>
        <w:ind w:left="1" w:right="2539"/>
        <w:spacing w:after="0" w:line="267" w:lineRule="auto"/>
        <w:rPr>
          <w:sz w:val="20"/>
          <w:szCs w:val="20"/>
          <w:color w:val="auto"/>
        </w:rPr>
      </w:pPr>
      <w:r>
        <w:rPr>
          <w:rFonts w:ascii="Courier New" w:cs="Courier New" w:eastAsia="Courier New" w:hAnsi="Courier New"/>
          <w:sz w:val="15"/>
          <w:szCs w:val="15"/>
          <w:color w:val="auto"/>
        </w:rPr>
        <w:t>expressly for use therein; and will reimburse the Company for any legal or other expenses reasonably incurred by the Company in connection with investigating or defending any such action or claim as such expenses are incurred.</w:t>
      </w:r>
    </w:p>
    <w:p>
      <w:pPr>
        <w:spacing w:after="0" w:line="170" w:lineRule="exact"/>
        <w:rPr>
          <w:sz w:val="20"/>
          <w:szCs w:val="20"/>
          <w:color w:val="auto"/>
        </w:rPr>
      </w:pPr>
    </w:p>
    <w:p>
      <w:pPr>
        <w:ind w:left="1341" w:hanging="381"/>
        <w:spacing w:after="0"/>
        <w:tabs>
          <w:tab w:leader="none" w:pos="1341"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subsection</w:t>
      </w:r>
    </w:p>
    <w:p>
      <w:pPr>
        <w:spacing w:after="0" w:line="5" w:lineRule="exact"/>
        <w:rPr>
          <w:rFonts w:ascii="Courier New" w:cs="Courier New" w:eastAsia="Courier New" w:hAnsi="Courier New"/>
          <w:sz w:val="16"/>
          <w:szCs w:val="16"/>
          <w:color w:val="auto"/>
        </w:rPr>
      </w:pPr>
    </w:p>
    <w:p>
      <w:pPr>
        <w:ind w:left="1" w:right="2539" w:hanging="1"/>
        <w:spacing w:after="0" w:line="244" w:lineRule="auto"/>
        <w:tabs>
          <w:tab w:leader="none" w:pos="386"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includes an unconditional release of the indemnified party from all liability arising out of such action or claim.</w:t>
      </w:r>
    </w:p>
    <w:p>
      <w:pPr>
        <w:spacing w:after="0" w:line="196" w:lineRule="exact"/>
        <w:rPr>
          <w:rFonts w:ascii="Courier New" w:cs="Courier New" w:eastAsia="Courier New" w:hAnsi="Courier New"/>
          <w:sz w:val="16"/>
          <w:szCs w:val="16"/>
          <w:color w:val="auto"/>
        </w:rPr>
      </w:pPr>
    </w:p>
    <w:p>
      <w:pPr>
        <w:ind w:left="1" w:right="2539" w:firstLine="959"/>
        <w:spacing w:after="0" w:line="244" w:lineRule="auto"/>
        <w:tabs>
          <w:tab w:leader="none" w:pos="1346"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w:t>
      </w:r>
    </w:p>
    <w:p>
      <w:pPr>
        <w:spacing w:after="0" w:line="202"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671" w:right="1440" w:bottom="1440" w:gutter="0" w:footer="0" w:header="0"/>
        </w:sectPr>
      </w:pPr>
    </w:p>
    <w:bookmarkStart w:id="89" w:name="page90"/>
    <w:bookmarkEnd w:id="89"/>
    <w:p>
      <w:pPr>
        <w:ind w:right="2539"/>
        <w:spacing w:after="0" w:line="244" w:lineRule="auto"/>
        <w:rPr>
          <w:sz w:val="20"/>
          <w:szCs w:val="20"/>
          <w:color w:val="auto"/>
        </w:rPr>
      </w:pPr>
      <w:r>
        <w:rPr>
          <w:rFonts w:ascii="Courier New" w:cs="Courier New" w:eastAsia="Courier New" w:hAnsi="Courier New"/>
          <w:sz w:val="16"/>
          <w:szCs w:val="16"/>
          <w:color w:val="auto"/>
        </w:rPr>
        <w:t>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91" w:lineRule="exact"/>
        <w:rPr>
          <w:sz w:val="20"/>
          <w:szCs w:val="20"/>
          <w:color w:val="auto"/>
        </w:rPr>
      </w:pPr>
    </w:p>
    <w:p>
      <w:pPr>
        <w:ind w:right="2539" w:firstLine="959"/>
        <w:spacing w:after="0" w:line="262" w:lineRule="auto"/>
        <w:tabs>
          <w:tab w:leader="none" w:pos="1345"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Company pursuant to this Section 8 shall be in addition to any liability which the Company may otherwise have and shall extend, upon the same terms and conditions, to each person, if any, who controls any Underwriter within the meaning of the Act; and the obligations of the Underwriters pursuant to this Section 8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178" w:lineRule="exact"/>
        <w:rPr>
          <w:rFonts w:ascii="Courier New" w:cs="Courier New" w:eastAsia="Courier New" w:hAnsi="Courier New"/>
          <w:sz w:val="15"/>
          <w:szCs w:val="15"/>
          <w:color w:val="auto"/>
        </w:rPr>
      </w:pPr>
    </w:p>
    <w:p>
      <w:pPr>
        <w:ind w:right="2539" w:firstLine="479"/>
        <w:spacing w:after="0" w:line="244" w:lineRule="auto"/>
        <w:tabs>
          <w:tab w:leader="none" w:pos="961"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If any Underwriter shall default in its obligation to purchase the Designated Securities which it has agreed to purchase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 ments or supplements to the Registration Statement or the Prospectus which in the reasonable opinion of the Company and the Representatives may thereby be made necessary. The term "Underwriter" as used in this Agreement shall include any person substituted under this Section with like effect as if such person had originally been a party to the Pricing Agreement with respect to such Designated Securities.</w:t>
      </w:r>
    </w:p>
    <w:p>
      <w:pPr>
        <w:spacing w:after="0" w:line="196"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one-eleventh of the aggregate principal amount of the Designated Securities, then the Company shall have the right to require each non-defaulting Underwriter to purchase the principal amount of Designated Securities which such Underwriter agreed to purchase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1" w:right="1440" w:bottom="1440" w:gutter="0" w:footer="0" w:header="0"/>
        </w:sectPr>
      </w:pPr>
    </w:p>
    <w:bookmarkStart w:id="90" w:name="page91"/>
    <w:bookmarkEnd w:id="90"/>
    <w:p>
      <w:pPr>
        <w:ind w:right="2639" w:firstLine="959"/>
        <w:spacing w:after="0" w:line="244" w:lineRule="auto"/>
        <w:tabs>
          <w:tab w:leader="none" w:pos="1345"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one-eleventh of the aggregate principal amount of the Designated Securities, as referred to in subsection (b) above, or if the Company shall not exercise the right described in subsection (b) above to require non-defaulting Underwriters to purchase Designated Securities of a defaulting Underwriter or Underwriters, then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91"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Securities.</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Pricing Agreement shall be terminated pursuant to Section 9 hereof, or if the Underwriters do not purchase Designated Securities under the Pricing Agreement relating to such Designated Securities because the condition set forth in Section 7(b) or 7(f) hereof shall not have been satisfied, the Company shall not then be under any liability to any Underwriter with respect to the Designated Securities covered by such Pricing Agreement except as provided in Section 8 hereof; but, if for any other reason Designated Securities are not delivered by or on behalf of the Company as provided herein,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such Designated Securities, but the Company shall then be under no further liability to any Underwriter with respect to such Designated Securities except as provided in Sections 6 and 8 hereof.</w:t>
      </w:r>
    </w:p>
    <w:p>
      <w:pPr>
        <w:spacing w:after="0" w:line="192" w:lineRule="exact"/>
        <w:rPr>
          <w:rFonts w:ascii="Courier New" w:cs="Courier New" w:eastAsia="Courier New" w:hAnsi="Courier New"/>
          <w:sz w:val="16"/>
          <w:szCs w:val="16"/>
          <w:color w:val="auto"/>
        </w:rPr>
      </w:pPr>
    </w:p>
    <w:p>
      <w:pPr>
        <w:ind w:right="2639" w:firstLine="479"/>
        <w:spacing w:after="0" w:line="244" w:lineRule="auto"/>
        <w:tabs>
          <w:tab w:leader="none" w:pos="96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88"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All statements, requests, notices and agreements hereunder shall be in writing, and if to the Underwriters shall be delivered or sent by mail, telex or facsimile transmission to the address of the Representatives as set forth in the Pricing Agreement; and if to the Company shall be delivered or sent by mail, telex or facsimile transmission to the address of the Company set forth in the Registration Statement: Attention: Secretary; provided, however, that any notice to an Underwriter pursuant to Section 8(c) hereof shall be delivered or sent by mail, telex or facsimile transmission to such Underwriter at its address set forth in its Underwriters' Questionnaire, or telex constituting such Questionnaire, which address will be supplied to the Company by the Representatives upon request. Any such statements, requests, notices or agreements shall take effect upon receipt thereof.</w:t>
      </w:r>
    </w:p>
    <w:p>
      <w:pPr>
        <w:spacing w:after="0" w:line="191" w:lineRule="exact"/>
        <w:rPr>
          <w:sz w:val="20"/>
          <w:szCs w:val="20"/>
          <w:color w:val="auto"/>
        </w:rPr>
      </w:pPr>
    </w:p>
    <w:p>
      <w:pPr>
        <w:ind w:right="2539" w:firstLine="479"/>
        <w:spacing w:after="0" w:line="244" w:lineRule="auto"/>
        <w:tabs>
          <w:tab w:leader="none" w:pos="961"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Pricing Agreement shall be binding upon, and inure solely to the benefit of, the Underwriters, the Company and, to the extent provided in Sections 8 and 10 hereof, the officers and directors of the Company and each person who controls the Company or any Underwriter, and their respective heirs, executors, administrators, successors and assigns, and no other person shall acquire or have any</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1" w:right="1440" w:bottom="1440" w:gutter="0" w:footer="0" w:header="0"/>
        </w:sectPr>
      </w:pPr>
    </w:p>
    <w:bookmarkStart w:id="91" w:name="page92"/>
    <w:bookmarkEnd w:id="91"/>
    <w:p>
      <w:pPr>
        <w:ind w:right="2919"/>
        <w:spacing w:after="0" w:line="243" w:lineRule="auto"/>
        <w:rPr>
          <w:sz w:val="20"/>
          <w:szCs w:val="20"/>
          <w:color w:val="auto"/>
        </w:rPr>
      </w:pPr>
      <w:r>
        <w:rPr>
          <w:rFonts w:ascii="Courier New" w:cs="Courier New" w:eastAsia="Courier New" w:hAnsi="Courier New"/>
          <w:sz w:val="16"/>
          <w:szCs w:val="16"/>
          <w:color w:val="auto"/>
        </w:rPr>
        <w:t>right under or by virtue of this Agreement or any such Pricing Agreement. No purchaser of any of the Securities from any Underwriter shall be deemed a successor or assign by reason merely of such purchase.</w:t>
      </w:r>
    </w:p>
    <w:p>
      <w:pPr>
        <w:spacing w:after="0" w:line="189" w:lineRule="exact"/>
        <w:rPr>
          <w:sz w:val="20"/>
          <w:szCs w:val="20"/>
          <w:color w:val="auto"/>
        </w:rPr>
      </w:pPr>
    </w:p>
    <w:p>
      <w:pPr>
        <w:jc w:val="both"/>
        <w:ind w:right="3199" w:firstLine="479"/>
        <w:spacing w:after="0" w:line="243" w:lineRule="auto"/>
        <w:tabs>
          <w:tab w:leader="none" w:pos="96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shall be of the essence of each Pricing Agreement. As used herein, "business day" shall mean any day when the Commission's office in Washington, D.C. is open for business.</w:t>
      </w:r>
    </w:p>
    <w:p>
      <w:pPr>
        <w:spacing w:after="0" w:line="188" w:lineRule="exact"/>
        <w:rPr>
          <w:rFonts w:ascii="Courier New" w:cs="Courier New" w:eastAsia="Courier New" w:hAnsi="Courier New"/>
          <w:sz w:val="16"/>
          <w:szCs w:val="16"/>
          <w:color w:val="auto"/>
        </w:rPr>
      </w:pPr>
    </w:p>
    <w:p>
      <w:pPr>
        <w:ind w:right="2919" w:firstLine="479"/>
        <w:spacing w:after="0" w:line="242" w:lineRule="auto"/>
        <w:tabs>
          <w:tab w:leader="none" w:pos="96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PRICING AGREEMENT SHALL BE GOVERNED BY AND CONSTRUED IN ACCORDANCE WITH THE LAWS OF THE STATE OF [NEW YORK].</w:t>
      </w:r>
    </w:p>
    <w:p>
      <w:pPr>
        <w:spacing w:after="0" w:line="188" w:lineRule="exact"/>
        <w:rPr>
          <w:rFonts w:ascii="Courier New" w:cs="Courier New" w:eastAsia="Courier New" w:hAnsi="Courier New"/>
          <w:sz w:val="16"/>
          <w:szCs w:val="16"/>
          <w:color w:val="auto"/>
        </w:rPr>
      </w:pPr>
    </w:p>
    <w:p>
      <w:pPr>
        <w:ind w:right="2539" w:firstLine="479"/>
        <w:spacing w:after="0" w:line="243" w:lineRule="auto"/>
        <w:tabs>
          <w:tab w:leader="none" w:pos="96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1" w:right="1440" w:bottom="1440" w:gutter="0" w:footer="0" w:header="0"/>
        </w:sectPr>
      </w:pPr>
    </w:p>
    <w:bookmarkStart w:id="92" w:name="page93"/>
    <w:bookmarkEnd w:id="92"/>
    <w:p>
      <w:pPr>
        <w:ind w:right="2639" w:firstLine="480"/>
        <w:spacing w:after="0" w:line="242" w:lineRule="auto"/>
        <w:rPr>
          <w:sz w:val="20"/>
          <w:szCs w:val="20"/>
          <w:color w:val="auto"/>
        </w:rPr>
      </w:pPr>
      <w:r>
        <w:rPr>
          <w:rFonts w:ascii="Courier New" w:cs="Courier New" w:eastAsia="Courier New" w:hAnsi="Courier New"/>
          <w:sz w:val="16"/>
          <w:szCs w:val="16"/>
          <w:color w:val="auto"/>
        </w:rPr>
        <w:t>If the foregoing is in accordance with your understanding, please sign and return to us seven (7) counterparts hereof.</w:t>
      </w:r>
    </w:p>
    <w:p>
      <w:pPr>
        <w:spacing w:after="0" w:line="200" w:lineRule="exact"/>
        <w:rPr>
          <w:sz w:val="20"/>
          <w:szCs w:val="20"/>
          <w:color w:val="auto"/>
        </w:rPr>
      </w:pPr>
    </w:p>
    <w:p>
      <w:pPr>
        <w:spacing w:after="0" w:line="35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MICRON TECHNOLOGY, INC.</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By:_________________________</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Name:_______________________</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Title:______________________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as of the date hereof: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of Representative(s)]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Title:___________________________</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1" w:right="1440" w:bottom="1440" w:gutter="0" w:footer="0" w:header="0"/>
        </w:sectPr>
      </w:pPr>
    </w:p>
    <w:bookmarkStart w:id="93" w:name="page94"/>
    <w:bookmarkEnd w:id="93"/>
    <w:p>
      <w:pPr>
        <w:jc w:val="center"/>
        <w:ind w:right="2639"/>
        <w:spacing w:after="0"/>
        <w:rPr>
          <w:sz w:val="20"/>
          <w:szCs w:val="20"/>
          <w:color w:val="auto"/>
        </w:rPr>
      </w:pPr>
      <w:r>
        <w:rPr>
          <w:rFonts w:ascii="Courier New" w:cs="Courier New" w:eastAsia="Courier New" w:hAnsi="Courier New"/>
          <w:sz w:val="16"/>
          <w:szCs w:val="16"/>
          <w:color w:val="auto"/>
        </w:rPr>
        <w:t>ANNEX I</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PRICING AGREEMENT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of Representative(s)]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Representatives of the several Underwriters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named in Schedule I hereto,</w:t>
      </w:r>
    </w:p>
    <w:p>
      <w:pPr>
        <w:spacing w:after="0" w:line="37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____________, 199__</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639" w:firstLine="480"/>
        <w:spacing w:after="0" w:line="260" w:lineRule="auto"/>
        <w:rPr>
          <w:sz w:val="20"/>
          <w:szCs w:val="20"/>
          <w:color w:val="auto"/>
        </w:rPr>
      </w:pPr>
      <w:r>
        <w:rPr>
          <w:rFonts w:ascii="Courier New" w:cs="Courier New" w:eastAsia="Courier New" w:hAnsi="Courier New"/>
          <w:sz w:val="15"/>
          <w:szCs w:val="15"/>
          <w:color w:val="auto"/>
        </w:rPr>
        <w:t>Micron Technology, Inc., a Delaware corporation (the "Company"), proposes, subject to the terms and conditions stated herein and in the Underwriting Agreement, dated _____________, 199__, (the "Underwriting Agreement"), between</w:t>
      </w:r>
    </w:p>
    <w:p>
      <w:pPr>
        <w:spacing w:after="0" w:line="2"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 on the one hand and (names of Representatives named therein) on the other hand, to issue and sell to the Underwriters named in Schedule I hereto (the "Underwriters") the Securities specified in Schedule II hereto (the "Designated Securities").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Representatives and on behalf of each of the Underwriters of the Designated Securities pursuant to Section 12 of the Underwriting Agreement and the address of the Representatives referred to in such Section 12 are set forth at the end of Schedule II hereto.</w:t>
      </w:r>
    </w:p>
    <w:p>
      <w:pPr>
        <w:spacing w:after="0" w:line="196"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and place and at the purchase price to the Underwriters set forth in Schedule II hereto, the principal amount of Designated Securities set forth opposite the name of such Underwriter in Schedule I hereto.</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the foregoing is in accordance with your understanding, please sign and return to us seven (7)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w:t>
      </w:r>
    </w:p>
    <w:p>
      <w:pPr>
        <w:sectPr>
          <w:pgSz w:w="11900" w:h="16838" w:orient="portrait"/>
          <w:cols w:equalWidth="0" w:num="1">
            <w:col w:w="10219"/>
          </w:cols>
          <w:pgMar w:left="240" w:top="669" w:right="1440" w:bottom="1440" w:gutter="0" w:footer="0" w:header="0"/>
        </w:sectPr>
      </w:pPr>
    </w:p>
    <w:bookmarkStart w:id="94" w:name="page95"/>
    <w:bookmarkEnd w:id="94"/>
    <w:p>
      <w:pPr>
        <w:ind w:right="3979"/>
        <w:spacing w:after="0" w:line="242" w:lineRule="auto"/>
        <w:rPr>
          <w:sz w:val="20"/>
          <w:szCs w:val="20"/>
          <w:color w:val="auto"/>
        </w:rPr>
      </w:pPr>
      <w:r>
        <w:rPr>
          <w:rFonts w:ascii="Courier New" w:cs="Courier New" w:eastAsia="Courier New" w:hAnsi="Courier New"/>
          <w:sz w:val="16"/>
          <w:szCs w:val="16"/>
          <w:color w:val="auto"/>
        </w:rPr>
        <w:t>examination upon request, but without warranty on the part of the Representatives as to the authority of the signers thereof.</w:t>
      </w: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MICRON TECHNOLOGY, INC.</w:t>
      </w:r>
    </w:p>
    <w:p>
      <w:pPr>
        <w:spacing w:after="0" w:line="190" w:lineRule="exact"/>
        <w:rPr>
          <w:sz w:val="20"/>
          <w:szCs w:val="20"/>
          <w:color w:val="auto"/>
        </w:rPr>
      </w:pPr>
    </w:p>
    <w:p>
      <w:pPr>
        <w:ind w:left="3460"/>
        <w:spacing w:after="0"/>
        <w:tabs>
          <w:tab w:leader="none" w:pos="3920" w:val="left"/>
        </w:tabs>
        <w:rPr>
          <w:sz w:val="20"/>
          <w:szCs w:val="20"/>
          <w:color w:val="auto"/>
        </w:rPr>
      </w:pPr>
      <w:r>
        <w:rPr>
          <w:rFonts w:ascii="Courier New" w:cs="Courier New" w:eastAsia="Courier New" w:hAnsi="Courier New"/>
          <w:sz w:val="15"/>
          <w:szCs w:val="15"/>
          <w:color w:val="auto"/>
        </w:rPr>
        <w:t>By:</w:t>
        <w:tab/>
        <w:t>_________________________________</w:t>
      </w:r>
    </w:p>
    <w:p>
      <w:pPr>
        <w:spacing w:after="0" w:line="20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Name:_________________________________</w:t>
      </w:r>
    </w:p>
    <w:p>
      <w:pPr>
        <w:spacing w:after="0" w:line="20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Title:________________________________</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as of the date hereof:</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of Representative(s)]</w:t>
      </w:r>
    </w:p>
    <w:p>
      <w:pPr>
        <w:spacing w:after="0" w:line="188"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By:</w:t>
        <w:tab/>
        <w:t>_____________________________</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Name:_____________________________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Title:____________________________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behalf of each of the Underwriters</w:t>
      </w:r>
    </w:p>
    <w:p>
      <w:pPr>
        <w:sectPr>
          <w:pgSz w:w="11900" w:h="16838" w:orient="portrait"/>
          <w:cols w:equalWidth="0" w:num="1">
            <w:col w:w="10219"/>
          </w:cols>
          <w:pgMar w:left="240" w:top="671" w:right="1440" w:bottom="1440" w:gutter="0" w:footer="0" w:header="0"/>
        </w:sectPr>
      </w:pPr>
    </w:p>
    <w:bookmarkStart w:id="95" w:name="page96"/>
    <w:bookmarkEnd w:id="95"/>
    <w:p>
      <w:pPr>
        <w:ind w:left="3360"/>
        <w:spacing w:after="0"/>
        <w:rPr>
          <w:sz w:val="20"/>
          <w:szCs w:val="20"/>
          <w:color w:val="auto"/>
        </w:rPr>
      </w:pPr>
      <w:r>
        <w:rPr>
          <w:rFonts w:ascii="Courier New" w:cs="Courier New" w:eastAsia="Courier New" w:hAnsi="Courier New"/>
          <w:sz w:val="15"/>
          <w:szCs w:val="15"/>
          <w:color w:val="auto"/>
        </w:rPr>
        <w:t>SCHEDULE I</w:t>
      </w:r>
    </w:p>
    <w:p>
      <w:pPr>
        <w:sectPr>
          <w:pgSz w:w="11900" w:h="16838" w:orient="portrait"/>
          <w:cols w:equalWidth="0" w:num="1">
            <w:col w:w="10219"/>
          </w:cols>
          <w:pgMar w:left="240" w:top="6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UNDERWRITER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or Underwriters]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PRINCIPAL</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AMOUNT OF</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DESIGNATED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PURCHASED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3">
            <w:col w:w="2600" w:space="0"/>
            <w:col w:w="80" w:space="100"/>
            <w:col w:w="7439"/>
          </w:cols>
          <w:pgMar w:left="240" w:top="671" w:right="1440" w:bottom="1440" w:gutter="0" w:footer="0" w:header="0"/>
          <w:type w:val="continuous"/>
        </w:sectPr>
      </w:pPr>
    </w:p>
    <w:bookmarkStart w:id="96" w:name="page97"/>
    <w:bookmarkEnd w:id="96"/>
    <w:p>
      <w:pPr>
        <w:ind w:left="3260"/>
        <w:spacing w:after="0"/>
        <w:rPr>
          <w:sz w:val="20"/>
          <w:szCs w:val="20"/>
          <w:color w:val="auto"/>
        </w:rPr>
      </w:pPr>
      <w:r>
        <w:rPr>
          <w:rFonts w:ascii="Courier New" w:cs="Courier New" w:eastAsia="Courier New" w:hAnsi="Courier New"/>
          <w:sz w:val="16"/>
          <w:szCs w:val="16"/>
          <w:color w:val="auto"/>
        </w:rPr>
        <w:t>SCHEDULE II</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DESIGNATED SECURITIES: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[__ %] [Floating Rate] [Zero Coupon] [Notes] [Debentures] due ,</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PRINCIPAL AMOUNT:</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TO PUBLIC:</w:t>
      </w:r>
    </w:p>
    <w:p>
      <w:pPr>
        <w:spacing w:after="0" w:line="190" w:lineRule="exact"/>
        <w:rPr>
          <w:sz w:val="20"/>
          <w:szCs w:val="20"/>
          <w:color w:val="auto"/>
        </w:rPr>
      </w:pPr>
    </w:p>
    <w:p>
      <w:pPr>
        <w:ind w:left="480" w:right="2639"/>
        <w:spacing w:after="0" w:line="274" w:lineRule="auto"/>
        <w:rPr>
          <w:sz w:val="20"/>
          <w:szCs w:val="20"/>
          <w:color w:val="auto"/>
        </w:rPr>
      </w:pPr>
      <w:r>
        <w:rPr>
          <w:rFonts w:ascii="Courier New" w:cs="Courier New" w:eastAsia="Courier New" w:hAnsi="Courier New"/>
          <w:sz w:val="15"/>
          <w:szCs w:val="15"/>
          <w:color w:val="auto"/>
        </w:rPr>
        <w:t>__% of the principal amount of the Designated Securities, plus accrued interest[, if any,] from to [and accrued amortization[, if any,] from to ]</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PRICE BY UNDERWRITERS:</w:t>
      </w:r>
    </w:p>
    <w:p>
      <w:pPr>
        <w:spacing w:after="0" w:line="190" w:lineRule="exact"/>
        <w:rPr>
          <w:sz w:val="20"/>
          <w:szCs w:val="20"/>
          <w:color w:val="auto"/>
        </w:rPr>
      </w:pPr>
    </w:p>
    <w:p>
      <w:pPr>
        <w:ind w:left="480" w:right="2819"/>
        <w:spacing w:after="0" w:line="242" w:lineRule="auto"/>
        <w:rPr>
          <w:sz w:val="20"/>
          <w:szCs w:val="20"/>
          <w:color w:val="auto"/>
        </w:rPr>
      </w:pPr>
      <w:r>
        <w:rPr>
          <w:rFonts w:ascii="Courier New" w:cs="Courier New" w:eastAsia="Courier New" w:hAnsi="Courier New"/>
          <w:sz w:val="16"/>
          <w:szCs w:val="16"/>
          <w:color w:val="auto"/>
        </w:rPr>
        <w:t>__% of the principal amount of the Designated Securities, plus accrued interest from to [and accrued amortization[, if any,] from _________ to</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____________ ]</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PRICE:</w:t>
      </w:r>
    </w:p>
    <w:p>
      <w:pPr>
        <w:spacing w:after="0" w:line="190"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 per share [subject to adjustment upon the occurrence of certain events]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DESIGNATED SECURITIES:</w:t>
      </w:r>
    </w:p>
    <w:p>
      <w:pPr>
        <w:spacing w:after="0" w:line="190" w:lineRule="exact"/>
        <w:rPr>
          <w:sz w:val="20"/>
          <w:szCs w:val="20"/>
          <w:color w:val="auto"/>
        </w:rPr>
      </w:pPr>
    </w:p>
    <w:p>
      <w:pPr>
        <w:ind w:left="480" w:right="2539"/>
        <w:spacing w:after="0" w:line="265" w:lineRule="auto"/>
        <w:rPr>
          <w:sz w:val="20"/>
          <w:szCs w:val="20"/>
          <w:color w:val="auto"/>
        </w:rPr>
      </w:pPr>
      <w:r>
        <w:rPr>
          <w:rFonts w:ascii="Courier New" w:cs="Courier New" w:eastAsia="Courier New" w:hAnsi="Courier New"/>
          <w:sz w:val="15"/>
          <w:szCs w:val="15"/>
          <w:color w:val="auto"/>
        </w:rPr>
        <w:t>Book-entry only form represented by one or more global securities deposited with The Depository Trust Company ("DTC") or its designated custodian, to be made available for checking by the Representatives at least twenty-four hours prior to the Time of Delivery at the office of DTC.</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SPECIFIED FUNDS FOR PAYMENT OF PURCHASE PRICE: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Federal (same day) funds [by wire transfer]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 OF DELIVERY:</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_____a.m. (New York City time), ______________, 199____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INDENTURE: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Indenture dated ____________, 199____ , between the Company and , as</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Trustee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[__%] [Zero Coupon] [See Floating Rate Provisions]</w:t>
      </w:r>
    </w:p>
    <w:p>
      <w:pPr>
        <w:sectPr>
          <w:pgSz w:w="11900" w:h="16838" w:orient="portrait"/>
          <w:cols w:equalWidth="0" w:num="1">
            <w:col w:w="10219"/>
          </w:cols>
          <w:pgMar w:left="240" w:top="669"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6"/>
          <w:szCs w:val="16"/>
          <w:color w:val="auto"/>
        </w:rPr>
        <w:t>INTEREST PAYMENT DATES:</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[months and dates, commencing .....................</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 199___]</w:t>
            </w:r>
          </w:p>
        </w:tc>
      </w:tr>
    </w:tbl>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 PROVISIONS: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 provisions for redemption]</w:t>
      </w:r>
    </w:p>
    <w:p>
      <w:pPr>
        <w:spacing w:after="0" w:line="190" w:lineRule="exact"/>
        <w:rPr>
          <w:sz w:val="20"/>
          <w:szCs w:val="20"/>
          <w:color w:val="auto"/>
        </w:rPr>
      </w:pPr>
    </w:p>
    <w:p>
      <w:pPr>
        <w:jc w:val="both"/>
        <w:ind w:left="480" w:right="3019"/>
        <w:spacing w:after="0" w:line="260" w:lineRule="auto"/>
        <w:rPr>
          <w:sz w:val="20"/>
          <w:szCs w:val="20"/>
          <w:color w:val="auto"/>
        </w:rPr>
      </w:pPr>
      <w:r>
        <w:rPr>
          <w:rFonts w:ascii="Courier New" w:cs="Courier New" w:eastAsia="Courier New" w:hAnsi="Courier New"/>
          <w:sz w:val="15"/>
          <w:szCs w:val="15"/>
          <w:color w:val="auto"/>
        </w:rPr>
        <w:t>[The Designated Securities may be redeemed, otherwise than through the sinking fund, in whole or in part at the option of the Company, in the amount of [$______] or an integral multiple thereof, [on or after</w:t>
      </w:r>
    </w:p>
    <w:p>
      <w:pPr>
        <w:ind w:left="480"/>
        <w:spacing w:after="0"/>
        <w:rPr>
          <w:sz w:val="20"/>
          <w:szCs w:val="20"/>
          <w:color w:val="auto"/>
        </w:rPr>
      </w:pPr>
      <w:r>
        <w:rPr>
          <w:rFonts w:ascii="Courier New" w:cs="Courier New" w:eastAsia="Courier New" w:hAnsi="Courier New"/>
          <w:sz w:val="16"/>
          <w:szCs w:val="16"/>
          <w:color w:val="auto"/>
        </w:rPr>
        <w:t>____________, at the following redemption prices (expressed in percentages</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of principal amount). If [redeemed on or before _______________ ,__ %, and</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redeemed during the 12-month period beginning,</w:t>
      </w:r>
    </w:p>
    <w:p>
      <w:pPr>
        <w:spacing w:after="0" w:line="37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REDEMPTION</w:t>
      </w:r>
    </w:p>
    <w:p>
      <w:pPr>
        <w:spacing w:after="0" w:line="4" w:lineRule="exact"/>
        <w:rPr>
          <w:sz w:val="20"/>
          <w:szCs w:val="20"/>
          <w:color w:val="auto"/>
        </w:rPr>
      </w:pPr>
    </w:p>
    <w:p>
      <w:pPr>
        <w:ind w:left="2300"/>
        <w:spacing w:after="0"/>
        <w:tabs>
          <w:tab w:leader="none" w:pos="3540" w:val="left"/>
        </w:tabs>
        <w:rPr>
          <w:sz w:val="20"/>
          <w:szCs w:val="20"/>
          <w:color w:val="auto"/>
        </w:rPr>
      </w:pPr>
      <w:r>
        <w:rPr>
          <w:rFonts w:ascii="Courier New" w:cs="Courier New" w:eastAsia="Courier New" w:hAnsi="Courier New"/>
          <w:sz w:val="16"/>
          <w:szCs w:val="16"/>
          <w:color w:val="auto"/>
        </w:rPr>
        <w:t>YEAR</w:t>
      </w:r>
      <w:r>
        <w:rPr>
          <w:sz w:val="20"/>
          <w:szCs w:val="20"/>
          <w:color w:val="auto"/>
        </w:rPr>
        <w:tab/>
      </w:r>
      <w:r>
        <w:rPr>
          <w:rFonts w:ascii="Courier New" w:cs="Courier New" w:eastAsia="Courier New" w:hAnsi="Courier New"/>
          <w:sz w:val="16"/>
          <w:szCs w:val="16"/>
          <w:color w:val="auto"/>
        </w:rPr>
        <w:t>PRICE</w:t>
      </w:r>
    </w:p>
    <w:p>
      <w:pPr>
        <w:spacing w:after="0" w:line="4" w:lineRule="exact"/>
        <w:rPr>
          <w:sz w:val="20"/>
          <w:szCs w:val="20"/>
          <w:color w:val="auto"/>
        </w:rPr>
      </w:pPr>
    </w:p>
    <w:p>
      <w:pPr>
        <w:ind w:left="2200"/>
        <w:spacing w:after="0"/>
        <w:tabs>
          <w:tab w:leader="none" w:pos="3240" w:val="left"/>
        </w:tabs>
        <w:rPr>
          <w:sz w:val="20"/>
          <w:szCs w:val="20"/>
          <w:color w:val="auto"/>
        </w:rPr>
      </w:pPr>
      <w:r>
        <w:rPr>
          <w:rFonts w:ascii="Courier New" w:cs="Courier New" w:eastAsia="Courier New" w:hAnsi="Courier New"/>
          <w:sz w:val="16"/>
          <w:szCs w:val="16"/>
          <w:color w:val="auto"/>
        </w:rPr>
        <w:t>______</w:t>
      </w:r>
      <w:r>
        <w:rPr>
          <w:sz w:val="20"/>
          <w:szCs w:val="20"/>
          <w:color w:val="auto"/>
        </w:rPr>
        <w:tab/>
      </w:r>
      <w:r>
        <w:rPr>
          <w:rFonts w:ascii="Courier New" w:cs="Courier New" w:eastAsia="Courier New" w:hAnsi="Courier New"/>
          <w:sz w:val="16"/>
          <w:szCs w:val="16"/>
          <w:color w:val="auto"/>
        </w:rPr>
        <w:t>__________</w:t>
      </w:r>
    </w:p>
    <w:p>
      <w:pPr>
        <w:spacing w:after="0" w:line="375" w:lineRule="exact"/>
        <w:rPr>
          <w:sz w:val="20"/>
          <w:szCs w:val="20"/>
          <w:color w:val="auto"/>
        </w:rPr>
      </w:pPr>
    </w:p>
    <w:p>
      <w:pPr>
        <w:ind w:left="480" w:right="2639"/>
        <w:spacing w:after="0" w:line="260" w:lineRule="auto"/>
        <w:rPr>
          <w:sz w:val="20"/>
          <w:szCs w:val="20"/>
          <w:color w:val="auto"/>
        </w:rPr>
      </w:pPr>
      <w:r>
        <w:rPr>
          <w:rFonts w:ascii="Courier New" w:cs="Courier New" w:eastAsia="Courier New" w:hAnsi="Courier New"/>
          <w:sz w:val="15"/>
          <w:szCs w:val="15"/>
          <w:color w:val="auto"/>
        </w:rPr>
        <w:t>and thereafter at 100% of their principal amount, together in each case with accrued interest to the redemption date.] [on any interest payment date falling on or after _______________ , at the election of the Company,</w:t>
      </w:r>
    </w:p>
    <w:p>
      <w:pPr>
        <w:spacing w:after="0" w:line="2" w:lineRule="exact"/>
        <w:rPr>
          <w:sz w:val="20"/>
          <w:szCs w:val="20"/>
          <w:color w:val="auto"/>
        </w:rPr>
      </w:pPr>
    </w:p>
    <w:p>
      <w:pPr>
        <w:ind w:left="480" w:right="2719"/>
        <w:spacing w:after="0" w:line="242" w:lineRule="auto"/>
        <w:rPr>
          <w:sz w:val="20"/>
          <w:szCs w:val="20"/>
          <w:color w:val="auto"/>
        </w:rPr>
      </w:pPr>
      <w:r>
        <w:rPr>
          <w:rFonts w:ascii="Courier New" w:cs="Courier New" w:eastAsia="Courier New" w:hAnsi="Courier New"/>
          <w:sz w:val="16"/>
          <w:szCs w:val="16"/>
          <w:color w:val="auto"/>
        </w:rPr>
        <w:t>at a redemption price equal to the principal amount thereof, plus accrued interest to the date of redemption.]]</w:t>
      </w:r>
    </w:p>
    <w:p>
      <w:pPr>
        <w:spacing w:after="0" w:line="189" w:lineRule="exact"/>
        <w:rPr>
          <w:sz w:val="20"/>
          <w:szCs w:val="20"/>
          <w:color w:val="auto"/>
        </w:rPr>
      </w:pPr>
    </w:p>
    <w:p>
      <w:pPr>
        <w:ind w:left="480" w:right="2819"/>
        <w:spacing w:after="0" w:line="242" w:lineRule="auto"/>
        <w:rPr>
          <w:sz w:val="20"/>
          <w:szCs w:val="20"/>
          <w:color w:val="auto"/>
        </w:rPr>
      </w:pPr>
      <w:r>
        <w:rPr>
          <w:rFonts w:ascii="Courier New" w:cs="Courier New" w:eastAsia="Courier New" w:hAnsi="Courier New"/>
          <w:sz w:val="16"/>
          <w:szCs w:val="16"/>
          <w:color w:val="auto"/>
        </w:rPr>
        <w:t>[Other possible redemption provisions, such as mandatory redemption upon occurrence of certain events or redemption for changes in tax law]</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[Restriction on refunding]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SINKING FUND PROVISIONS: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 sinking fund provisions]</w:t>
      </w:r>
    </w:p>
    <w:p>
      <w:pPr>
        <w:spacing w:after="0" w:line="190" w:lineRule="exact"/>
        <w:rPr>
          <w:sz w:val="20"/>
          <w:szCs w:val="20"/>
          <w:color w:val="auto"/>
        </w:rPr>
      </w:pPr>
    </w:p>
    <w:p>
      <w:pPr>
        <w:ind w:left="480" w:right="2539"/>
        <w:spacing w:after="0" w:line="260" w:lineRule="auto"/>
        <w:rPr>
          <w:sz w:val="20"/>
          <w:szCs w:val="20"/>
          <w:color w:val="auto"/>
        </w:rPr>
      </w:pPr>
      <w:r>
        <w:rPr>
          <w:rFonts w:ascii="Courier New" w:cs="Courier New" w:eastAsia="Courier New" w:hAnsi="Courier New"/>
          <w:sz w:val="15"/>
          <w:szCs w:val="15"/>
          <w:color w:val="auto"/>
        </w:rPr>
        <w:t>[The Designated Securities are entitled to the benefit of a sinking fund to retire [$__________] principal amount of Designated Securities on in each</w:t>
      </w:r>
    </w:p>
    <w:p>
      <w:pPr>
        <w:spacing w:after="0" w:line="1" w:lineRule="exact"/>
        <w:rPr>
          <w:sz w:val="20"/>
          <w:szCs w:val="20"/>
          <w:color w:val="auto"/>
        </w:rPr>
      </w:pPr>
    </w:p>
    <w:p>
      <w:pPr>
        <w:ind w:left="480" w:right="2819"/>
        <w:spacing w:after="0" w:line="243" w:lineRule="auto"/>
        <w:rPr>
          <w:sz w:val="20"/>
          <w:szCs w:val="20"/>
          <w:color w:val="auto"/>
        </w:rPr>
      </w:pPr>
      <w:r>
        <w:rPr>
          <w:rFonts w:ascii="Courier New" w:cs="Courier New" w:eastAsia="Courier New" w:hAnsi="Courier New"/>
          <w:sz w:val="16"/>
          <w:szCs w:val="16"/>
          <w:color w:val="auto"/>
        </w:rPr>
        <w:t>of the years through at 100% of their principal amount plus accrued interest[, together with [cumulative] [noncumulative] redemptions at the option of the Company to retire an additional [$__________] principal</w:t>
      </w:r>
    </w:p>
    <w:p>
      <w:pPr>
        <w:spacing w:after="0" w:line="4" w:lineRule="exact"/>
        <w:rPr>
          <w:sz w:val="20"/>
          <w:szCs w:val="20"/>
          <w:color w:val="auto"/>
        </w:rPr>
      </w:pPr>
    </w:p>
    <w:p>
      <w:pPr>
        <w:ind w:left="480" w:right="3119"/>
        <w:spacing w:after="0" w:line="242" w:lineRule="auto"/>
        <w:rPr>
          <w:sz w:val="20"/>
          <w:szCs w:val="20"/>
          <w:color w:val="auto"/>
        </w:rPr>
      </w:pPr>
      <w:r>
        <w:rPr>
          <w:rFonts w:ascii="Courier New" w:cs="Courier New" w:eastAsia="Courier New" w:hAnsi="Courier New"/>
          <w:sz w:val="16"/>
          <w:szCs w:val="16"/>
          <w:color w:val="auto"/>
        </w:rPr>
        <w:t>amount of Designated Securities in the years through at 100% of their principal amount plus accrued interest.]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Designated Securities are extendable debt securities, insert]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EXTENDABLE PROVISIONS:</w:t>
      </w:r>
    </w:p>
    <w:p>
      <w:pPr>
        <w:spacing w:after="0" w:line="190" w:lineRule="exact"/>
        <w:rPr>
          <w:sz w:val="20"/>
          <w:szCs w:val="20"/>
          <w:color w:val="auto"/>
        </w:rPr>
      </w:pPr>
    </w:p>
    <w:p>
      <w:pPr>
        <w:ind w:left="480" w:right="2539"/>
        <w:spacing w:after="0" w:line="243" w:lineRule="auto"/>
        <w:rPr>
          <w:sz w:val="20"/>
          <w:szCs w:val="20"/>
          <w:color w:val="auto"/>
        </w:rPr>
      </w:pPr>
      <w:r>
        <w:rPr>
          <w:rFonts w:ascii="Courier New" w:cs="Courier New" w:eastAsia="Courier New" w:hAnsi="Courier New"/>
          <w:sz w:val="16"/>
          <w:szCs w:val="16"/>
          <w:color w:val="auto"/>
        </w:rPr>
        <w:t>Designated Securities are repayable on [insert date and years], at the option of the holder, at their principal amount with accrued interest. The initial annual interest rate will be ____%, and thereafter the annual</w:t>
      </w:r>
    </w:p>
    <w:p>
      <w:pPr>
        <w:spacing w:after="0" w:line="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rate will be adjusted on , and to a rate not less than ____% of</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effective annual interest</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9" w:right="1440" w:bottom="1440" w:gutter="0" w:footer="0" w:header="0"/>
        </w:sectPr>
      </w:pPr>
    </w:p>
    <w:bookmarkStart w:id="98" w:name="page99"/>
    <w:bookmarkEnd w:id="98"/>
    <w:p>
      <w:pPr>
        <w:ind w:left="481" w:right="2539"/>
        <w:spacing w:after="0" w:line="243" w:lineRule="auto"/>
        <w:rPr>
          <w:sz w:val="20"/>
          <w:szCs w:val="20"/>
          <w:color w:val="auto"/>
        </w:rPr>
      </w:pPr>
      <w:r>
        <w:rPr>
          <w:rFonts w:ascii="Courier New" w:cs="Courier New" w:eastAsia="Courier New" w:hAnsi="Courier New"/>
          <w:sz w:val="16"/>
          <w:szCs w:val="16"/>
          <w:color w:val="auto"/>
        </w:rPr>
        <w:t>rate on U.S. Treasury obligations with ___% year maturities as of the [insert date 15 days prior to maturity date] prior to such [insert maturity date].]</w:t>
      </w:r>
    </w:p>
    <w:p>
      <w:pPr>
        <w:spacing w:after="0" w:line="187"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[If Designated Securities are floating rate debt securities, insert]</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FLOATING RATE PROVISIONS:</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Initial annual interest rate will be ____% through ______________ [and</w:t>
      </w:r>
    </w:p>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thereafter will be adjusted [monthly] [on each, __________, and] [to an</w:t>
      </w:r>
    </w:p>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annual rate of ____% above the average rate for ___-year</w:t>
      </w:r>
    </w:p>
    <w:p>
      <w:pPr>
        <w:spacing w:after="0" w:line="5" w:lineRule="exact"/>
        <w:rPr>
          <w:sz w:val="20"/>
          <w:szCs w:val="20"/>
          <w:color w:val="auto"/>
        </w:rPr>
      </w:pPr>
    </w:p>
    <w:p>
      <w:pPr>
        <w:ind w:left="481" w:right="2539"/>
        <w:spacing w:after="0" w:line="244" w:lineRule="auto"/>
        <w:rPr>
          <w:sz w:val="20"/>
          <w:szCs w:val="20"/>
          <w:color w:val="auto"/>
        </w:rPr>
      </w:pPr>
      <w:r>
        <w:rPr>
          <w:rFonts w:ascii="Courier New" w:cs="Courier New" w:eastAsia="Courier New" w:hAnsi="Courier New"/>
          <w:sz w:val="16"/>
          <w:szCs w:val="16"/>
          <w:color w:val="auto"/>
        </w:rPr>
        <w:t>[month][securities] [certificates of deposit] issued by and [insert names of banks].] [and the annual interest rate [thereafter] [from through ] will be the interest yield equivalent of the weekly average per annum market discount rate for -month Treasury bills plus ___% of Interest Differential (the excess, if any, of (i) the then current weekly average per annum secondary market yield for ___-month certificates of deposit over (ii) the then current interest yield equivalent of the weekly average per annum market discount rate for ___-month Treasury bills); [from and thereafter the rate will be the then current interest yield equivalent plus ____% of Interest Differential].]</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DEFEASANCE PROVISIONS: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CLOSING LOCATION FOR DELIVERY OF DESIGNATED SECURITIES:</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Wilson Sonsini Goodrich &amp; Rosati, Professional Corporation</w:t>
      </w:r>
    </w:p>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650 Page Mill Road</w:t>
      </w:r>
    </w:p>
    <w:p>
      <w:pPr>
        <w:spacing w:after="0" w:line="4" w:lineRule="exact"/>
        <w:rPr>
          <w:sz w:val="20"/>
          <w:szCs w:val="20"/>
          <w:color w:val="auto"/>
        </w:rPr>
      </w:pPr>
    </w:p>
    <w:p>
      <w:pPr>
        <w:ind w:left="481"/>
        <w:spacing w:after="0"/>
        <w:tabs>
          <w:tab w:leader="none" w:pos="2661" w:val="left"/>
        </w:tabs>
        <w:rPr>
          <w:sz w:val="20"/>
          <w:szCs w:val="20"/>
          <w:color w:val="auto"/>
        </w:rPr>
      </w:pPr>
      <w:r>
        <w:rPr>
          <w:rFonts w:ascii="Courier New" w:cs="Courier New" w:eastAsia="Courier New" w:hAnsi="Courier New"/>
          <w:sz w:val="16"/>
          <w:szCs w:val="16"/>
          <w:color w:val="auto"/>
        </w:rPr>
        <w:t>Palo Alto, California</w:t>
        <w:tab/>
        <w:t>94304</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ADDITIONAL CLOSING CONDITIONS:</w:t>
      </w:r>
    </w:p>
    <w:p>
      <w:pPr>
        <w:spacing w:after="0" w:line="190" w:lineRule="exact"/>
        <w:rPr>
          <w:sz w:val="20"/>
          <w:szCs w:val="20"/>
          <w:color w:val="auto"/>
        </w:rPr>
      </w:pPr>
    </w:p>
    <w:p>
      <w:pPr>
        <w:ind w:left="481" w:right="2639"/>
        <w:spacing w:after="0" w:line="244" w:lineRule="auto"/>
        <w:rPr>
          <w:sz w:val="20"/>
          <w:szCs w:val="20"/>
          <w:color w:val="auto"/>
        </w:rPr>
      </w:pPr>
      <w:r>
        <w:rPr>
          <w:rFonts w:ascii="Courier New" w:cs="Courier New" w:eastAsia="Courier New" w:hAnsi="Courier New"/>
          <w:sz w:val="16"/>
          <w:szCs w:val="16"/>
          <w:color w:val="auto"/>
        </w:rPr>
        <w:t>Paragraph 7(h) of the Underwriting Agreement should be modified in the event that the Securities are denominated in, indexed to, or principal or interest are paid in, a currency other than the U.S. dollar, more than one currency or in a composite currency. The country or countries issuing such currency should be added to the banking moratorium and hostilities clauses and the following additional clause should be added to the paragraph (the entire paragraph should be restated, as amended):</w:t>
      </w:r>
    </w:p>
    <w:p>
      <w:pPr>
        <w:spacing w:after="0" w:line="188" w:lineRule="exact"/>
        <w:rPr>
          <w:sz w:val="20"/>
          <w:szCs w:val="20"/>
          <w:color w:val="auto"/>
        </w:rPr>
      </w:pPr>
    </w:p>
    <w:p>
      <w:pPr>
        <w:ind w:left="481" w:right="2919"/>
        <w:spacing w:after="0" w:line="243" w:lineRule="auto"/>
        <w:rPr>
          <w:sz w:val="20"/>
          <w:szCs w:val="20"/>
          <w:color w:val="auto"/>
        </w:rPr>
      </w:pPr>
      <w:r>
        <w:rPr>
          <w:rFonts w:ascii="Courier New" w:cs="Courier New" w:eastAsia="Courier New" w:hAnsi="Courier New"/>
          <w:sz w:val="16"/>
          <w:szCs w:val="16"/>
          <w:color w:val="auto"/>
        </w:rPr>
        <w:t>the imposition of the proposal of exchange controls by any governmental authority in [insert the country or countries issuing such currency, currencies or composite currency].</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NAMES AND ADDRESSES OF REPRESENTATIVES:</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Designated Representatives:</w:t>
      </w:r>
    </w:p>
    <w:p>
      <w:pPr>
        <w:spacing w:after="0" w:line="4"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Address for Notices, etc.:</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[OTHER TERMS]*: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1" w:right="2539" w:hanging="481"/>
        <w:spacing w:after="0" w:line="243" w:lineRule="auto"/>
        <w:tabs>
          <w:tab w:leader="none" w:pos="481"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particular tax, accounting or other unusual features (such as the addition of event risk provisions) of the Designated Securities should be set forth, or referenced to an attached and</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9" w:top="671" w:right="1440" w:bottom="1440" w:gutter="0" w:footer="0" w:header="0"/>
        </w:sectPr>
      </w:pPr>
    </w:p>
    <w:bookmarkStart w:id="99" w:name="page100"/>
    <w:bookmarkEnd w:id="99"/>
    <w:p>
      <w:pPr>
        <w:ind w:right="2539"/>
        <w:spacing w:after="0" w:line="243" w:lineRule="auto"/>
        <w:rPr>
          <w:sz w:val="20"/>
          <w:szCs w:val="20"/>
          <w:color w:val="auto"/>
        </w:rPr>
      </w:pPr>
      <w:r>
        <w:rPr>
          <w:rFonts w:ascii="Courier New" w:cs="Courier New" w:eastAsia="Courier New" w:hAnsi="Courier New"/>
          <w:sz w:val="16"/>
          <w:szCs w:val="16"/>
          <w:color w:val="auto"/>
        </w:rPr>
        <w:t>accompanying description, if necessary, to ensure agreement as to the terms of the Designated Securities to be purchased and sold. Such a description might appropriately be in the form in which such features will be described in the Prospectus Supplement for the offering.</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739"/>
          </w:cols>
          <w:pgMar w:left="720" w:top="671" w:right="1440" w:bottom="1440" w:gutter="0" w:footer="0" w:header="0"/>
        </w:sectPr>
      </w:pPr>
    </w:p>
    <w:bookmarkStart w:id="100" w:name="page101"/>
    <w:bookmarkEnd w:id="100"/>
    <w:p>
      <w:pPr>
        <w:jc w:val="center"/>
        <w:ind w:right="2639"/>
        <w:spacing w:after="0"/>
        <w:rPr>
          <w:sz w:val="20"/>
          <w:szCs w:val="20"/>
          <w:color w:val="auto"/>
        </w:rPr>
      </w:pPr>
      <w:r>
        <w:rPr>
          <w:rFonts w:ascii="Courier New" w:cs="Courier New" w:eastAsia="Courier New" w:hAnsi="Courier New"/>
          <w:sz w:val="16"/>
          <w:szCs w:val="16"/>
          <w:color w:val="auto"/>
        </w:rPr>
        <w:t>ANNEX I</w:t>
      </w:r>
    </w:p>
    <w:p>
      <w:pPr>
        <w:spacing w:after="0" w:line="190" w:lineRule="exact"/>
        <w:rPr>
          <w:sz w:val="20"/>
          <w:szCs w:val="20"/>
          <w:color w:val="auto"/>
        </w:rPr>
      </w:pPr>
    </w:p>
    <w:p>
      <w:pPr>
        <w:ind w:right="2919" w:firstLine="480"/>
        <w:spacing w:after="0" w:line="242" w:lineRule="auto"/>
        <w:rPr>
          <w:sz w:val="20"/>
          <w:szCs w:val="20"/>
          <w:color w:val="auto"/>
        </w:rPr>
      </w:pPr>
      <w:r>
        <w:rPr>
          <w:rFonts w:ascii="Courier New" w:cs="Courier New" w:eastAsia="Courier New" w:hAnsi="Courier New"/>
          <w:sz w:val="16"/>
          <w:szCs w:val="16"/>
          <w:color w:val="auto"/>
        </w:rPr>
        <w:t>Pursuant to Section 7(e) of the Underwriting Agreement, the accountants shall furnish letters to the Underwriters to the effect that:</w:t>
      </w:r>
    </w:p>
    <w:p>
      <w:pPr>
        <w:spacing w:after="0" w:line="189" w:lineRule="exact"/>
        <w:rPr>
          <w:sz w:val="20"/>
          <w:szCs w:val="20"/>
          <w:color w:val="auto"/>
        </w:rPr>
      </w:pPr>
    </w:p>
    <w:p>
      <w:pPr>
        <w:ind w:right="2719" w:firstLine="479"/>
        <w:spacing w:after="0" w:line="243" w:lineRule="auto"/>
        <w:tabs>
          <w:tab w:leader="none" w:pos="865"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are independent certified public accountants with respect to the Company and its subsidiaries within the meaning of the Act and the applicable published rules and regulations thereunder;</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opinion, the financial statements and any supplementary financial information and schedules audited (and, if applicable, financial forecasts and/or pro forma financial information) examined by them and included or incorporated by reference in the Registration Statement or the Prospectus comply as to form in all material respects with the applicable accounting requirements of the Act or the Exchange Act, as applicable, and the related published rules and regulations thereunder; and, if applicable, they have made a review in accordance with standards established by the American Institute of Certified Public Accountants of the consolidated interim financial statements, selected financial data, pro forma financial information, financial forecasts and/or condensed financial statements derived from audited financial statements of the Company for the periods specified in such letter, as indicated in their reports thereon, copies of which have been furnished to the representative or representatives of the Underwriters (the "Representatives") such term to include an Underwriter or Underwriters who act without any firm being designated as its or their representatives and are attached hereto;</w:t>
      </w:r>
    </w:p>
    <w:p>
      <w:pPr>
        <w:spacing w:after="0" w:line="192" w:lineRule="exact"/>
        <w:rPr>
          <w:rFonts w:ascii="Courier New" w:cs="Courier New" w:eastAsia="Courier New" w:hAnsi="Courier New"/>
          <w:sz w:val="16"/>
          <w:szCs w:val="16"/>
          <w:color w:val="auto"/>
        </w:rPr>
      </w:pPr>
    </w:p>
    <w:p>
      <w:pPr>
        <w:ind w:right="2539" w:firstLine="479"/>
        <w:spacing w:after="0" w:line="244" w:lineRule="auto"/>
        <w:tabs>
          <w:tab w:leader="none" w:pos="1441"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They have made a review in accordance with standards established by the American Institute of Certified Public Accountants of the unaudited condensed consolidated statements of income, consolidated balance sheets and consolidated statements of cash flows included in the Prospectus and/or included in the Company's quarterly report on Form 10-Q incorporated by reference into the Prospectus as indicated in their reports thereon copies of which are attached hereto; and on the basis of specified procedures including inquiries of officials of the Company who have responsibility for financial and accounting matters regarding whether the unaudited condensed consolidated financial statements referred to in paragraph (vi)(A)(i) below comply as to form in all material respects with the applicable accounting requirements of the Act and the Exchange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Exchange Act and the related published rules and regulations;</w:t>
      </w:r>
    </w:p>
    <w:p>
      <w:pPr>
        <w:spacing w:after="0" w:line="192"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selected financial information with respect to the consolidated results of operations and financial position of the Company for the five most recent fiscal years included in the Prospectus and included or incorporated by reference in Item 6 of the Company's Annual Report on Form 10-K for the most recent fiscal year agrees with the corresponding amounts (after restatement where applicable) in the audited consolidated financial statements for five such fiscal years which were included or incorporated by reference in the Company's Annual Reports on Form 10-K for such fiscal years;</w:t>
      </w:r>
    </w:p>
    <w:p>
      <w:pPr>
        <w:spacing w:after="0" w:line="188" w:lineRule="exact"/>
        <w:rPr>
          <w:rFonts w:ascii="Courier New" w:cs="Courier New" w:eastAsia="Courier New" w:hAnsi="Courier New"/>
          <w:sz w:val="16"/>
          <w:szCs w:val="16"/>
          <w:color w:val="auto"/>
        </w:rPr>
      </w:pPr>
    </w:p>
    <w:p>
      <w:pPr>
        <w:ind w:right="2539" w:firstLine="479"/>
        <w:spacing w:after="0" w:line="263" w:lineRule="auto"/>
        <w:tabs>
          <w:tab w:leader="none" w:pos="86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have compared the information in the Prospectus under selected captions with the disclosure requirements of Regulation S-K and on the basis of limited procedures specified in such letter nothing came to their attention as a result of the foregoing procedures that caused them to believe that this information does not conform in all material respects with the disclosure requirements of Items 301, 302, 402 and 503(d), respectively, of Regulation S-K;</w:t>
      </w:r>
    </w:p>
    <w:p>
      <w:pPr>
        <w:spacing w:after="0" w:line="176" w:lineRule="exact"/>
        <w:rPr>
          <w:rFonts w:ascii="Courier New" w:cs="Courier New" w:eastAsia="Courier New" w:hAnsi="Courier New"/>
          <w:sz w:val="15"/>
          <w:szCs w:val="15"/>
          <w:color w:val="auto"/>
        </w:rPr>
      </w:pPr>
    </w:p>
    <w:p>
      <w:pPr>
        <w:ind w:right="2539" w:firstLine="479"/>
        <w:spacing w:after="0" w:line="263" w:lineRule="auto"/>
        <w:tabs>
          <w:tab w:leader="none" w:pos="961"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or incorporated by reference in the Prospectus, inquiries of officials of the</w:t>
      </w:r>
    </w:p>
    <w:p>
      <w:pPr>
        <w:sectPr>
          <w:pgSz w:w="11900" w:h="16838" w:orient="portrait"/>
          <w:cols w:equalWidth="0" w:num="1">
            <w:col w:w="10219"/>
          </w:cols>
          <w:pgMar w:left="240" w:top="669" w:right="1440" w:bottom="1440" w:gutter="0" w:footer="0" w:header="0"/>
        </w:sectPr>
      </w:pPr>
    </w:p>
    <w:bookmarkStart w:id="101" w:name="page102"/>
    <w:bookmarkEnd w:id="101"/>
    <w:p>
      <w:pPr>
        <w:ind w:right="2819"/>
        <w:spacing w:after="0" w:line="243" w:lineRule="auto"/>
        <w:rPr>
          <w:sz w:val="20"/>
          <w:szCs w:val="20"/>
          <w:color w:val="auto"/>
        </w:rPr>
      </w:pPr>
      <w:r>
        <w:rPr>
          <w:rFonts w:ascii="Courier New" w:cs="Courier New" w:eastAsia="Courier New" w:hAnsi="Courier New"/>
          <w:sz w:val="16"/>
          <w:szCs w:val="16"/>
          <w:color w:val="auto"/>
        </w:rPr>
        <w:t>Company and its subsidiaries responsible for financial and accounting matters and such other inquiries and procedures as may be specified in such letter, nothing came to their attention that caused them to believe that:</w:t>
      </w:r>
    </w:p>
    <w:p>
      <w:pPr>
        <w:spacing w:after="0" w:line="189" w:lineRule="exact"/>
        <w:rPr>
          <w:sz w:val="20"/>
          <w:szCs w:val="20"/>
          <w:color w:val="auto"/>
        </w:rPr>
      </w:pPr>
    </w:p>
    <w:p>
      <w:pPr>
        <w:ind w:right="2639" w:firstLine="959"/>
        <w:spacing w:after="0" w:line="244" w:lineRule="auto"/>
        <w:tabs>
          <w:tab w:leader="none" w:pos="134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unaudited condensed consolidated statements of income, consolidated balance sheets and consolidated statements of cash flows included in the Prospectus and/or included or incorporated by reference in the Company's Quarterly Reports on Form 10-Q incorporated by reference in the Prospectus do not comply as to form in all material respects with the applicable accounting requirements of the Exchange Act and the related published rules and regulations, or (ii) any material modifications should be made to the unaudited condensed consolidated statements of income, consolidated balance sheets and consolidated statements of cash flows included in the Prospectus or included in the Company's Quarterly Reports on Form 10-Q incorporated by reference in the Prospectus for them to be in conformity with generally accepted accounting principles;</w:t>
      </w:r>
    </w:p>
    <w:p>
      <w:pPr>
        <w:spacing w:after="0" w:line="190" w:lineRule="exact"/>
        <w:rPr>
          <w:rFonts w:ascii="Courier New" w:cs="Courier New" w:eastAsia="Courier New" w:hAnsi="Courier New"/>
          <w:sz w:val="16"/>
          <w:szCs w:val="16"/>
          <w:color w:val="auto"/>
        </w:rPr>
      </w:pPr>
    </w:p>
    <w:p>
      <w:pPr>
        <w:ind w:right="2639" w:firstLine="959"/>
        <w:spacing w:after="0" w:line="263" w:lineRule="auto"/>
        <w:tabs>
          <w:tab w:leader="none" w:pos="134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or incorporated by reference in the Company's Annual Report on Form 10-K for the most recent fiscal year;</w:t>
      </w:r>
    </w:p>
    <w:p>
      <w:pPr>
        <w:spacing w:after="0" w:line="174" w:lineRule="exact"/>
        <w:rPr>
          <w:rFonts w:ascii="Courier New" w:cs="Courier New" w:eastAsia="Courier New" w:hAnsi="Courier New"/>
          <w:sz w:val="15"/>
          <w:szCs w:val="15"/>
          <w:color w:val="auto"/>
        </w:rPr>
      </w:pPr>
    </w:p>
    <w:p>
      <w:pPr>
        <w:ind w:right="2539" w:firstLine="959"/>
        <w:spacing w:after="0" w:line="244" w:lineRule="auto"/>
        <w:tabs>
          <w:tab w:leader="none" w:pos="134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financial statements which were not included in the Prospectus but from which were derived the unaudited condensed financial statements referred to in clause (A) and any unaudited income statement data and balance sheet items included in the Prospectus and referred to in Clause (B) were not determined on a basis substantially consistent with the basis for the audited financial statements included or incorporated by reference in the Company's Annual Report on Form 10- K for the most recent fiscal year; (D) any unaudited pro forma consolidated condensed financial statements included or incorporated by reference in the Prospectus do not comply as to form in all material respects with the applicable accounting requirements of the Act and the published rules and regulations thereunder or the pro forma adjustments have not been properly applied to the historical amounts in the compilation of those statements;</w:t>
      </w:r>
    </w:p>
    <w:p>
      <w:pPr>
        <w:spacing w:after="0" w:line="191" w:lineRule="exact"/>
        <w:rPr>
          <w:sz w:val="20"/>
          <w:szCs w:val="20"/>
          <w:color w:val="auto"/>
        </w:rPr>
      </w:pPr>
    </w:p>
    <w:p>
      <w:pPr>
        <w:ind w:right="2539" w:firstLine="959"/>
        <w:spacing w:after="0" w:line="244" w:lineRule="auto"/>
        <w:tabs>
          <w:tab w:leader="none" w:pos="1345"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a specified date not more than five days prior to the date of such letter,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the latest balance sheet included or incorporated by reference in the Prospectus) or any increase in the consolidated long-term debt of the Company and its subsidiaries, or any decreases in consolidated net current assets or stockholders' equity or other items specified by the Representatives, or any increases in any items specified by the Representatives, in each case as compared with amounts shown in the latest balance sheet included or incorporated by reference in the Prospectus, except in each case for changes, increases or decreases which the Prospectus discloses have occurred or may occur or which are described in such letter; and</w:t>
      </w:r>
    </w:p>
    <w:p>
      <w:pPr>
        <w:spacing w:after="0" w:line="191" w:lineRule="exact"/>
        <w:rPr>
          <w:rFonts w:ascii="Courier New" w:cs="Courier New" w:eastAsia="Courier New" w:hAnsi="Courier New"/>
          <w:sz w:val="16"/>
          <w:szCs w:val="16"/>
          <w:color w:val="auto"/>
        </w:rPr>
      </w:pPr>
    </w:p>
    <w:p>
      <w:pPr>
        <w:ind w:right="2539" w:firstLine="959"/>
        <w:spacing w:after="0" w:line="244" w:lineRule="auto"/>
        <w:tabs>
          <w:tab w:leader="none" w:pos="1345"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period from the date of the latest financial statements included or incorporated by reference in the Prospectus to the specified date referred to in Clause (E) there were any decreases in consolidated net revenues or operating profit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increases or decreases which the Prospectus discloses have occurred or may occur or which are described in such letter; and (vii) In addition to the audit referred to in their report(s) included or incorporated by reference in the Prospectus and the limited procedures, inspection of</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102" w:name="page103"/>
    <w:bookmarkEnd w:id="102"/>
    <w:p>
      <w:pPr>
        <w:ind w:left="1"/>
        <w:spacing w:after="0"/>
        <w:rPr>
          <w:sz w:val="20"/>
          <w:szCs w:val="20"/>
          <w:color w:val="auto"/>
        </w:rPr>
      </w:pPr>
      <w:r>
        <w:rPr>
          <w:rFonts w:ascii="Courier New" w:cs="Courier New" w:eastAsia="Courier New" w:hAnsi="Courier New"/>
          <w:sz w:val="15"/>
          <w:szCs w:val="15"/>
          <w:color w:val="auto"/>
        </w:rPr>
        <w:t>minute books, inquiries and other procedures referred to in paragraphs (iii) and</w:t>
      </w:r>
    </w:p>
    <w:p>
      <w:pPr>
        <w:spacing w:after="0" w:line="15" w:lineRule="exact"/>
        <w:rPr>
          <w:sz w:val="20"/>
          <w:szCs w:val="20"/>
          <w:color w:val="auto"/>
        </w:rPr>
      </w:pPr>
    </w:p>
    <w:p>
      <w:pPr>
        <w:ind w:left="1" w:right="2539" w:hanging="1"/>
        <w:spacing w:after="0" w:line="244" w:lineRule="auto"/>
        <w:tabs>
          <w:tab w:leader="none" w:pos="482"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they have carried out certain specified procedures, not constituting an audit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(excluding documents incorporated by reference), or in Part II of, or in exhibits and schedules to, the Registration Statement specified by the Representatives or in documents incorporated by reference in the Prospectus specified by the Representatives, and have compared certain of such amounts, percentages and financial information with the accounting records of the Company and its subsidiaries and have found them to be in agreement.</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All references in this Annex I to the Prospectus shall be deemed to refer to the Prospectus (including the documents incorporated by reference therein) as defined in the Underwriting Agreement as of the date of the letter delivered on the date of the Pricing Agreement for purposes of such letter and to the Prospectus as amended or supplemented (including the documents incorporated by reference therein) in relation to the applicable Designated Securities for purposes of the letter delivered at the Time of Delivery for such Designated Securities.</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9" w:top="671" w:right="1440" w:bottom="1440" w:gutter="0" w:footer="0" w:header="0"/>
        </w:sectPr>
      </w:pPr>
    </w:p>
    <w:bookmarkStart w:id="103" w:name="page104"/>
    <w:bookmarkEnd w:id="103"/>
    <w:p>
      <w:pPr>
        <w:ind w:left="6620"/>
        <w:spacing w:after="0"/>
        <w:rPr>
          <w:sz w:val="20"/>
          <w:szCs w:val="20"/>
          <w:color w:val="auto"/>
        </w:rPr>
      </w:pPr>
      <w:r>
        <w:rPr>
          <w:rFonts w:ascii="Courier New" w:cs="Courier New" w:eastAsia="Courier New" w:hAnsi="Courier New"/>
          <w:sz w:val="16"/>
          <w:szCs w:val="16"/>
          <w:color w:val="auto"/>
        </w:rPr>
        <w:t>EXHIBIT 4.1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Micron Technology, Inc.</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TO</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Norwest Bank Minnesota, National Association,</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as Trustee</w:t>
      </w:r>
    </w:p>
    <w:p>
      <w:pPr>
        <w:spacing w:after="0" w:line="37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Indenture</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Dated as of _________________, 1997</w:t>
      </w:r>
    </w:p>
    <w:p>
      <w:pPr>
        <w:spacing w:after="0" w:line="37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Senior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09" w:right="1440" w:bottom="1440" w:gutter="0" w:footer="0" w:header="0"/>
        </w:sectPr>
      </w:pPr>
    </w:p>
    <w:bookmarkStart w:id="104" w:name="page105"/>
    <w:bookmarkEnd w:id="104"/>
    <w:p>
      <w:pPr>
        <w:ind w:left="4900"/>
        <w:spacing w:after="0"/>
        <w:rPr>
          <w:sz w:val="20"/>
          <w:szCs w:val="20"/>
          <w:color w:val="auto"/>
        </w:rPr>
      </w:pPr>
      <w:r>
        <w:rPr>
          <w:rFonts w:ascii="Courier New" w:cs="Courier New" w:eastAsia="Courier New" w:hAnsi="Courier New"/>
          <w:sz w:val="16"/>
          <w:szCs w:val="16"/>
          <w:color w:val="auto"/>
        </w:rPr>
        <w:t>TABLE OF CONTENTS</w:t>
      </w:r>
    </w:p>
    <w:p>
      <w:pPr>
        <w:spacing w:after="0" w:line="18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200" w:lineRule="exact"/>
        <w:rPr>
          <w:sz w:val="20"/>
          <w:szCs w:val="20"/>
          <w:color w:val="auto"/>
        </w:rPr>
      </w:pPr>
    </w:p>
    <w:p>
      <w:pPr>
        <w:spacing w:after="0" w:line="358" w:lineRule="exact"/>
        <w:rPr>
          <w:sz w:val="20"/>
          <w:szCs w:val="20"/>
          <w:color w:val="auto"/>
        </w:rPr>
      </w:pPr>
    </w:p>
    <w:p>
      <w:pPr>
        <w:spacing w:after="0"/>
        <w:tabs>
          <w:tab w:leader="dot" w:pos="11320" w:val="left"/>
        </w:tabs>
        <w:rPr>
          <w:sz w:val="20"/>
          <w:szCs w:val="20"/>
          <w:color w:val="auto"/>
        </w:rPr>
      </w:pPr>
      <w:r>
        <w:rPr>
          <w:rFonts w:ascii="Courier New" w:cs="Courier New" w:eastAsia="Courier New" w:hAnsi="Courier New"/>
          <w:sz w:val="16"/>
          <w:szCs w:val="16"/>
          <w:color w:val="auto"/>
        </w:rPr>
        <w:t>RECITALS OF THE COMPANY</w:t>
      </w:r>
      <w:r>
        <w:rPr>
          <w:sz w:val="20"/>
          <w:szCs w:val="20"/>
          <w:color w:val="auto"/>
        </w:rPr>
        <w:tab/>
      </w:r>
      <w:r>
        <w:rPr>
          <w:rFonts w:ascii="Courier New" w:cs="Courier New" w:eastAsia="Courier New" w:hAnsi="Courier New"/>
          <w:sz w:val="16"/>
          <w:szCs w:val="16"/>
          <w:color w:val="auto"/>
        </w:rPr>
        <w:t>1</w:t>
      </w:r>
    </w:p>
    <w:p>
      <w:pPr>
        <w:spacing w:after="0" w:line="188" w:lineRule="exact"/>
        <w:rPr>
          <w:sz w:val="20"/>
          <w:szCs w:val="20"/>
          <w:color w:val="auto"/>
        </w:rPr>
      </w:pPr>
    </w:p>
    <w:p>
      <w:pPr>
        <w:spacing w:after="0"/>
        <w:tabs>
          <w:tab w:leader="dot" w:pos="11320" w:val="left"/>
        </w:tabs>
        <w:rPr>
          <w:sz w:val="20"/>
          <w:szCs w:val="20"/>
          <w:color w:val="auto"/>
        </w:rPr>
      </w:pPr>
      <w:r>
        <w:rPr>
          <w:rFonts w:ascii="Courier New" w:cs="Courier New" w:eastAsia="Courier New" w:hAnsi="Courier New"/>
          <w:sz w:val="16"/>
          <w:szCs w:val="16"/>
          <w:color w:val="auto"/>
        </w:rPr>
        <w:t>ARTICLE ONE - DEFINITIONS AND OTHER PROVISIONS OF GENERAL APPLICATION</w:t>
      </w:r>
      <w:r>
        <w:rPr>
          <w:sz w:val="20"/>
          <w:szCs w:val="20"/>
          <w:color w:val="auto"/>
        </w:rPr>
        <w:tab/>
      </w:r>
      <w:r>
        <w:rPr>
          <w:rFonts w:ascii="Courier New" w:cs="Courier New" w:eastAsia="Courier New" w:hAnsi="Courier New"/>
          <w:sz w:val="16"/>
          <w:szCs w:val="16"/>
          <w:color w:val="auto"/>
        </w:rPr>
        <w:t>1</w:t>
      </w:r>
    </w:p>
    <w:p>
      <w:pPr>
        <w:spacing w:after="0" w:line="188" w:lineRule="exact"/>
        <w:rPr>
          <w:sz w:val="20"/>
          <w:szCs w:val="20"/>
          <w:color w:val="auto"/>
        </w:rPr>
      </w:pPr>
    </w:p>
    <w:p>
      <w:pPr>
        <w:ind w:left="480"/>
        <w:spacing w:after="0"/>
        <w:tabs>
          <w:tab w:leader="dot" w:pos="11320" w:val="left"/>
        </w:tabs>
        <w:rPr>
          <w:sz w:val="20"/>
          <w:szCs w:val="20"/>
          <w:color w:val="auto"/>
        </w:rPr>
      </w:pPr>
      <w:r>
        <w:rPr>
          <w:rFonts w:ascii="Courier New" w:cs="Courier New" w:eastAsia="Courier New" w:hAnsi="Courier New"/>
          <w:sz w:val="16"/>
          <w:szCs w:val="16"/>
          <w:color w:val="auto"/>
        </w:rPr>
        <w:t>SECTION 101. Definitions</w:t>
      </w:r>
      <w:r>
        <w:rPr>
          <w:sz w:val="20"/>
          <w:szCs w:val="20"/>
          <w:color w:val="auto"/>
        </w:rPr>
        <w:tab/>
      </w:r>
      <w:r>
        <w:rPr>
          <w:rFonts w:ascii="Courier New" w:cs="Courier New" w:eastAsia="Courier New" w:hAnsi="Courier New"/>
          <w:sz w:val="16"/>
          <w:szCs w:val="16"/>
          <w:color w:val="auto"/>
        </w:rPr>
        <w:t>1</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Act</w:t>
      </w:r>
      <w:r>
        <w:rPr>
          <w:sz w:val="20"/>
          <w:szCs w:val="20"/>
          <w:color w:val="auto"/>
        </w:rPr>
        <w:tab/>
      </w:r>
      <w:r>
        <w:rPr>
          <w:rFonts w:ascii="Courier New" w:cs="Courier New" w:eastAsia="Courier New" w:hAnsi="Courier New"/>
          <w:sz w:val="16"/>
          <w:szCs w:val="16"/>
          <w:color w:val="auto"/>
        </w:rPr>
        <w:t>1</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Affiliate</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control</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Attributable Debt</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Authenticating Agent</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Board of Directors</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Board Resolution</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Business Day</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Commission</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Company</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Company Request</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Company Order</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Consolidated Net Tangible Assets</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Corporate Trust Office</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corporation</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Covenant Defeasance</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Defaulted Interest</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Defeasance</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Depositary</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Event of Default</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Exchange Act</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Expiration Date</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Global Security</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Holder</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Indenture</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interest</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Interest Payment Date</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Investment Company Act</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Maturity</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Nonrecourse Obligation</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Notice of Default</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Officers' Certificate</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Opinion of Counsel</w:t>
      </w:r>
      <w:r>
        <w:rPr>
          <w:sz w:val="20"/>
          <w:szCs w:val="20"/>
          <w:color w:val="auto"/>
        </w:rPr>
        <w:tab/>
      </w:r>
      <w:r>
        <w:rPr>
          <w:rFonts w:ascii="Courier New" w:cs="Courier New" w:eastAsia="Courier New" w:hAnsi="Courier New"/>
          <w:sz w:val="16"/>
          <w:szCs w:val="16"/>
          <w:color w:val="auto"/>
        </w:rPr>
        <w:t>5</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Original Issue Discount Security</w:t>
      </w:r>
      <w:r>
        <w:rPr>
          <w:sz w:val="20"/>
          <w:szCs w:val="20"/>
          <w:color w:val="auto"/>
        </w:rPr>
        <w:tab/>
      </w:r>
      <w:r>
        <w:rPr>
          <w:rFonts w:ascii="Courier New" w:cs="Courier New" w:eastAsia="Courier New" w:hAnsi="Courier New"/>
          <w:sz w:val="16"/>
          <w:szCs w:val="16"/>
          <w:color w:val="auto"/>
        </w:rPr>
        <w:t>5</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Outstanding</w:t>
      </w:r>
      <w:r>
        <w:rPr>
          <w:sz w:val="20"/>
          <w:szCs w:val="20"/>
          <w:color w:val="auto"/>
        </w:rPr>
        <w:tab/>
      </w:r>
      <w:r>
        <w:rPr>
          <w:rFonts w:ascii="Courier New" w:cs="Courier New" w:eastAsia="Courier New" w:hAnsi="Courier New"/>
          <w:sz w:val="16"/>
          <w:szCs w:val="16"/>
          <w:color w:val="auto"/>
        </w:rPr>
        <w:t>5</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Paying Agent</w:t>
      </w:r>
      <w:r>
        <w:rPr>
          <w:sz w:val="20"/>
          <w:szCs w:val="20"/>
          <w:color w:val="auto"/>
        </w:rPr>
        <w:tab/>
      </w:r>
      <w:r>
        <w:rPr>
          <w:rFonts w:ascii="Courier New" w:cs="Courier New" w:eastAsia="Courier New" w:hAnsi="Courier New"/>
          <w:sz w:val="16"/>
          <w:szCs w:val="16"/>
          <w:color w:val="auto"/>
        </w:rPr>
        <w:t>5</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Person</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Place of Payment</w:t>
      </w:r>
      <w:r>
        <w:rPr>
          <w:sz w:val="20"/>
          <w:szCs w:val="20"/>
          <w:color w:val="auto"/>
        </w:rPr>
        <w:tab/>
      </w:r>
      <w:r>
        <w:rPr>
          <w:rFonts w:ascii="Courier New" w:cs="Courier New" w:eastAsia="Courier New" w:hAnsi="Courier New"/>
          <w:sz w:val="16"/>
          <w:szCs w:val="16"/>
          <w:color w:val="auto"/>
        </w:rPr>
        <w:t>6</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1440"/>
          </w:cols>
          <w:pgMar w:left="240" w:top="1224" w:right="219" w:bottom="1440" w:gutter="0" w:footer="0" w:header="0"/>
        </w:sectPr>
      </w:pPr>
    </w:p>
    <w:bookmarkStart w:id="105" w:name="page106"/>
    <w:bookmarkEnd w:id="105"/>
    <w:p>
      <w:pPr>
        <w:ind w:left="3080"/>
        <w:spacing w:after="0"/>
        <w:rPr>
          <w:sz w:val="20"/>
          <w:szCs w:val="20"/>
          <w:color w:val="auto"/>
        </w:rPr>
      </w:pPr>
      <w:r>
        <w:rPr>
          <w:rFonts w:ascii="Courier New" w:cs="Courier New" w:eastAsia="Courier New" w:hAnsi="Courier New"/>
          <w:sz w:val="16"/>
          <w:szCs w:val="16"/>
          <w:color w:val="auto"/>
        </w:rPr>
        <w:t>TABLE OF CONTENTS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373"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Predecessor Security</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Principal Property</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Redemption Date</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Redemption Price</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Regular Record Date</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Restricted Subsidiary</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Sale and Leaseback Transaction</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Securities</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Securities Act</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Security Register</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Security Registrar</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Special Record Date</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Stated Maturity</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Subsidiary</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Trust Indenture Act</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Trustee</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U.S. Government Obligation</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Vice President</w:t>
      </w:r>
      <w:r>
        <w:rPr>
          <w:sz w:val="20"/>
          <w:szCs w:val="20"/>
          <w:color w:val="auto"/>
        </w:rPr>
        <w:tab/>
      </w:r>
      <w:r>
        <w:rPr>
          <w:rFonts w:ascii="Courier New" w:cs="Courier New" w:eastAsia="Courier New" w:hAnsi="Courier New"/>
          <w:sz w:val="16"/>
          <w:szCs w:val="16"/>
          <w:color w:val="auto"/>
        </w:rPr>
        <w:t>7</w:t>
      </w:r>
    </w:p>
    <w:p>
      <w:pPr>
        <w:spacing w:after="0" w:line="188" w:lineRule="exact"/>
        <w:rPr>
          <w:sz w:val="20"/>
          <w:szCs w:val="20"/>
          <w:color w:val="auto"/>
        </w:rPr>
      </w:pPr>
    </w:p>
    <w:p>
      <w:pPr>
        <w:ind w:left="480"/>
        <w:spacing w:after="0"/>
        <w:tabs>
          <w:tab w:leader="none" w:pos="2380" w:val="left"/>
          <w:tab w:leader="dot" w:pos="1132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6"/>
          <w:szCs w:val="16"/>
          <w:color w:val="auto"/>
        </w:rPr>
        <w:t>Compliance Certificates and Opinions</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ind w:left="480"/>
        <w:spacing w:after="0"/>
        <w:tabs>
          <w:tab w:leader="none" w:pos="2380" w:val="left"/>
          <w:tab w:leader="dot" w:pos="11320" w:val="left"/>
        </w:tabs>
        <w:rPr>
          <w:sz w:val="20"/>
          <w:szCs w:val="20"/>
          <w:color w:val="auto"/>
        </w:rPr>
      </w:pPr>
      <w:r>
        <w:rPr>
          <w:rFonts w:ascii="Courier New" w:cs="Courier New" w:eastAsia="Courier New" w:hAnsi="Courier New"/>
          <w:sz w:val="16"/>
          <w:szCs w:val="16"/>
          <w:color w:val="auto"/>
        </w:rPr>
        <w:t>SECTION 103.</w:t>
      </w:r>
      <w:r>
        <w:rPr>
          <w:sz w:val="20"/>
          <w:szCs w:val="20"/>
          <w:color w:val="auto"/>
        </w:rPr>
        <w:tab/>
      </w:r>
      <w:r>
        <w:rPr>
          <w:rFonts w:ascii="Courier New" w:cs="Courier New" w:eastAsia="Courier New" w:hAnsi="Courier New"/>
          <w:sz w:val="16"/>
          <w:szCs w:val="16"/>
          <w:color w:val="auto"/>
        </w:rPr>
        <w:t>Form of Documents Delivered to Trustee</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ind w:left="480"/>
        <w:spacing w:after="0"/>
        <w:tabs>
          <w:tab w:leader="none" w:pos="2380" w:val="left"/>
          <w:tab w:leader="dot" w:pos="11320" w:val="left"/>
        </w:tabs>
        <w:rPr>
          <w:sz w:val="20"/>
          <w:szCs w:val="20"/>
          <w:color w:val="auto"/>
        </w:rPr>
      </w:pPr>
      <w:r>
        <w:rPr>
          <w:rFonts w:ascii="Courier New" w:cs="Courier New" w:eastAsia="Courier New" w:hAnsi="Courier New"/>
          <w:sz w:val="16"/>
          <w:szCs w:val="16"/>
          <w:color w:val="auto"/>
        </w:rPr>
        <w:t>SECTION 104.</w:t>
      </w:r>
      <w:r>
        <w:rPr>
          <w:sz w:val="20"/>
          <w:szCs w:val="20"/>
          <w:color w:val="auto"/>
        </w:rPr>
        <w:tab/>
      </w:r>
      <w:r>
        <w:rPr>
          <w:rFonts w:ascii="Courier New" w:cs="Courier New" w:eastAsia="Courier New" w:hAnsi="Courier New"/>
          <w:sz w:val="16"/>
          <w:szCs w:val="16"/>
          <w:color w:val="auto"/>
        </w:rPr>
        <w:t>Acts of Holders; Record Dates</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105.</w:t>
      </w:r>
      <w:r>
        <w:rPr>
          <w:sz w:val="20"/>
          <w:szCs w:val="20"/>
          <w:color w:val="auto"/>
        </w:rPr>
        <w:tab/>
      </w:r>
      <w:r>
        <w:rPr>
          <w:rFonts w:ascii="Courier New" w:cs="Courier New" w:eastAsia="Courier New" w:hAnsi="Courier New"/>
          <w:sz w:val="16"/>
          <w:szCs w:val="16"/>
          <w:color w:val="auto"/>
        </w:rPr>
        <w:t>Notices, Etc., to Trustee and Company</w:t>
      </w:r>
      <w:r>
        <w:rPr>
          <w:sz w:val="20"/>
          <w:szCs w:val="20"/>
          <w:color w:val="auto"/>
        </w:rPr>
        <w:tab/>
      </w:r>
      <w:r>
        <w:rPr>
          <w:rFonts w:ascii="Courier New" w:cs="Courier New" w:eastAsia="Courier New" w:hAnsi="Courier New"/>
          <w:sz w:val="16"/>
          <w:szCs w:val="16"/>
          <w:color w:val="auto"/>
        </w:rPr>
        <w:t>10</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106.</w:t>
      </w:r>
      <w:r>
        <w:rPr>
          <w:sz w:val="20"/>
          <w:szCs w:val="20"/>
          <w:color w:val="auto"/>
        </w:rPr>
        <w:tab/>
      </w:r>
      <w:r>
        <w:rPr>
          <w:rFonts w:ascii="Courier New" w:cs="Courier New" w:eastAsia="Courier New" w:hAnsi="Courier New"/>
          <w:sz w:val="16"/>
          <w:szCs w:val="16"/>
          <w:color w:val="auto"/>
        </w:rPr>
        <w:t>Notice to Holders; Waiver</w:t>
      </w:r>
      <w:r>
        <w:rPr>
          <w:sz w:val="20"/>
          <w:szCs w:val="20"/>
          <w:color w:val="auto"/>
        </w:rPr>
        <w:tab/>
      </w:r>
      <w:r>
        <w:rPr>
          <w:rFonts w:ascii="Courier New" w:cs="Courier New" w:eastAsia="Courier New" w:hAnsi="Courier New"/>
          <w:sz w:val="16"/>
          <w:szCs w:val="16"/>
          <w:color w:val="auto"/>
        </w:rPr>
        <w:t>10</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107.</w:t>
      </w:r>
      <w:r>
        <w:rPr>
          <w:sz w:val="20"/>
          <w:szCs w:val="20"/>
          <w:color w:val="auto"/>
        </w:rPr>
        <w:tab/>
      </w:r>
      <w:r>
        <w:rPr>
          <w:rFonts w:ascii="Courier New" w:cs="Courier New" w:eastAsia="Courier New" w:hAnsi="Courier New"/>
          <w:sz w:val="16"/>
          <w:szCs w:val="16"/>
          <w:color w:val="auto"/>
        </w:rPr>
        <w:t>Conflict with Trust Indenture Act</w:t>
      </w:r>
      <w:r>
        <w:rPr>
          <w:sz w:val="20"/>
          <w:szCs w:val="20"/>
          <w:color w:val="auto"/>
        </w:rPr>
        <w:tab/>
      </w:r>
      <w:r>
        <w:rPr>
          <w:rFonts w:ascii="Courier New" w:cs="Courier New" w:eastAsia="Courier New" w:hAnsi="Courier New"/>
          <w:sz w:val="16"/>
          <w:szCs w:val="16"/>
          <w:color w:val="auto"/>
        </w:rPr>
        <w:t>10</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108.</w:t>
      </w:r>
      <w:r>
        <w:rPr>
          <w:sz w:val="20"/>
          <w:szCs w:val="20"/>
          <w:color w:val="auto"/>
        </w:rPr>
        <w:tab/>
      </w:r>
      <w:r>
        <w:rPr>
          <w:rFonts w:ascii="Courier New" w:cs="Courier New" w:eastAsia="Courier New" w:hAnsi="Courier New"/>
          <w:sz w:val="16"/>
          <w:szCs w:val="16"/>
          <w:color w:val="auto"/>
        </w:rPr>
        <w:t>Effect of Headings and Table of Contents</w:t>
      </w:r>
      <w:r>
        <w:rPr>
          <w:sz w:val="20"/>
          <w:szCs w:val="20"/>
          <w:color w:val="auto"/>
        </w:rPr>
        <w:tab/>
      </w:r>
      <w:r>
        <w:rPr>
          <w:rFonts w:ascii="Courier New" w:cs="Courier New" w:eastAsia="Courier New" w:hAnsi="Courier New"/>
          <w:sz w:val="16"/>
          <w:szCs w:val="16"/>
          <w:color w:val="auto"/>
        </w:rPr>
        <w:t>11</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109.</w:t>
      </w:r>
      <w:r>
        <w:rPr>
          <w:sz w:val="20"/>
          <w:szCs w:val="20"/>
          <w:color w:val="auto"/>
        </w:rPr>
        <w:tab/>
      </w:r>
      <w:r>
        <w:rPr>
          <w:rFonts w:ascii="Courier New" w:cs="Courier New" w:eastAsia="Courier New" w:hAnsi="Courier New"/>
          <w:sz w:val="16"/>
          <w:szCs w:val="16"/>
          <w:color w:val="auto"/>
        </w:rPr>
        <w:t>Successors and Assigns</w:t>
      </w:r>
      <w:r>
        <w:rPr>
          <w:sz w:val="20"/>
          <w:szCs w:val="20"/>
          <w:color w:val="auto"/>
        </w:rPr>
        <w:tab/>
      </w:r>
      <w:r>
        <w:rPr>
          <w:rFonts w:ascii="Courier New" w:cs="Courier New" w:eastAsia="Courier New" w:hAnsi="Courier New"/>
          <w:sz w:val="16"/>
          <w:szCs w:val="16"/>
          <w:color w:val="auto"/>
        </w:rPr>
        <w:t>11</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110.</w:t>
      </w:r>
      <w:r>
        <w:rPr>
          <w:sz w:val="20"/>
          <w:szCs w:val="20"/>
          <w:color w:val="auto"/>
        </w:rPr>
        <w:tab/>
      </w:r>
      <w:r>
        <w:rPr>
          <w:rFonts w:ascii="Courier New" w:cs="Courier New" w:eastAsia="Courier New" w:hAnsi="Courier New"/>
          <w:sz w:val="16"/>
          <w:szCs w:val="16"/>
          <w:color w:val="auto"/>
        </w:rPr>
        <w:t>Separability Clause</w:t>
      </w:r>
      <w:r>
        <w:rPr>
          <w:sz w:val="20"/>
          <w:szCs w:val="20"/>
          <w:color w:val="auto"/>
        </w:rPr>
        <w:tab/>
      </w:r>
      <w:r>
        <w:rPr>
          <w:rFonts w:ascii="Courier New" w:cs="Courier New" w:eastAsia="Courier New" w:hAnsi="Courier New"/>
          <w:sz w:val="16"/>
          <w:szCs w:val="16"/>
          <w:color w:val="auto"/>
        </w:rPr>
        <w:t>11</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111.</w:t>
      </w:r>
      <w:r>
        <w:rPr>
          <w:sz w:val="20"/>
          <w:szCs w:val="20"/>
          <w:color w:val="auto"/>
        </w:rPr>
        <w:tab/>
      </w:r>
      <w:r>
        <w:rPr>
          <w:rFonts w:ascii="Courier New" w:cs="Courier New" w:eastAsia="Courier New" w:hAnsi="Courier New"/>
          <w:sz w:val="16"/>
          <w:szCs w:val="16"/>
          <w:color w:val="auto"/>
        </w:rPr>
        <w:t>Benefits of Indenture</w:t>
      </w:r>
      <w:r>
        <w:rPr>
          <w:sz w:val="20"/>
          <w:szCs w:val="20"/>
          <w:color w:val="auto"/>
        </w:rPr>
        <w:tab/>
      </w:r>
      <w:r>
        <w:rPr>
          <w:rFonts w:ascii="Courier New" w:cs="Courier New" w:eastAsia="Courier New" w:hAnsi="Courier New"/>
          <w:sz w:val="16"/>
          <w:szCs w:val="16"/>
          <w:color w:val="auto"/>
        </w:rPr>
        <w:t>11</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112.</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6"/>
          <w:szCs w:val="16"/>
          <w:color w:val="auto"/>
        </w:rPr>
        <w:t>11</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113.</w:t>
      </w:r>
      <w:r>
        <w:rPr>
          <w:sz w:val="20"/>
          <w:szCs w:val="20"/>
          <w:color w:val="auto"/>
        </w:rPr>
        <w:tab/>
      </w:r>
      <w:r>
        <w:rPr>
          <w:rFonts w:ascii="Courier New" w:cs="Courier New" w:eastAsia="Courier New" w:hAnsi="Courier New"/>
          <w:sz w:val="16"/>
          <w:szCs w:val="16"/>
          <w:color w:val="auto"/>
        </w:rPr>
        <w:t>Legal Holidays</w:t>
      </w:r>
      <w:r>
        <w:rPr>
          <w:sz w:val="20"/>
          <w:szCs w:val="20"/>
          <w:color w:val="auto"/>
        </w:rPr>
        <w:tab/>
      </w:r>
      <w:r>
        <w:rPr>
          <w:rFonts w:ascii="Courier New" w:cs="Courier New" w:eastAsia="Courier New" w:hAnsi="Courier New"/>
          <w:sz w:val="16"/>
          <w:szCs w:val="16"/>
          <w:color w:val="auto"/>
        </w:rPr>
        <w:t>11</w:t>
      </w:r>
    </w:p>
    <w:p>
      <w:pPr>
        <w:spacing w:after="0" w:line="188" w:lineRule="exact"/>
        <w:rPr>
          <w:sz w:val="20"/>
          <w:szCs w:val="20"/>
          <w:color w:val="auto"/>
        </w:rPr>
      </w:pPr>
    </w:p>
    <w:p>
      <w:pPr>
        <w:spacing w:after="0"/>
        <w:tabs>
          <w:tab w:leader="dot" w:pos="11220" w:val="left"/>
        </w:tabs>
        <w:rPr>
          <w:sz w:val="20"/>
          <w:szCs w:val="20"/>
          <w:color w:val="auto"/>
        </w:rPr>
      </w:pPr>
      <w:r>
        <w:rPr>
          <w:rFonts w:ascii="Courier New" w:cs="Courier New" w:eastAsia="Courier New" w:hAnsi="Courier New"/>
          <w:sz w:val="16"/>
          <w:szCs w:val="16"/>
          <w:color w:val="auto"/>
        </w:rPr>
        <w:t>ARTICLE TWO - SECURITY FORMS</w:t>
      </w:r>
      <w:r>
        <w:rPr>
          <w:sz w:val="20"/>
          <w:szCs w:val="20"/>
          <w:color w:val="auto"/>
        </w:rPr>
        <w:tab/>
      </w:r>
      <w:r>
        <w:rPr>
          <w:rFonts w:ascii="Courier New" w:cs="Courier New" w:eastAsia="Courier New" w:hAnsi="Courier New"/>
          <w:sz w:val="16"/>
          <w:szCs w:val="16"/>
          <w:color w:val="auto"/>
        </w:rPr>
        <w:t>12</w:t>
      </w:r>
    </w:p>
    <w:p>
      <w:pPr>
        <w:spacing w:after="0" w:line="188"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6"/>
          <w:szCs w:val="16"/>
          <w:color w:val="auto"/>
        </w:rPr>
        <w:t>Forms Generally</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6"/>
          <w:szCs w:val="16"/>
          <w:color w:val="auto"/>
        </w:rPr>
        <w:t>Form of Face of Security</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6"/>
          <w:szCs w:val="16"/>
          <w:color w:val="auto"/>
        </w:rPr>
        <w:t>Form of Reverse of Security</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204.</w:t>
      </w:r>
      <w:r>
        <w:rPr>
          <w:sz w:val="20"/>
          <w:szCs w:val="20"/>
          <w:color w:val="auto"/>
        </w:rPr>
        <w:tab/>
      </w:r>
      <w:r>
        <w:rPr>
          <w:rFonts w:ascii="Courier New" w:cs="Courier New" w:eastAsia="Courier New" w:hAnsi="Courier New"/>
          <w:sz w:val="16"/>
          <w:szCs w:val="16"/>
          <w:color w:val="auto"/>
        </w:rPr>
        <w:t>Form of Legend for Global Securities</w:t>
      </w:r>
      <w:r>
        <w:rPr>
          <w:sz w:val="20"/>
          <w:szCs w:val="20"/>
          <w:color w:val="auto"/>
        </w:rPr>
        <w:tab/>
      </w:r>
      <w:r>
        <w:rPr>
          <w:rFonts w:ascii="Courier New" w:cs="Courier New" w:eastAsia="Courier New" w:hAnsi="Courier New"/>
          <w:sz w:val="16"/>
          <w:szCs w:val="16"/>
          <w:color w:val="auto"/>
        </w:rPr>
        <w:t>17</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205.</w:t>
      </w:r>
      <w:r>
        <w:rPr>
          <w:sz w:val="20"/>
          <w:szCs w:val="20"/>
          <w:color w:val="auto"/>
        </w:rPr>
        <w:tab/>
      </w:r>
      <w:r>
        <w:rPr>
          <w:rFonts w:ascii="Courier New" w:cs="Courier New" w:eastAsia="Courier New" w:hAnsi="Courier New"/>
          <w:sz w:val="16"/>
          <w:szCs w:val="16"/>
          <w:color w:val="auto"/>
        </w:rPr>
        <w:t>Form of Trustee's Certificate of Authentication</w:t>
      </w:r>
      <w:r>
        <w:rPr>
          <w:sz w:val="20"/>
          <w:szCs w:val="20"/>
          <w:color w:val="auto"/>
        </w:rPr>
        <w:tab/>
      </w:r>
      <w:r>
        <w:rPr>
          <w:rFonts w:ascii="Courier New" w:cs="Courier New" w:eastAsia="Courier New" w:hAnsi="Courier New"/>
          <w:sz w:val="16"/>
          <w:szCs w:val="16"/>
          <w:color w:val="auto"/>
        </w:rPr>
        <w:t>18</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206.</w:t>
      </w:r>
      <w:r>
        <w:rPr>
          <w:sz w:val="20"/>
          <w:szCs w:val="20"/>
          <w:color w:val="auto"/>
        </w:rPr>
        <w:tab/>
      </w:r>
      <w:r>
        <w:rPr>
          <w:rFonts w:ascii="Courier New" w:cs="Courier New" w:eastAsia="Courier New" w:hAnsi="Courier New"/>
          <w:sz w:val="16"/>
          <w:szCs w:val="16"/>
          <w:color w:val="auto"/>
        </w:rPr>
        <w:t>Form of Conversion Notice</w:t>
      </w:r>
      <w:r>
        <w:rPr>
          <w:sz w:val="20"/>
          <w:szCs w:val="20"/>
          <w:color w:val="auto"/>
        </w:rPr>
        <w:tab/>
      </w:r>
      <w:r>
        <w:rPr>
          <w:rFonts w:ascii="Courier New" w:cs="Courier New" w:eastAsia="Courier New" w:hAnsi="Courier New"/>
          <w:sz w:val="16"/>
          <w:szCs w:val="16"/>
          <w:color w:val="auto"/>
        </w:rPr>
        <w:t>18</w:t>
      </w:r>
    </w:p>
    <w:p>
      <w:pPr>
        <w:spacing w:after="0" w:line="188" w:lineRule="exact"/>
        <w:rPr>
          <w:sz w:val="20"/>
          <w:szCs w:val="20"/>
          <w:color w:val="auto"/>
        </w:rPr>
      </w:pPr>
    </w:p>
    <w:p>
      <w:pPr>
        <w:spacing w:after="0"/>
        <w:tabs>
          <w:tab w:leader="dot" w:pos="11220" w:val="left"/>
        </w:tabs>
        <w:rPr>
          <w:sz w:val="20"/>
          <w:szCs w:val="20"/>
          <w:color w:val="auto"/>
        </w:rPr>
      </w:pPr>
      <w:r>
        <w:rPr>
          <w:rFonts w:ascii="Courier New" w:cs="Courier New" w:eastAsia="Courier New" w:hAnsi="Courier New"/>
          <w:sz w:val="16"/>
          <w:szCs w:val="16"/>
          <w:color w:val="auto"/>
        </w:rPr>
        <w:t>ARTICLE THREE - THE SECURITIES</w:t>
      </w:r>
      <w:r>
        <w:rPr>
          <w:sz w:val="20"/>
          <w:szCs w:val="20"/>
          <w:color w:val="auto"/>
        </w:rPr>
        <w:tab/>
      </w:r>
      <w:r>
        <w:rPr>
          <w:rFonts w:ascii="Courier New" w:cs="Courier New" w:eastAsia="Courier New" w:hAnsi="Courier New"/>
          <w:sz w:val="16"/>
          <w:szCs w:val="16"/>
          <w:color w:val="auto"/>
        </w:rPr>
        <w:t>19</w:t>
      </w:r>
    </w:p>
    <w:p>
      <w:pPr>
        <w:spacing w:after="0" w:line="188"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6"/>
          <w:szCs w:val="16"/>
          <w:color w:val="auto"/>
        </w:rPr>
        <w:t>Amount Unlimited; Issuable in Series</w:t>
      </w:r>
      <w:r>
        <w:rPr>
          <w:sz w:val="20"/>
          <w:szCs w:val="20"/>
          <w:color w:val="auto"/>
        </w:rPr>
        <w:tab/>
      </w:r>
      <w:r>
        <w:rPr>
          <w:rFonts w:ascii="Courier New" w:cs="Courier New" w:eastAsia="Courier New" w:hAnsi="Courier New"/>
          <w:sz w:val="16"/>
          <w:szCs w:val="16"/>
          <w:color w:val="auto"/>
        </w:rPr>
        <w:t>19</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1440"/>
          </w:cols>
          <w:pgMar w:left="240" w:top="669" w:right="219" w:bottom="1440" w:gutter="0" w:footer="0" w:header="0"/>
        </w:sectPr>
      </w:pPr>
    </w:p>
    <w:bookmarkStart w:id="106" w:name="page107"/>
    <w:bookmarkEnd w:id="106"/>
    <w:p>
      <w:pPr>
        <w:jc w:val="center"/>
        <w:ind w:right="3660"/>
        <w:spacing w:after="0"/>
        <w:rPr>
          <w:sz w:val="20"/>
          <w:szCs w:val="20"/>
          <w:color w:val="auto"/>
        </w:rPr>
      </w:pPr>
      <w:r>
        <w:rPr>
          <w:rFonts w:ascii="Courier New" w:cs="Courier New" w:eastAsia="Courier New" w:hAnsi="Courier New"/>
          <w:sz w:val="16"/>
          <w:szCs w:val="16"/>
          <w:color w:val="auto"/>
        </w:rPr>
        <w:t>TABLE OF CONTENTS</w:t>
      </w:r>
    </w:p>
    <w:p>
      <w:pPr>
        <w:spacing w:after="0" w:line="4"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6"/>
          <w:szCs w:val="16"/>
          <w:color w:val="auto"/>
        </w:rPr>
        <w:t>(continued)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Page</w:t>
            </w:r>
          </w:p>
        </w:tc>
      </w:tr>
      <w:tr>
        <w:trPr>
          <w:trHeight w:val="554"/>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302.</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Denominations...............................................................................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303.</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Execution, Authentication, Delivery and Dating..............................................</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304.</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Temporary Securities........................................................................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305.</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Registration; Registration of Transfer and Exchange.........................................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306.</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Mutilated, Destroyed, Lost and Stolen Securities............................................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307.</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Payment of Interest; Interest Rights Preserved..............................................</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308.</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Persons Deemed Owners.......................................................................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309.</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Cancellation................................................................................</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310.</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Computation of Interest.....................................................................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370"/>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8"/>
              </w:rPr>
              <w:t>ARTICLE FOUR</w:t>
            </w:r>
          </w:p>
        </w:tc>
        <w:tc>
          <w:tcPr>
            <w:tcW w:w="98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 SATISFACTION AND DISCHARGE............................................................................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370"/>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401.</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Satisfaction and Discharge of Indenture.....................................................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402.</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Application of Trust Money..................................................................</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370"/>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8"/>
              </w:rPr>
              <w:t>ARTICLE FIVE</w:t>
            </w:r>
          </w:p>
        </w:tc>
        <w:tc>
          <w:tcPr>
            <w:tcW w:w="98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 REMEDIES..............................................................................................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370"/>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501.</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Events of Default...........................................................................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502.</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Acceleration of Maturity; Rescission and Annulment..........................................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503.</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Collection of Indebtedness and Suits for Enforcement by Trustee.............................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504.</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Trustee May File Proofs of Claim............................................................</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505.</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Trustee May Enforce Claims Without Possession of Securities.................................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506.</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Application of Money Collected..............................................................</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507.</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Limitation on Suits.........................................................................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508.</w:t>
            </w:r>
          </w:p>
        </w:tc>
        <w:tc>
          <w:tcPr>
            <w:tcW w:w="8640" w:type="dxa"/>
            <w:vAlign w:val="bottom"/>
          </w:tcPr>
          <w:p>
            <w:pPr>
              <w:spacing w:after="0"/>
              <w:rPr>
                <w:sz w:val="20"/>
                <w:szCs w:val="20"/>
                <w:color w:val="auto"/>
              </w:rPr>
            </w:pPr>
            <w:r>
              <w:rPr>
                <w:rFonts w:ascii="Courier New" w:cs="Courier New" w:eastAsia="Courier New" w:hAnsi="Courier New"/>
                <w:sz w:val="16"/>
                <w:szCs w:val="16"/>
                <w:color w:val="auto"/>
              </w:rPr>
              <w:t>Unconditional Right of Holders to Receive Principal, Premium and Interest</w:t>
            </w:r>
          </w:p>
        </w:tc>
        <w:tc>
          <w:tcPr>
            <w:tcW w:w="400" w:type="dxa"/>
            <w:vAlign w:val="bottom"/>
          </w:tcPr>
          <w:p>
            <w:pPr>
              <w:spacing w:after="0"/>
              <w:rPr>
                <w:sz w:val="16"/>
                <w:szCs w:val="16"/>
                <w:color w:val="auto"/>
              </w:rPr>
            </w:pPr>
          </w:p>
        </w:tc>
      </w:tr>
      <w:tr>
        <w:trPr>
          <w:trHeight w:val="185"/>
        </w:trPr>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40" w:type="dxa"/>
            <w:vAlign w:val="bottom"/>
          </w:tcPr>
          <w:p>
            <w:pPr>
              <w:ind w:left="200"/>
              <w:spacing w:after="0"/>
              <w:rPr>
                <w:sz w:val="20"/>
                <w:szCs w:val="20"/>
                <w:color w:val="auto"/>
              </w:rPr>
            </w:pPr>
            <w:r>
              <w:rPr>
                <w:rFonts w:ascii="Courier New" w:cs="Courier New" w:eastAsia="Courier New" w:hAnsi="Courier New"/>
                <w:sz w:val="16"/>
                <w:szCs w:val="16"/>
                <w:color w:val="auto"/>
                <w:w w:val="97"/>
              </w:rPr>
              <w:t>and to Convert............................................................................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509.</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Restoration of Rights and Remedies..........................................................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510.</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Rights and Remedies Cumulative..............................................................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511.</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Delay or Omission Not Waiver................................................................</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512.</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Control by Holders..........................................................................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513.</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Waiver of Past Defaults.....................................................................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514.</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Undertaking for Costs.......................................................................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515.</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Waiver of Usury, Stay or Extension Laws.....................................................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370"/>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w w:val="99"/>
              </w:rPr>
              <w:t>ARTICLE SIX - THE TRUSTEE</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370"/>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601.</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Certain Duties and Responsibilities.........................................................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602.</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Notice of Defaults..........................................................................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603.</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Certain Rights of Trustee...................................................................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604.</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Not Responsible for Recitals or Issuance of Securities......................................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605.</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May Hold Securities and Act as Trustee Under Other Indentures...............................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606.</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Money Held in Trust.........................................................................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607.</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Compensation and Reimbursement..............................................................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608.</w:t>
            </w:r>
          </w:p>
        </w:tc>
        <w:tc>
          <w:tcPr>
            <w:tcW w:w="8640" w:type="dxa"/>
            <w:vAlign w:val="bottom"/>
          </w:tcPr>
          <w:p>
            <w:pPr>
              <w:spacing w:after="0"/>
              <w:rPr>
                <w:sz w:val="20"/>
                <w:szCs w:val="20"/>
                <w:color w:val="auto"/>
              </w:rPr>
            </w:pPr>
            <w:r>
              <w:rPr>
                <w:rFonts w:ascii="Courier New" w:cs="Courier New" w:eastAsia="Courier New" w:hAnsi="Courier New"/>
                <w:sz w:val="16"/>
                <w:szCs w:val="16"/>
                <w:color w:val="auto"/>
                <w:w w:val="97"/>
              </w:rPr>
              <w:t>Conflicting Interests.......................................................................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bl>
    <w:p>
      <w:pPr>
        <w:spacing w:after="0" w:line="37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1440"/>
          </w:cols>
          <w:pgMar w:left="240" w:top="669" w:right="219" w:bottom="1440" w:gutter="0" w:footer="0" w:header="0"/>
        </w:sectPr>
      </w:pPr>
    </w:p>
    <w:bookmarkStart w:id="107" w:name="page108"/>
    <w:bookmarkEnd w:id="107"/>
    <w:p>
      <w:pPr>
        <w:jc w:val="center"/>
        <w:ind w:right="3660"/>
        <w:spacing w:after="0"/>
        <w:rPr>
          <w:sz w:val="20"/>
          <w:szCs w:val="20"/>
          <w:color w:val="auto"/>
        </w:rPr>
      </w:pPr>
      <w:r>
        <w:rPr>
          <w:rFonts w:ascii="Courier New" w:cs="Courier New" w:eastAsia="Courier New" w:hAnsi="Courier New"/>
          <w:sz w:val="16"/>
          <w:szCs w:val="16"/>
          <w:color w:val="auto"/>
        </w:rPr>
        <w:t>TABLE OF CONTENTS</w:t>
      </w:r>
    </w:p>
    <w:p>
      <w:pPr>
        <w:spacing w:after="0" w:line="4"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6"/>
          <w:szCs w:val="16"/>
          <w:color w:val="auto"/>
        </w:rPr>
        <w:t>(continued)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Page</w:t>
            </w:r>
          </w:p>
        </w:tc>
      </w:tr>
      <w:tr>
        <w:trPr>
          <w:trHeight w:val="554"/>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609.</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Corporate Trustee Required; Eligibility.....................................................</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610.</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Resignation and Removal; Appointment of Successor...........................................</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611.</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Acceptance of Appointment by Successor......................................................</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612.</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Merger, Conversion, Consolidation or Succession to Business.................................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613.</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Preferential Collection of Claims Against Company...........................................</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614.</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Appointment of Authenticating Agent.........................................................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370"/>
        </w:trPr>
        <w:tc>
          <w:tcPr>
            <w:tcW w:w="2400" w:type="dxa"/>
            <w:vAlign w:val="bottom"/>
            <w:gridSpan w:val="2"/>
          </w:tcPr>
          <w:p>
            <w:pPr>
              <w:spacing w:after="0"/>
              <w:rPr>
                <w:sz w:val="20"/>
                <w:szCs w:val="20"/>
                <w:color w:val="auto"/>
              </w:rPr>
            </w:pPr>
            <w:r>
              <w:rPr>
                <w:rFonts w:ascii="Courier New" w:cs="Courier New" w:eastAsia="Courier New" w:hAnsi="Courier New"/>
                <w:sz w:val="16"/>
                <w:szCs w:val="16"/>
                <w:color w:val="auto"/>
              </w:rPr>
              <w:t>ARTICLE SEVEN - HOLDERS'</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LISTS AND REPORTS BY TRUSTEE AND COMPANY....................................................</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370"/>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701.</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Company to Furnish Trustee Names and Addresses of Holders...................................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702.</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Preservation of Information; Communications to Holders......................................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703.</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Reports by Trustee..........................................................................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704.</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Reports by Company..........................................................................</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370"/>
        </w:trPr>
        <w:tc>
          <w:tcPr>
            <w:tcW w:w="110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ARTICLE EIGHT - CONSOLIDATION, MERGER, CONVEYANCE, TRANSFER OR LEASE.................................................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370"/>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801.</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Company May Consolidate, Etc., Only on Certain Terms........................................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802.</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Successor Substituted.......................................................................</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370"/>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w w:val="98"/>
              </w:rPr>
              <w:t>ARTICLE NINE</w:t>
            </w:r>
          </w:p>
        </w:tc>
        <w:tc>
          <w:tcPr>
            <w:tcW w:w="9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 SUPPLEMENTAL INDENTURES...............................................................................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370"/>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901.</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Supplemental Indentures Without Consent of Holders..........................................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902.</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Supplemental Indentures With Consent of Holders.............................................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903.</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Execution of Supplemental Indentures........................................................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904.</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Effect of Supplemental Indentures...........................................................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905.</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Conformity with Trust Indenture Act.........................................................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906.</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Reference in Securities to Supplemental Indentures..........................................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370"/>
        </w:trPr>
        <w:tc>
          <w:tcPr>
            <w:tcW w:w="110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ARTICLE TEN - COVENANTS..............................................................................................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370"/>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1001.</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Payment of Principal, Premium and Interest..................................................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1002.</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Maintenance of Office or Agency.............................................................</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1003.</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Money for Securities Payments to Be Held in Trust...........................................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1004.</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Statement by Officers as to Default.........................................................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1005.</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Existence...................................................................................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1006.</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Maintenance of Properties...................................................................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1007.</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Payment of Taxes and Other Claims...........................................................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1008.</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Limitation on Liens.........................................................................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1009.</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Limitations on Sale and Leaseback Transactions..............................................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5"/>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1010.</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Waiver of Certain Covenants.................................................................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370"/>
        </w:trPr>
        <w:tc>
          <w:tcPr>
            <w:tcW w:w="110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ARTICLE ELEVEN - REDEMPTION OF SECURITIES............................................................................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370"/>
        </w:trPr>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1101.</w:t>
            </w:r>
          </w:p>
        </w:tc>
        <w:tc>
          <w:tcPr>
            <w:tcW w:w="8640" w:type="dxa"/>
            <w:vAlign w:val="bottom"/>
          </w:tcPr>
          <w:p>
            <w:pPr>
              <w:jc w:val="right"/>
              <w:spacing w:after="0"/>
              <w:rPr>
                <w:sz w:val="20"/>
                <w:szCs w:val="20"/>
                <w:color w:val="auto"/>
              </w:rPr>
            </w:pPr>
            <w:r>
              <w:rPr>
                <w:rFonts w:ascii="Courier New" w:cs="Courier New" w:eastAsia="Courier New" w:hAnsi="Courier New"/>
                <w:sz w:val="16"/>
                <w:szCs w:val="16"/>
                <w:color w:val="auto"/>
                <w:w w:val="97"/>
              </w:rPr>
              <w:t>Applicability of Article....................................................................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bl>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1440"/>
          </w:cols>
          <w:pgMar w:left="240" w:top="669" w:right="219" w:bottom="1440" w:gutter="0" w:footer="0" w:header="0"/>
        </w:sectPr>
      </w:pPr>
    </w:p>
    <w:bookmarkStart w:id="108" w:name="page109"/>
    <w:bookmarkEnd w:id="108"/>
    <w:p>
      <w:pPr>
        <w:ind w:left="3080"/>
        <w:spacing w:after="0"/>
        <w:rPr>
          <w:sz w:val="20"/>
          <w:szCs w:val="20"/>
          <w:color w:val="auto"/>
        </w:rPr>
      </w:pPr>
      <w:r>
        <w:rPr>
          <w:rFonts w:ascii="Courier New" w:cs="Courier New" w:eastAsia="Courier New" w:hAnsi="Courier New"/>
          <w:sz w:val="16"/>
          <w:szCs w:val="16"/>
          <w:color w:val="auto"/>
        </w:rPr>
        <w:t>TABLE OF CONTENTS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(continued)</w:t>
      </w:r>
    </w:p>
    <w:p>
      <w:pPr>
        <w:spacing w:after="0" w:line="373"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373"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1102.</w:t>
      </w:r>
      <w:r>
        <w:rPr>
          <w:sz w:val="20"/>
          <w:szCs w:val="20"/>
          <w:color w:val="auto"/>
        </w:rPr>
        <w:tab/>
      </w:r>
      <w:r>
        <w:rPr>
          <w:rFonts w:ascii="Courier New" w:cs="Courier New" w:eastAsia="Courier New" w:hAnsi="Courier New"/>
          <w:sz w:val="16"/>
          <w:szCs w:val="16"/>
          <w:color w:val="auto"/>
        </w:rPr>
        <w:t>Election to Redeem; Notice to Trustee</w:t>
      </w:r>
      <w:r>
        <w:rPr>
          <w:sz w:val="20"/>
          <w:szCs w:val="20"/>
          <w:color w:val="auto"/>
        </w:rPr>
        <w:tab/>
      </w:r>
      <w:r>
        <w:rPr>
          <w:rFonts w:ascii="Courier New" w:cs="Courier New" w:eastAsia="Courier New" w:hAnsi="Courier New"/>
          <w:sz w:val="16"/>
          <w:szCs w:val="16"/>
          <w:color w:val="auto"/>
        </w:rPr>
        <w:t>48</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1103.</w:t>
      </w:r>
      <w:r>
        <w:rPr>
          <w:sz w:val="20"/>
          <w:szCs w:val="20"/>
          <w:color w:val="auto"/>
        </w:rPr>
        <w:tab/>
      </w:r>
      <w:r>
        <w:rPr>
          <w:rFonts w:ascii="Courier New" w:cs="Courier New" w:eastAsia="Courier New" w:hAnsi="Courier New"/>
          <w:sz w:val="16"/>
          <w:szCs w:val="16"/>
          <w:color w:val="auto"/>
        </w:rPr>
        <w:t>Selection by Trustee of Securities to Be Redeemed</w:t>
      </w:r>
      <w:r>
        <w:rPr>
          <w:sz w:val="20"/>
          <w:szCs w:val="20"/>
          <w:color w:val="auto"/>
        </w:rPr>
        <w:tab/>
      </w:r>
      <w:r>
        <w:rPr>
          <w:rFonts w:ascii="Courier New" w:cs="Courier New" w:eastAsia="Courier New" w:hAnsi="Courier New"/>
          <w:sz w:val="16"/>
          <w:szCs w:val="16"/>
          <w:color w:val="auto"/>
        </w:rPr>
        <w:t>48</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1104.</w:t>
      </w:r>
      <w:r>
        <w:rPr>
          <w:sz w:val="20"/>
          <w:szCs w:val="20"/>
          <w:color w:val="auto"/>
        </w:rPr>
        <w:tab/>
      </w:r>
      <w:r>
        <w:rPr>
          <w:rFonts w:ascii="Courier New" w:cs="Courier New" w:eastAsia="Courier New" w:hAnsi="Courier New"/>
          <w:sz w:val="16"/>
          <w:szCs w:val="16"/>
          <w:color w:val="auto"/>
        </w:rPr>
        <w:t>Notice of Redemption</w:t>
      </w:r>
      <w:r>
        <w:rPr>
          <w:sz w:val="20"/>
          <w:szCs w:val="20"/>
          <w:color w:val="auto"/>
        </w:rPr>
        <w:tab/>
      </w:r>
      <w:r>
        <w:rPr>
          <w:rFonts w:ascii="Courier New" w:cs="Courier New" w:eastAsia="Courier New" w:hAnsi="Courier New"/>
          <w:sz w:val="16"/>
          <w:szCs w:val="16"/>
          <w:color w:val="auto"/>
        </w:rPr>
        <w:t>49</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1105.</w:t>
      </w:r>
      <w:r>
        <w:rPr>
          <w:sz w:val="20"/>
          <w:szCs w:val="20"/>
          <w:color w:val="auto"/>
        </w:rPr>
        <w:tab/>
      </w:r>
      <w:r>
        <w:rPr>
          <w:rFonts w:ascii="Courier New" w:cs="Courier New" w:eastAsia="Courier New" w:hAnsi="Courier New"/>
          <w:sz w:val="16"/>
          <w:szCs w:val="16"/>
          <w:color w:val="auto"/>
        </w:rPr>
        <w:t>Deposit of Redemption Price</w:t>
      </w:r>
      <w:r>
        <w:rPr>
          <w:sz w:val="20"/>
          <w:szCs w:val="20"/>
          <w:color w:val="auto"/>
        </w:rPr>
        <w:tab/>
      </w:r>
      <w:r>
        <w:rPr>
          <w:rFonts w:ascii="Courier New" w:cs="Courier New" w:eastAsia="Courier New" w:hAnsi="Courier New"/>
          <w:sz w:val="16"/>
          <w:szCs w:val="16"/>
          <w:color w:val="auto"/>
        </w:rPr>
        <w:t>50</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1106.</w:t>
      </w:r>
      <w:r>
        <w:rPr>
          <w:sz w:val="20"/>
          <w:szCs w:val="20"/>
          <w:color w:val="auto"/>
        </w:rPr>
        <w:tab/>
      </w:r>
      <w:r>
        <w:rPr>
          <w:rFonts w:ascii="Courier New" w:cs="Courier New" w:eastAsia="Courier New" w:hAnsi="Courier New"/>
          <w:sz w:val="16"/>
          <w:szCs w:val="16"/>
          <w:color w:val="auto"/>
        </w:rPr>
        <w:t>Securities Payable on Redemption Date</w:t>
      </w:r>
      <w:r>
        <w:rPr>
          <w:sz w:val="20"/>
          <w:szCs w:val="20"/>
          <w:color w:val="auto"/>
        </w:rPr>
        <w:tab/>
      </w:r>
      <w:r>
        <w:rPr>
          <w:rFonts w:ascii="Courier New" w:cs="Courier New" w:eastAsia="Courier New" w:hAnsi="Courier New"/>
          <w:sz w:val="16"/>
          <w:szCs w:val="16"/>
          <w:color w:val="auto"/>
        </w:rPr>
        <w:t>50</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1107.</w:t>
      </w:r>
      <w:r>
        <w:rPr>
          <w:sz w:val="20"/>
          <w:szCs w:val="20"/>
          <w:color w:val="auto"/>
        </w:rPr>
        <w:tab/>
      </w:r>
      <w:r>
        <w:rPr>
          <w:rFonts w:ascii="Courier New" w:cs="Courier New" w:eastAsia="Courier New" w:hAnsi="Courier New"/>
          <w:sz w:val="16"/>
          <w:szCs w:val="16"/>
          <w:color w:val="auto"/>
        </w:rPr>
        <w:t>Securities Redeemed in Part</w:t>
      </w:r>
      <w:r>
        <w:rPr>
          <w:sz w:val="20"/>
          <w:szCs w:val="20"/>
          <w:color w:val="auto"/>
        </w:rPr>
        <w:tab/>
      </w:r>
      <w:r>
        <w:rPr>
          <w:rFonts w:ascii="Courier New" w:cs="Courier New" w:eastAsia="Courier New" w:hAnsi="Courier New"/>
          <w:sz w:val="16"/>
          <w:szCs w:val="16"/>
          <w:color w:val="auto"/>
        </w:rPr>
        <w:t>50</w:t>
      </w:r>
    </w:p>
    <w:p>
      <w:pPr>
        <w:spacing w:after="0" w:line="188" w:lineRule="exact"/>
        <w:rPr>
          <w:sz w:val="20"/>
          <w:szCs w:val="20"/>
          <w:color w:val="auto"/>
        </w:rPr>
      </w:pPr>
    </w:p>
    <w:p>
      <w:pPr>
        <w:spacing w:after="0"/>
        <w:tabs>
          <w:tab w:leader="dot" w:pos="11220" w:val="left"/>
        </w:tabs>
        <w:rPr>
          <w:sz w:val="20"/>
          <w:szCs w:val="20"/>
          <w:color w:val="auto"/>
        </w:rPr>
      </w:pPr>
      <w:r>
        <w:rPr>
          <w:rFonts w:ascii="Courier New" w:cs="Courier New" w:eastAsia="Courier New" w:hAnsi="Courier New"/>
          <w:sz w:val="16"/>
          <w:szCs w:val="16"/>
          <w:color w:val="auto"/>
        </w:rPr>
        <w:t>ARTICLE TWELVE - SINKING FUNDS</w:t>
      </w:r>
      <w:r>
        <w:rPr>
          <w:sz w:val="20"/>
          <w:szCs w:val="20"/>
          <w:color w:val="auto"/>
        </w:rPr>
        <w:tab/>
      </w:r>
      <w:r>
        <w:rPr>
          <w:rFonts w:ascii="Courier New" w:cs="Courier New" w:eastAsia="Courier New" w:hAnsi="Courier New"/>
          <w:sz w:val="16"/>
          <w:szCs w:val="16"/>
          <w:color w:val="auto"/>
        </w:rPr>
        <w:t>51</w:t>
      </w:r>
    </w:p>
    <w:p>
      <w:pPr>
        <w:spacing w:after="0" w:line="188"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1201.</w:t>
      </w:r>
      <w:r>
        <w:rPr>
          <w:sz w:val="20"/>
          <w:szCs w:val="20"/>
          <w:color w:val="auto"/>
        </w:rPr>
        <w:tab/>
      </w:r>
      <w:r>
        <w:rPr>
          <w:rFonts w:ascii="Courier New" w:cs="Courier New" w:eastAsia="Courier New" w:hAnsi="Courier New"/>
          <w:sz w:val="16"/>
          <w:szCs w:val="16"/>
          <w:color w:val="auto"/>
        </w:rPr>
        <w:t>Applicability of Article</w:t>
      </w:r>
      <w:r>
        <w:rPr>
          <w:sz w:val="20"/>
          <w:szCs w:val="20"/>
          <w:color w:val="auto"/>
        </w:rPr>
        <w:tab/>
      </w:r>
      <w:r>
        <w:rPr>
          <w:rFonts w:ascii="Courier New" w:cs="Courier New" w:eastAsia="Courier New" w:hAnsi="Courier New"/>
          <w:sz w:val="16"/>
          <w:szCs w:val="16"/>
          <w:color w:val="auto"/>
        </w:rPr>
        <w:t>51</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1202.</w:t>
      </w:r>
      <w:r>
        <w:rPr>
          <w:sz w:val="20"/>
          <w:szCs w:val="20"/>
          <w:color w:val="auto"/>
        </w:rPr>
        <w:tab/>
      </w:r>
      <w:r>
        <w:rPr>
          <w:rFonts w:ascii="Courier New" w:cs="Courier New" w:eastAsia="Courier New" w:hAnsi="Courier New"/>
          <w:sz w:val="16"/>
          <w:szCs w:val="16"/>
          <w:color w:val="auto"/>
        </w:rPr>
        <w:t>Satisfaction of Sinking Fund Payments with Securities</w:t>
      </w:r>
      <w:r>
        <w:rPr>
          <w:sz w:val="20"/>
          <w:szCs w:val="20"/>
          <w:color w:val="auto"/>
        </w:rPr>
        <w:tab/>
      </w:r>
      <w:r>
        <w:rPr>
          <w:rFonts w:ascii="Courier New" w:cs="Courier New" w:eastAsia="Courier New" w:hAnsi="Courier New"/>
          <w:sz w:val="16"/>
          <w:szCs w:val="16"/>
          <w:color w:val="auto"/>
        </w:rPr>
        <w:t>51</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1203.</w:t>
      </w:r>
      <w:r>
        <w:rPr>
          <w:sz w:val="20"/>
          <w:szCs w:val="20"/>
          <w:color w:val="auto"/>
        </w:rPr>
        <w:tab/>
      </w:r>
      <w:r>
        <w:rPr>
          <w:rFonts w:ascii="Courier New" w:cs="Courier New" w:eastAsia="Courier New" w:hAnsi="Courier New"/>
          <w:sz w:val="16"/>
          <w:szCs w:val="16"/>
          <w:color w:val="auto"/>
        </w:rPr>
        <w:t>Redemption of Securities for Sinking Fund</w:t>
      </w:r>
      <w:r>
        <w:rPr>
          <w:sz w:val="20"/>
          <w:szCs w:val="20"/>
          <w:color w:val="auto"/>
        </w:rPr>
        <w:tab/>
      </w:r>
      <w:r>
        <w:rPr>
          <w:rFonts w:ascii="Courier New" w:cs="Courier New" w:eastAsia="Courier New" w:hAnsi="Courier New"/>
          <w:sz w:val="16"/>
          <w:szCs w:val="16"/>
          <w:color w:val="auto"/>
        </w:rPr>
        <w:t>51</w:t>
      </w:r>
    </w:p>
    <w:p>
      <w:pPr>
        <w:spacing w:after="0" w:line="188" w:lineRule="exact"/>
        <w:rPr>
          <w:sz w:val="20"/>
          <w:szCs w:val="20"/>
          <w:color w:val="auto"/>
        </w:rPr>
      </w:pPr>
    </w:p>
    <w:p>
      <w:pPr>
        <w:spacing w:after="0"/>
        <w:tabs>
          <w:tab w:leader="dot" w:pos="11220" w:val="left"/>
        </w:tabs>
        <w:rPr>
          <w:sz w:val="20"/>
          <w:szCs w:val="20"/>
          <w:color w:val="auto"/>
        </w:rPr>
      </w:pPr>
      <w:r>
        <w:rPr>
          <w:rFonts w:ascii="Courier New" w:cs="Courier New" w:eastAsia="Courier New" w:hAnsi="Courier New"/>
          <w:sz w:val="16"/>
          <w:szCs w:val="16"/>
          <w:color w:val="auto"/>
        </w:rPr>
        <w:t>ARTICLE THIRTEEN - DEFEASANCE AND COVENANT DEFEASANCE</w:t>
      </w:r>
      <w:r>
        <w:rPr>
          <w:sz w:val="20"/>
          <w:szCs w:val="20"/>
          <w:color w:val="auto"/>
        </w:rPr>
        <w:tab/>
      </w:r>
      <w:r>
        <w:rPr>
          <w:rFonts w:ascii="Courier New" w:cs="Courier New" w:eastAsia="Courier New" w:hAnsi="Courier New"/>
          <w:sz w:val="16"/>
          <w:szCs w:val="16"/>
          <w:color w:val="auto"/>
        </w:rPr>
        <w:t>52</w:t>
      </w:r>
    </w:p>
    <w:p>
      <w:pPr>
        <w:spacing w:after="0" w:line="188"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1301.</w:t>
      </w:r>
      <w:r>
        <w:rPr>
          <w:sz w:val="20"/>
          <w:szCs w:val="20"/>
          <w:color w:val="auto"/>
        </w:rPr>
        <w:tab/>
      </w:r>
      <w:r>
        <w:rPr>
          <w:rFonts w:ascii="Courier New" w:cs="Courier New" w:eastAsia="Courier New" w:hAnsi="Courier New"/>
          <w:sz w:val="16"/>
          <w:szCs w:val="16"/>
          <w:color w:val="auto"/>
        </w:rPr>
        <w:t>Company's Option to Effect Defeasance or Covenant Defeasance</w:t>
      </w:r>
      <w:r>
        <w:rPr>
          <w:sz w:val="20"/>
          <w:szCs w:val="20"/>
          <w:color w:val="auto"/>
        </w:rPr>
        <w:tab/>
      </w:r>
      <w:r>
        <w:rPr>
          <w:rFonts w:ascii="Courier New" w:cs="Courier New" w:eastAsia="Courier New" w:hAnsi="Courier New"/>
          <w:sz w:val="16"/>
          <w:szCs w:val="16"/>
          <w:color w:val="auto"/>
        </w:rPr>
        <w:t>52</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1302.</w:t>
      </w:r>
      <w:r>
        <w:rPr>
          <w:sz w:val="20"/>
          <w:szCs w:val="20"/>
          <w:color w:val="auto"/>
        </w:rPr>
        <w:tab/>
      </w:r>
      <w:r>
        <w:rPr>
          <w:rFonts w:ascii="Courier New" w:cs="Courier New" w:eastAsia="Courier New" w:hAnsi="Courier New"/>
          <w:sz w:val="16"/>
          <w:szCs w:val="16"/>
          <w:color w:val="auto"/>
        </w:rPr>
        <w:t>Defeasance and Discharge</w:t>
      </w:r>
      <w:r>
        <w:rPr>
          <w:sz w:val="20"/>
          <w:szCs w:val="20"/>
          <w:color w:val="auto"/>
        </w:rPr>
        <w:tab/>
      </w:r>
      <w:r>
        <w:rPr>
          <w:rFonts w:ascii="Courier New" w:cs="Courier New" w:eastAsia="Courier New" w:hAnsi="Courier New"/>
          <w:sz w:val="16"/>
          <w:szCs w:val="16"/>
          <w:color w:val="auto"/>
        </w:rPr>
        <w:t>52</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1303.</w:t>
      </w:r>
      <w:r>
        <w:rPr>
          <w:sz w:val="20"/>
          <w:szCs w:val="20"/>
          <w:color w:val="auto"/>
        </w:rPr>
        <w:tab/>
      </w:r>
      <w:r>
        <w:rPr>
          <w:rFonts w:ascii="Courier New" w:cs="Courier New" w:eastAsia="Courier New" w:hAnsi="Courier New"/>
          <w:sz w:val="16"/>
          <w:szCs w:val="16"/>
          <w:color w:val="auto"/>
        </w:rPr>
        <w:t>Covenant Defeasance</w:t>
      </w:r>
      <w:r>
        <w:rPr>
          <w:sz w:val="20"/>
          <w:szCs w:val="20"/>
          <w:color w:val="auto"/>
        </w:rPr>
        <w:tab/>
      </w:r>
      <w:r>
        <w:rPr>
          <w:rFonts w:ascii="Courier New" w:cs="Courier New" w:eastAsia="Courier New" w:hAnsi="Courier New"/>
          <w:sz w:val="16"/>
          <w:szCs w:val="16"/>
          <w:color w:val="auto"/>
        </w:rPr>
        <w:t>52</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1304.</w:t>
      </w:r>
      <w:r>
        <w:rPr>
          <w:sz w:val="20"/>
          <w:szCs w:val="20"/>
          <w:color w:val="auto"/>
        </w:rPr>
        <w:tab/>
      </w:r>
      <w:r>
        <w:rPr>
          <w:rFonts w:ascii="Courier New" w:cs="Courier New" w:eastAsia="Courier New" w:hAnsi="Courier New"/>
          <w:sz w:val="16"/>
          <w:szCs w:val="16"/>
          <w:color w:val="auto"/>
        </w:rPr>
        <w:t>Conditions to Defeasance or Covenant Defeasance</w:t>
      </w:r>
      <w:r>
        <w:rPr>
          <w:sz w:val="20"/>
          <w:szCs w:val="20"/>
          <w:color w:val="auto"/>
        </w:rPr>
        <w:tab/>
      </w:r>
      <w:r>
        <w:rPr>
          <w:rFonts w:ascii="Courier New" w:cs="Courier New" w:eastAsia="Courier New" w:hAnsi="Courier New"/>
          <w:sz w:val="16"/>
          <w:szCs w:val="16"/>
          <w:color w:val="auto"/>
        </w:rPr>
        <w:t>53</w:t>
      </w:r>
    </w:p>
    <w:p>
      <w:pPr>
        <w:spacing w:after="0" w:line="4" w:lineRule="exact"/>
        <w:rPr>
          <w:sz w:val="20"/>
          <w:szCs w:val="20"/>
          <w:color w:val="auto"/>
        </w:rPr>
      </w:pPr>
    </w:p>
    <w:p>
      <w:pPr>
        <w:ind w:left="480"/>
        <w:spacing w:after="0"/>
        <w:tabs>
          <w:tab w:leader="none" w:pos="2380" w:val="left"/>
        </w:tabs>
        <w:rPr>
          <w:sz w:val="20"/>
          <w:szCs w:val="20"/>
          <w:color w:val="auto"/>
        </w:rPr>
      </w:pPr>
      <w:r>
        <w:rPr>
          <w:rFonts w:ascii="Courier New" w:cs="Courier New" w:eastAsia="Courier New" w:hAnsi="Courier New"/>
          <w:sz w:val="16"/>
          <w:szCs w:val="16"/>
          <w:color w:val="auto"/>
        </w:rPr>
        <w:t>SECTION 1305.</w:t>
      </w:r>
      <w:r>
        <w:rPr>
          <w:sz w:val="20"/>
          <w:szCs w:val="20"/>
          <w:color w:val="auto"/>
        </w:rPr>
        <w:tab/>
      </w:r>
      <w:r>
        <w:rPr>
          <w:rFonts w:ascii="Courier New" w:cs="Courier New" w:eastAsia="Courier New" w:hAnsi="Courier New"/>
          <w:sz w:val="16"/>
          <w:szCs w:val="16"/>
          <w:color w:val="auto"/>
        </w:rPr>
        <w:t>Deposited Money and U.S. Government Obligations to Be Held in Trust;</w:t>
      </w:r>
    </w:p>
    <w:p>
      <w:pPr>
        <w:spacing w:after="0" w:line="4" w:lineRule="exact"/>
        <w:rPr>
          <w:sz w:val="20"/>
          <w:szCs w:val="20"/>
          <w:color w:val="auto"/>
        </w:rPr>
      </w:pPr>
    </w:p>
    <w:p>
      <w:pPr>
        <w:jc w:val="right"/>
        <w:spacing w:after="0"/>
        <w:tabs>
          <w:tab w:leader="dot" w:pos="180" w:val="left"/>
        </w:tabs>
        <w:rPr>
          <w:sz w:val="20"/>
          <w:szCs w:val="20"/>
          <w:color w:val="auto"/>
        </w:rPr>
      </w:pPr>
      <w:r>
        <w:rPr>
          <w:rFonts w:ascii="Courier New" w:cs="Courier New" w:eastAsia="Courier New" w:hAnsi="Courier New"/>
          <w:sz w:val="16"/>
          <w:szCs w:val="16"/>
          <w:color w:val="auto"/>
        </w:rPr>
        <w:t>Miscellaneous Provisions</w:t>
      </w:r>
      <w:r>
        <w:rPr>
          <w:sz w:val="20"/>
          <w:szCs w:val="20"/>
          <w:color w:val="auto"/>
        </w:rPr>
        <w:tab/>
      </w:r>
      <w:r>
        <w:rPr>
          <w:rFonts w:ascii="Courier New" w:cs="Courier New" w:eastAsia="Courier New" w:hAnsi="Courier New"/>
          <w:sz w:val="16"/>
          <w:szCs w:val="16"/>
          <w:color w:val="auto"/>
        </w:rPr>
        <w:t>54</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1306.</w:t>
      </w:r>
      <w:r>
        <w:rPr>
          <w:sz w:val="20"/>
          <w:szCs w:val="20"/>
          <w:color w:val="auto"/>
        </w:rPr>
        <w:tab/>
      </w:r>
      <w:r>
        <w:rPr>
          <w:rFonts w:ascii="Courier New" w:cs="Courier New" w:eastAsia="Courier New" w:hAnsi="Courier New"/>
          <w:sz w:val="16"/>
          <w:szCs w:val="16"/>
          <w:color w:val="auto"/>
        </w:rPr>
        <w:t>Reinstatement</w:t>
      </w:r>
      <w:r>
        <w:rPr>
          <w:sz w:val="20"/>
          <w:szCs w:val="20"/>
          <w:color w:val="auto"/>
        </w:rPr>
        <w:tab/>
      </w:r>
      <w:r>
        <w:rPr>
          <w:rFonts w:ascii="Courier New" w:cs="Courier New" w:eastAsia="Courier New" w:hAnsi="Courier New"/>
          <w:sz w:val="16"/>
          <w:szCs w:val="16"/>
          <w:color w:val="auto"/>
        </w:rPr>
        <w:t>54</w:t>
      </w:r>
    </w:p>
    <w:p>
      <w:pPr>
        <w:spacing w:after="0" w:line="188" w:lineRule="exact"/>
        <w:rPr>
          <w:sz w:val="20"/>
          <w:szCs w:val="20"/>
          <w:color w:val="auto"/>
        </w:rPr>
      </w:pPr>
    </w:p>
    <w:p>
      <w:pPr>
        <w:spacing w:after="0"/>
        <w:tabs>
          <w:tab w:leader="dot" w:pos="11220" w:val="left"/>
        </w:tabs>
        <w:rPr>
          <w:sz w:val="20"/>
          <w:szCs w:val="20"/>
          <w:color w:val="auto"/>
        </w:rPr>
      </w:pPr>
      <w:r>
        <w:rPr>
          <w:rFonts w:ascii="Courier New" w:cs="Courier New" w:eastAsia="Courier New" w:hAnsi="Courier New"/>
          <w:sz w:val="16"/>
          <w:szCs w:val="16"/>
          <w:color w:val="auto"/>
        </w:rPr>
        <w:t>ARTICLE FOURTEEN - CONVERSION OF SECURITIES</w:t>
      </w:r>
      <w:r>
        <w:rPr>
          <w:sz w:val="20"/>
          <w:szCs w:val="20"/>
          <w:color w:val="auto"/>
        </w:rPr>
        <w:tab/>
      </w:r>
      <w:r>
        <w:rPr>
          <w:rFonts w:ascii="Courier New" w:cs="Courier New" w:eastAsia="Courier New" w:hAnsi="Courier New"/>
          <w:sz w:val="16"/>
          <w:szCs w:val="16"/>
          <w:color w:val="auto"/>
        </w:rPr>
        <w:t>55</w:t>
      </w:r>
    </w:p>
    <w:p>
      <w:pPr>
        <w:spacing w:after="0" w:line="188"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1401.</w:t>
      </w:r>
      <w:r>
        <w:rPr>
          <w:sz w:val="20"/>
          <w:szCs w:val="20"/>
          <w:color w:val="auto"/>
        </w:rPr>
        <w:tab/>
      </w:r>
      <w:r>
        <w:rPr>
          <w:rFonts w:ascii="Courier New" w:cs="Courier New" w:eastAsia="Courier New" w:hAnsi="Courier New"/>
          <w:sz w:val="16"/>
          <w:szCs w:val="16"/>
          <w:color w:val="auto"/>
        </w:rPr>
        <w:t>Applicability of Article</w:t>
      </w:r>
      <w:r>
        <w:rPr>
          <w:sz w:val="20"/>
          <w:szCs w:val="20"/>
          <w:color w:val="auto"/>
        </w:rPr>
        <w:tab/>
      </w:r>
      <w:r>
        <w:rPr>
          <w:rFonts w:ascii="Courier New" w:cs="Courier New" w:eastAsia="Courier New" w:hAnsi="Courier New"/>
          <w:sz w:val="16"/>
          <w:szCs w:val="16"/>
          <w:color w:val="auto"/>
        </w:rPr>
        <w:t>55</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1402.</w:t>
      </w:r>
      <w:r>
        <w:rPr>
          <w:sz w:val="20"/>
          <w:szCs w:val="20"/>
          <w:color w:val="auto"/>
        </w:rPr>
        <w:tab/>
      </w:r>
      <w:r>
        <w:rPr>
          <w:rFonts w:ascii="Courier New" w:cs="Courier New" w:eastAsia="Courier New" w:hAnsi="Courier New"/>
          <w:sz w:val="16"/>
          <w:szCs w:val="16"/>
          <w:color w:val="auto"/>
        </w:rPr>
        <w:t>Exercise of Conversion Privilege</w:t>
      </w:r>
      <w:r>
        <w:rPr>
          <w:sz w:val="20"/>
          <w:szCs w:val="20"/>
          <w:color w:val="auto"/>
        </w:rPr>
        <w:tab/>
      </w:r>
      <w:r>
        <w:rPr>
          <w:rFonts w:ascii="Courier New" w:cs="Courier New" w:eastAsia="Courier New" w:hAnsi="Courier New"/>
          <w:sz w:val="16"/>
          <w:szCs w:val="16"/>
          <w:color w:val="auto"/>
        </w:rPr>
        <w:t>55</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1403.</w:t>
      </w:r>
      <w:r>
        <w:rPr>
          <w:sz w:val="20"/>
          <w:szCs w:val="20"/>
          <w:color w:val="auto"/>
        </w:rPr>
        <w:tab/>
      </w:r>
      <w:r>
        <w:rPr>
          <w:rFonts w:ascii="Courier New" w:cs="Courier New" w:eastAsia="Courier New" w:hAnsi="Courier New"/>
          <w:sz w:val="16"/>
          <w:szCs w:val="16"/>
          <w:color w:val="auto"/>
        </w:rPr>
        <w:t>No Fractional Shares</w:t>
      </w:r>
      <w:r>
        <w:rPr>
          <w:sz w:val="20"/>
          <w:szCs w:val="20"/>
          <w:color w:val="auto"/>
        </w:rPr>
        <w:tab/>
      </w:r>
      <w:r>
        <w:rPr>
          <w:rFonts w:ascii="Courier New" w:cs="Courier New" w:eastAsia="Courier New" w:hAnsi="Courier New"/>
          <w:sz w:val="16"/>
          <w:szCs w:val="16"/>
          <w:color w:val="auto"/>
        </w:rPr>
        <w:t>56</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1404.</w:t>
      </w:r>
      <w:r>
        <w:rPr>
          <w:sz w:val="20"/>
          <w:szCs w:val="20"/>
          <w:color w:val="auto"/>
        </w:rPr>
        <w:tab/>
      </w:r>
      <w:r>
        <w:rPr>
          <w:rFonts w:ascii="Courier New" w:cs="Courier New" w:eastAsia="Courier New" w:hAnsi="Courier New"/>
          <w:sz w:val="16"/>
          <w:szCs w:val="16"/>
          <w:color w:val="auto"/>
        </w:rPr>
        <w:t>Adjustment of Conversion Price</w:t>
      </w:r>
      <w:r>
        <w:rPr>
          <w:sz w:val="20"/>
          <w:szCs w:val="20"/>
          <w:color w:val="auto"/>
        </w:rPr>
        <w:tab/>
      </w:r>
      <w:r>
        <w:rPr>
          <w:rFonts w:ascii="Courier New" w:cs="Courier New" w:eastAsia="Courier New" w:hAnsi="Courier New"/>
          <w:sz w:val="16"/>
          <w:szCs w:val="16"/>
          <w:color w:val="auto"/>
        </w:rPr>
        <w:t>56</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1405.</w:t>
      </w:r>
      <w:r>
        <w:rPr>
          <w:sz w:val="20"/>
          <w:szCs w:val="20"/>
          <w:color w:val="auto"/>
        </w:rPr>
        <w:tab/>
      </w:r>
      <w:r>
        <w:rPr>
          <w:rFonts w:ascii="Courier New" w:cs="Courier New" w:eastAsia="Courier New" w:hAnsi="Courier New"/>
          <w:sz w:val="16"/>
          <w:szCs w:val="16"/>
          <w:color w:val="auto"/>
        </w:rPr>
        <w:t>Notice of Certain Corporate Actions</w:t>
      </w:r>
      <w:r>
        <w:rPr>
          <w:sz w:val="20"/>
          <w:szCs w:val="20"/>
          <w:color w:val="auto"/>
        </w:rPr>
        <w:tab/>
      </w:r>
      <w:r>
        <w:rPr>
          <w:rFonts w:ascii="Courier New" w:cs="Courier New" w:eastAsia="Courier New" w:hAnsi="Courier New"/>
          <w:sz w:val="16"/>
          <w:szCs w:val="16"/>
          <w:color w:val="auto"/>
        </w:rPr>
        <w:t>57</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1406.</w:t>
      </w:r>
      <w:r>
        <w:rPr>
          <w:sz w:val="20"/>
          <w:szCs w:val="20"/>
          <w:color w:val="auto"/>
        </w:rPr>
        <w:tab/>
      </w:r>
      <w:r>
        <w:rPr>
          <w:rFonts w:ascii="Courier New" w:cs="Courier New" w:eastAsia="Courier New" w:hAnsi="Courier New"/>
          <w:sz w:val="16"/>
          <w:szCs w:val="16"/>
          <w:color w:val="auto"/>
        </w:rPr>
        <w:t>Reservation of Shares of Common Stock</w:t>
      </w:r>
      <w:r>
        <w:rPr>
          <w:sz w:val="20"/>
          <w:szCs w:val="20"/>
          <w:color w:val="auto"/>
        </w:rPr>
        <w:tab/>
      </w:r>
      <w:r>
        <w:rPr>
          <w:rFonts w:ascii="Courier New" w:cs="Courier New" w:eastAsia="Courier New" w:hAnsi="Courier New"/>
          <w:sz w:val="16"/>
          <w:szCs w:val="16"/>
          <w:color w:val="auto"/>
        </w:rPr>
        <w:t>57</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1407.</w:t>
      </w:r>
      <w:r>
        <w:rPr>
          <w:sz w:val="20"/>
          <w:szCs w:val="20"/>
          <w:color w:val="auto"/>
        </w:rPr>
        <w:tab/>
      </w:r>
      <w:r>
        <w:rPr>
          <w:rFonts w:ascii="Courier New" w:cs="Courier New" w:eastAsia="Courier New" w:hAnsi="Courier New"/>
          <w:sz w:val="16"/>
          <w:szCs w:val="16"/>
          <w:color w:val="auto"/>
        </w:rPr>
        <w:t>Payment of Certain Taxes Upon Conversion</w:t>
      </w:r>
      <w:r>
        <w:rPr>
          <w:sz w:val="20"/>
          <w:szCs w:val="20"/>
          <w:color w:val="auto"/>
        </w:rPr>
        <w:tab/>
      </w:r>
      <w:r>
        <w:rPr>
          <w:rFonts w:ascii="Courier New" w:cs="Courier New" w:eastAsia="Courier New" w:hAnsi="Courier New"/>
          <w:sz w:val="16"/>
          <w:szCs w:val="16"/>
          <w:color w:val="auto"/>
        </w:rPr>
        <w:t>57</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1408.</w:t>
      </w:r>
      <w:r>
        <w:rPr>
          <w:sz w:val="20"/>
          <w:szCs w:val="20"/>
          <w:color w:val="auto"/>
        </w:rPr>
        <w:tab/>
      </w:r>
      <w:r>
        <w:rPr>
          <w:rFonts w:ascii="Courier New" w:cs="Courier New" w:eastAsia="Courier New" w:hAnsi="Courier New"/>
          <w:sz w:val="16"/>
          <w:szCs w:val="16"/>
          <w:color w:val="auto"/>
        </w:rPr>
        <w:t>Nonassessability</w:t>
      </w:r>
      <w:r>
        <w:rPr>
          <w:sz w:val="20"/>
          <w:szCs w:val="20"/>
          <w:color w:val="auto"/>
        </w:rPr>
        <w:tab/>
      </w:r>
      <w:r>
        <w:rPr>
          <w:rFonts w:ascii="Courier New" w:cs="Courier New" w:eastAsia="Courier New" w:hAnsi="Courier New"/>
          <w:sz w:val="16"/>
          <w:szCs w:val="16"/>
          <w:color w:val="auto"/>
        </w:rPr>
        <w:t>58</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1409.</w:t>
      </w:r>
      <w:r>
        <w:rPr>
          <w:sz w:val="20"/>
          <w:szCs w:val="20"/>
          <w:color w:val="auto"/>
        </w:rPr>
        <w:tab/>
      </w:r>
      <w:r>
        <w:rPr>
          <w:rFonts w:ascii="Courier New" w:cs="Courier New" w:eastAsia="Courier New" w:hAnsi="Courier New"/>
          <w:sz w:val="16"/>
          <w:szCs w:val="16"/>
          <w:color w:val="auto"/>
        </w:rPr>
        <w:t>Provision in Case of Consolidation, Merger or Sale of Assets</w:t>
      </w:r>
      <w:r>
        <w:rPr>
          <w:sz w:val="20"/>
          <w:szCs w:val="20"/>
          <w:color w:val="auto"/>
        </w:rPr>
        <w:tab/>
      </w:r>
      <w:r>
        <w:rPr>
          <w:rFonts w:ascii="Courier New" w:cs="Courier New" w:eastAsia="Courier New" w:hAnsi="Courier New"/>
          <w:sz w:val="16"/>
          <w:szCs w:val="16"/>
          <w:color w:val="auto"/>
        </w:rPr>
        <w:t>58</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1410.</w:t>
      </w:r>
      <w:r>
        <w:rPr>
          <w:sz w:val="20"/>
          <w:szCs w:val="20"/>
          <w:color w:val="auto"/>
        </w:rPr>
        <w:tab/>
      </w:r>
      <w:r>
        <w:rPr>
          <w:rFonts w:ascii="Courier New" w:cs="Courier New" w:eastAsia="Courier New" w:hAnsi="Courier New"/>
          <w:sz w:val="16"/>
          <w:szCs w:val="16"/>
          <w:color w:val="auto"/>
        </w:rPr>
        <w:t>Duties of Trustee Regarding Conversion</w:t>
      </w:r>
      <w:r>
        <w:rPr>
          <w:sz w:val="20"/>
          <w:szCs w:val="20"/>
          <w:color w:val="auto"/>
        </w:rPr>
        <w:tab/>
      </w:r>
      <w:r>
        <w:rPr>
          <w:rFonts w:ascii="Courier New" w:cs="Courier New" w:eastAsia="Courier New" w:hAnsi="Courier New"/>
          <w:sz w:val="16"/>
          <w:szCs w:val="16"/>
          <w:color w:val="auto"/>
        </w:rPr>
        <w:t>59</w:t>
      </w:r>
    </w:p>
    <w:p>
      <w:pPr>
        <w:spacing w:after="0" w:line="4" w:lineRule="exact"/>
        <w:rPr>
          <w:sz w:val="20"/>
          <w:szCs w:val="20"/>
          <w:color w:val="auto"/>
        </w:rPr>
      </w:pPr>
    </w:p>
    <w:p>
      <w:pPr>
        <w:ind w:left="480"/>
        <w:spacing w:after="0"/>
        <w:tabs>
          <w:tab w:leader="none" w:pos="2380" w:val="left"/>
          <w:tab w:leader="dot" w:pos="11220" w:val="left"/>
        </w:tabs>
        <w:rPr>
          <w:sz w:val="20"/>
          <w:szCs w:val="20"/>
          <w:color w:val="auto"/>
        </w:rPr>
      </w:pPr>
      <w:r>
        <w:rPr>
          <w:rFonts w:ascii="Courier New" w:cs="Courier New" w:eastAsia="Courier New" w:hAnsi="Courier New"/>
          <w:sz w:val="16"/>
          <w:szCs w:val="16"/>
          <w:color w:val="auto"/>
        </w:rPr>
        <w:t>SECTION 1411.</w:t>
      </w:r>
      <w:r>
        <w:rPr>
          <w:sz w:val="20"/>
          <w:szCs w:val="20"/>
          <w:color w:val="auto"/>
        </w:rPr>
        <w:tab/>
      </w:r>
      <w:r>
        <w:rPr>
          <w:rFonts w:ascii="Courier New" w:cs="Courier New" w:eastAsia="Courier New" w:hAnsi="Courier New"/>
          <w:sz w:val="16"/>
          <w:szCs w:val="16"/>
          <w:color w:val="auto"/>
        </w:rPr>
        <w:t>Repayment of Certain Funds Upon Conversion</w:t>
      </w:r>
      <w:r>
        <w:rPr>
          <w:sz w:val="20"/>
          <w:szCs w:val="20"/>
          <w:color w:val="auto"/>
        </w:rPr>
        <w:tab/>
      </w:r>
      <w:r>
        <w:rPr>
          <w:rFonts w:ascii="Courier New" w:cs="Courier New" w:eastAsia="Courier New" w:hAnsi="Courier New"/>
          <w:sz w:val="16"/>
          <w:szCs w:val="16"/>
          <w:color w:val="auto"/>
        </w:rPr>
        <w:t>59</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1440"/>
          </w:cols>
          <w:pgMar w:left="240" w:top="669" w:right="219" w:bottom="1440" w:gutter="0" w:footer="0" w:header="0"/>
        </w:sectPr>
      </w:pPr>
    </w:p>
    <w:bookmarkStart w:id="109" w:name="page110"/>
    <w:bookmarkEnd w:id="109"/>
    <w:p>
      <w:pPr>
        <w:ind w:left="1820"/>
        <w:spacing w:after="0"/>
        <w:rPr>
          <w:sz w:val="20"/>
          <w:szCs w:val="20"/>
          <w:color w:val="auto"/>
        </w:rPr>
      </w:pPr>
      <w:r>
        <w:rPr>
          <w:rFonts w:ascii="Courier New" w:cs="Courier New" w:eastAsia="Courier New" w:hAnsi="Courier New"/>
          <w:sz w:val="16"/>
          <w:szCs w:val="16"/>
          <w:color w:val="auto"/>
        </w:rPr>
        <w:t>Certain Sections of this Indenture relating</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to Sections 310 through 318, inclusive, of the Trust</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Indenture Act of 1939: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60" w:type="dxa"/>
            <w:vAlign w:val="bottom"/>
          </w:tcPr>
          <w:p>
            <w:pPr>
              <w:jc w:val="right"/>
              <w:ind w:right="4361"/>
              <w:spacing w:after="0"/>
              <w:rPr>
                <w:sz w:val="20"/>
                <w:szCs w:val="20"/>
                <w:color w:val="auto"/>
              </w:rPr>
            </w:pPr>
            <w:r>
              <w:rPr>
                <w:rFonts w:ascii="Courier New" w:cs="Courier New" w:eastAsia="Courier New" w:hAnsi="Courier New"/>
                <w:sz w:val="16"/>
                <w:szCs w:val="16"/>
                <w:color w:val="auto"/>
              </w:rPr>
              <w:t>Trust Indenture</w:t>
            </w:r>
          </w:p>
        </w:tc>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Indenture</w:t>
            </w:r>
          </w:p>
        </w:tc>
      </w:tr>
      <w:tr>
        <w:trPr>
          <w:trHeight w:val="185"/>
        </w:trPr>
        <w:tc>
          <w:tcPr>
            <w:tcW w:w="5960" w:type="dxa"/>
            <w:vAlign w:val="bottom"/>
          </w:tcPr>
          <w:p>
            <w:pPr>
              <w:jc w:val="right"/>
              <w:ind w:right="4561"/>
              <w:spacing w:after="0"/>
              <w:rPr>
                <w:sz w:val="20"/>
                <w:szCs w:val="20"/>
                <w:color w:val="auto"/>
              </w:rPr>
            </w:pPr>
            <w:r>
              <w:rPr>
                <w:rFonts w:ascii="Courier New" w:cs="Courier New" w:eastAsia="Courier New" w:hAnsi="Courier New"/>
                <w:sz w:val="16"/>
                <w:szCs w:val="16"/>
                <w:color w:val="auto"/>
              </w:rPr>
              <w:t>Act Section</w:t>
            </w:r>
          </w:p>
        </w:tc>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Section</w:t>
            </w:r>
          </w:p>
        </w:tc>
      </w:tr>
      <w:tr>
        <w:trPr>
          <w:trHeight w:val="185"/>
        </w:trPr>
        <w:tc>
          <w:tcPr>
            <w:tcW w:w="5960" w:type="dxa"/>
            <w:vAlign w:val="bottom"/>
          </w:tcPr>
          <w:p>
            <w:pPr>
              <w:jc w:val="right"/>
              <w:ind w:right="4561"/>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r>
      <w:tr>
        <w:trPr>
          <w:trHeight w:val="370"/>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ss.310(a)(1)   ............................................</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609</w:t>
            </w:r>
          </w:p>
        </w:tc>
        <w:tc>
          <w:tcPr>
            <w:tcW w:w="1340" w:type="dxa"/>
            <w:vAlign w:val="bottom"/>
          </w:tcPr>
          <w:p>
            <w:pPr>
              <w:spacing w:after="0"/>
              <w:rPr>
                <w:sz w:val="24"/>
                <w:szCs w:val="24"/>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(a)(2)   ............................................</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609</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(a)(3)   ............................................</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Not</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Applicable</w:t>
            </w: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(a)(4)   ............................................</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Not</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Applicable</w:t>
            </w: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(b)............................................</w:t>
            </w:r>
          </w:p>
        </w:tc>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608, 610</w:t>
            </w: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ss.311(a)............................................</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613</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(b)............................................</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613</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ss.312(a)............................................</w:t>
            </w:r>
          </w:p>
        </w:tc>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701, 702</w:t>
            </w: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(b)............................................</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702</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702</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ss.313(a)............................................</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703</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(b)............................................</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703</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703</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(d)............................................</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703</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ss.314(a)............................................</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704</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(a)(4)   ............................................</w:t>
            </w:r>
          </w:p>
        </w:tc>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101, 1004</w:t>
            </w: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(b)............................................</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Not</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Applicable</w:t>
            </w: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(c)(1)   ............................................</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102</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(c)(2)   ............................................</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102</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(c)(3)   ............................................</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Not</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Applicable</w:t>
            </w: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(d)............................................</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Not</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Applicable</w:t>
            </w: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(e)............................................</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102</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ss.315(a)............................................</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601</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(b)............................................</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602</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601</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(d)............................................</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601</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(e)............................................</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514</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ss.316(a)............................................</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101</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(a)(1)(A)............................................</w:t>
            </w:r>
          </w:p>
        </w:tc>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502, 512</w:t>
            </w: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(a)(1)(B)............................................</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513</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(a)(2)   ............................................</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Not</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Applicable</w:t>
            </w: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(b)............................................</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508</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(c)............................................</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104</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ss.317(a)(1)   ............................................</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503</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(a)(2)   ............................................</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504</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(b)............................................</w:t>
            </w:r>
          </w:p>
        </w:tc>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1003</w:t>
            </w:r>
          </w:p>
        </w:tc>
        <w:tc>
          <w:tcPr>
            <w:tcW w:w="1340" w:type="dxa"/>
            <w:vAlign w:val="bottom"/>
          </w:tcPr>
          <w:p>
            <w:pPr>
              <w:spacing w:after="0"/>
              <w:rPr>
                <w:sz w:val="16"/>
                <w:szCs w:val="16"/>
                <w:color w:val="auto"/>
              </w:rPr>
            </w:pPr>
          </w:p>
        </w:tc>
      </w:tr>
      <w:tr>
        <w:trPr>
          <w:trHeight w:val="185"/>
        </w:trPr>
        <w:tc>
          <w:tcPr>
            <w:tcW w:w="5960" w:type="dxa"/>
            <w:vAlign w:val="bottom"/>
          </w:tcPr>
          <w:p>
            <w:pPr>
              <w:jc w:val="right"/>
              <w:spacing w:after="0"/>
              <w:rPr>
                <w:sz w:val="20"/>
                <w:szCs w:val="20"/>
                <w:color w:val="auto"/>
              </w:rPr>
            </w:pPr>
            <w:r>
              <w:rPr>
                <w:rFonts w:ascii="Courier New" w:cs="Courier New" w:eastAsia="Courier New" w:hAnsi="Courier New"/>
                <w:sz w:val="16"/>
                <w:szCs w:val="16"/>
                <w:color w:val="auto"/>
              </w:rPr>
              <w:t>ss.318(a)............................................</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107</w:t>
            </w:r>
          </w:p>
        </w:tc>
        <w:tc>
          <w:tcPr>
            <w:tcW w:w="1340" w:type="dxa"/>
            <w:vAlign w:val="bottom"/>
          </w:tcPr>
          <w:p>
            <w:pPr>
              <w:spacing w:after="0"/>
              <w:rPr>
                <w:sz w:val="16"/>
                <w:szCs w:val="16"/>
                <w:color w:val="auto"/>
              </w:rPr>
            </w:pPr>
          </w:p>
        </w:tc>
      </w:tr>
      <w:tr>
        <w:trPr>
          <w:trHeight w:val="554"/>
        </w:trPr>
        <w:tc>
          <w:tcPr>
            <w:tcW w:w="59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5"/>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NOTE: This  reconciliation and tie shall not, for any purpose, be</w:t>
            </w:r>
          </w:p>
        </w:tc>
        <w:tc>
          <w:tcPr>
            <w:tcW w:w="1340" w:type="dxa"/>
            <w:vAlign w:val="bottom"/>
          </w:tcPr>
          <w:p>
            <w:pPr>
              <w:spacing w:after="0"/>
              <w:rPr>
                <w:sz w:val="20"/>
                <w:szCs w:val="20"/>
                <w:color w:val="auto"/>
              </w:rPr>
            </w:pPr>
            <w:r>
              <w:rPr>
                <w:rFonts w:ascii="Courier New" w:cs="Courier New" w:eastAsia="Courier New" w:hAnsi="Courier New"/>
                <w:sz w:val="16"/>
                <w:szCs w:val="16"/>
                <w:color w:val="auto"/>
                <w:w w:val="98"/>
              </w:rPr>
              <w:t>deemed to be a</w:t>
            </w:r>
          </w:p>
        </w:tc>
      </w:tr>
      <w:tr>
        <w:trPr>
          <w:trHeight w:val="185"/>
        </w:trPr>
        <w:tc>
          <w:tcPr>
            <w:tcW w:w="5960" w:type="dxa"/>
            <w:vAlign w:val="bottom"/>
          </w:tcPr>
          <w:p>
            <w:pPr>
              <w:spacing w:after="0"/>
              <w:rPr>
                <w:sz w:val="20"/>
                <w:szCs w:val="20"/>
                <w:color w:val="auto"/>
              </w:rPr>
            </w:pPr>
            <w:r>
              <w:rPr>
                <w:rFonts w:ascii="Courier New" w:cs="Courier New" w:eastAsia="Courier New" w:hAnsi="Courier New"/>
                <w:sz w:val="16"/>
                <w:szCs w:val="16"/>
                <w:color w:val="auto"/>
              </w:rPr>
              <w:t>part of the Indenture.</w:t>
            </w: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r>
    </w:tbl>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-vi-</w:t>
      </w:r>
    </w:p>
    <w:p>
      <w:pPr>
        <w:sectPr>
          <w:pgSz w:w="11900" w:h="16838" w:orient="portrait"/>
          <w:cols w:equalWidth="0" w:num="1">
            <w:col w:w="10219"/>
          </w:cols>
          <w:pgMar w:left="240" w:top="669" w:right="1440" w:bottom="1440" w:gutter="0" w:footer="0" w:header="0"/>
        </w:sectPr>
      </w:pPr>
    </w:p>
    <w:bookmarkStart w:id="110" w:name="page111"/>
    <w:bookmarkEnd w:id="110"/>
    <w:p>
      <w:pPr>
        <w:ind w:left="480"/>
        <w:spacing w:after="0"/>
        <w:rPr>
          <w:sz w:val="20"/>
          <w:szCs w:val="20"/>
          <w:color w:val="auto"/>
        </w:rPr>
      </w:pPr>
      <w:r>
        <w:rPr>
          <w:rFonts w:ascii="Courier New" w:cs="Courier New" w:eastAsia="Courier New" w:hAnsi="Courier New"/>
          <w:sz w:val="16"/>
          <w:szCs w:val="16"/>
          <w:color w:val="auto"/>
        </w:rPr>
        <w:t>INDENTURE, dated as of ___________, 1997, between Micron Technology, Inc.,</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 corporation duly organized and existing under the State of Delaware (herein called the "Company"), having its principal executive office at 8000 South Federal Way, P.O. Box 6, Boise, Idaho 83707-0006, and Norwest Bank Minnesota, National Association, a national banking association duly organized and existing under the laws of the United States of America, as Trustee (herein called the "Trustee").</w:t>
      </w:r>
    </w:p>
    <w:p>
      <w:pPr>
        <w:spacing w:after="0" w:line="186"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RECITALS OF THE COMPANY</w:t>
      </w:r>
    </w:p>
    <w:p>
      <w:pPr>
        <w:spacing w:after="0" w:line="190"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provided in this Indenture.</w:t>
      </w:r>
    </w:p>
    <w:p>
      <w:pPr>
        <w:spacing w:after="0" w:line="173" w:lineRule="exact"/>
        <w:rPr>
          <w:sz w:val="20"/>
          <w:szCs w:val="20"/>
          <w:color w:val="auto"/>
        </w:rPr>
      </w:pPr>
    </w:p>
    <w:p>
      <w:pPr>
        <w:ind w:right="3199" w:firstLine="480"/>
        <w:spacing w:after="0" w:line="242" w:lineRule="auto"/>
        <w:rPr>
          <w:sz w:val="20"/>
          <w:szCs w:val="20"/>
          <w:color w:val="auto"/>
        </w:rPr>
      </w:pPr>
      <w:r>
        <w:rPr>
          <w:rFonts w:ascii="Courier New" w:cs="Courier New" w:eastAsia="Courier New" w:hAnsi="Courier New"/>
          <w:sz w:val="16"/>
          <w:szCs w:val="16"/>
          <w:color w:val="auto"/>
        </w:rPr>
        <w:t>All things necessary to make this Indenture a valid agreement of the Company, in accordance with its terms, have been done.</w:t>
      </w:r>
    </w:p>
    <w:p>
      <w:pPr>
        <w:spacing w:after="0" w:line="187"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NOW, THEREFORE, THIS INDENTURE WITNESSETH:</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For and in consideration of the premises and the purchase of the Securities by the Holders thereof, it is mutually covenanted and agreed, for the equal and proportionate benefit of all Holders of the Securities or of series thereof appertaining, as follows:</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ONE</w:t>
      </w:r>
    </w:p>
    <w:p>
      <w:pPr>
        <w:spacing w:after="0" w:line="188"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DEFINITIONS AND OTHER PROVISIONS OF GENERAL APPLICATION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101. Definitions.</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For all purposes of this Indenture, except as otherwise expressly provided or unless the context otherwise requires:</w:t>
      </w:r>
    </w:p>
    <w:p>
      <w:pPr>
        <w:spacing w:after="0" w:line="189" w:lineRule="exact"/>
        <w:rPr>
          <w:sz w:val="20"/>
          <w:szCs w:val="20"/>
          <w:color w:val="auto"/>
        </w:rPr>
      </w:pPr>
    </w:p>
    <w:p>
      <w:pPr>
        <w:ind w:right="2539" w:firstLine="479"/>
        <w:spacing w:after="0" w:line="242" w:lineRule="auto"/>
        <w:tabs>
          <w:tab w:leader="none" w:pos="8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defined in this Article have the meanings assigned to them in this Article and include the plural as well as the singular;</w:t>
      </w:r>
    </w:p>
    <w:p>
      <w:pPr>
        <w:spacing w:after="0" w:line="188"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terms used herein which are defined in the Trust Indenture Act, either directly or by reference therein, have the meanings assigned to them therein;</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w:t>
      </w:r>
    </w:p>
    <w:p>
      <w:pPr>
        <w:spacing w:after="0" w:line="187"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context otherwise requires, any reference to an "Article" or a "Section" refers to an Article or a Section, as the case may be, of this Indenture; and</w:t>
      </w:r>
    </w:p>
    <w:p>
      <w:pPr>
        <w:spacing w:after="0" w:line="188"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this Indenture as a whole and not to any particular Article, Section or other subdivision.</w:t>
      </w:r>
    </w:p>
    <w:p>
      <w:pPr>
        <w:spacing w:after="0" w:line="189"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"Act," when used with respect to any Holder, has the meaning specified in Section 104.</w:t>
      </w:r>
    </w:p>
    <w:p>
      <w:pPr>
        <w:sectPr>
          <w:pgSz w:w="11900" w:h="16838" w:orient="portrait"/>
          <w:cols w:equalWidth="0" w:num="1">
            <w:col w:w="10219"/>
          </w:cols>
          <w:pgMar w:left="240" w:top="669" w:right="1440" w:bottom="1440" w:gutter="0" w:footer="0" w:header="0"/>
        </w:sectPr>
      </w:pPr>
    </w:p>
    <w:bookmarkStart w:id="111" w:name="page112"/>
    <w:bookmarkEnd w:id="111"/>
    <w:p>
      <w:pPr>
        <w:ind w:right="2819" w:firstLine="480"/>
        <w:spacing w:after="0" w:line="244" w:lineRule="auto"/>
        <w:rPr>
          <w:sz w:val="20"/>
          <w:szCs w:val="20"/>
          <w:color w:val="auto"/>
        </w:rPr>
      </w:pPr>
      <w:r>
        <w:rPr>
          <w:rFonts w:ascii="Courier New" w:cs="Courier New" w:eastAsia="Courier New" w:hAnsi="Courier New"/>
          <w:sz w:val="16"/>
          <w:szCs w:val="16"/>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"Attributable Debt" means, in respect of a Sale and Lease-Back Transaction involving a Principal Property, at the time of determination, the lesser of: (a) the fair value of such property (as determined in good faith by the Board of Directors); or (b) the present value of the total net amount of rent required to be paid under such lease during the remaining term thereof (including any renewal term or period for which such lease has been extended), discounted at the rate of interest set forth or implicit in the terms of such lease or, if not practicable to determine such rate, the weighted average interest rate per annum (in the case of Original Issue Discount Securities, the imputed interest rate) borne by the Securities of each series outstanding pursuant to this Indenture compounded semi-annually.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and the net amount determined assuming no such termination.</w:t>
      </w:r>
    </w:p>
    <w:p>
      <w:pPr>
        <w:spacing w:after="0" w:line="195"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"Authenticating Agent" means any Person authorized by the Trustee pursuant to Section 614 to act on behalf of the Trustee to authenticate Securities of one or more series.</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"Board of Directors" means either the board of directors of the Company or any duly authorized committee of that board empowered to act for it with respect to this Indenture.</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7"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provided, however, subject to the provisions of Section 1409, shares issuable upon conversion of Securities shall include only shares of the class designated as Common Stock of the Company at the date of this Indenture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provided, further that if at any time there shall be more than one such</w:t>
      </w:r>
    </w:p>
    <w:p>
      <w:pPr>
        <w:spacing w:after="0" w:line="35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112" w:name="page113"/>
    <w:bookmarkEnd w:id="112"/>
    <w:p>
      <w:pPr>
        <w:ind w:right="2539"/>
        <w:spacing w:after="0" w:line="243" w:lineRule="auto"/>
        <w:rPr>
          <w:sz w:val="20"/>
          <w:szCs w:val="20"/>
          <w:color w:val="auto"/>
        </w:rPr>
      </w:pPr>
      <w:r>
        <w:rPr>
          <w:rFonts w:ascii="Courier New" w:cs="Courier New" w:eastAsia="Courier New" w:hAnsi="Courier New"/>
          <w:sz w:val="16"/>
          <w:szCs w:val="16"/>
          <w:color w:val="auto"/>
        </w:rPr>
        <w:t>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90"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"Company" means the corporation named as the "Company" in the first paragraph of this instrument until a successor Person shall have become such pursuant to the applicable provisions of this Indenture, and thereafter "Company" shall mean such successor Person.</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"Company Request" or "Company Order" means a written request or order signed in the name of the Company by its Chairman of the Board, its Vice Chairman of the Board, its President or a Vice President, and by its principal financial officer, its Treasurer, an Assistant Treasurer, its Secretary or an Assistant Secretary, and delivered to the Trustee.</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"Consolidated Net Tangible Assets" means, as of the time of determination, total assets (excluding applicable reserves and other property deductible items) less: (a) 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"Corporate Trust Office" means the corporate trust office of the Trustee at Norwest Center, Sixth Street and Marquette, Minneapolis, Minnesota 55479-0069, at which at any particular time its corporate trust business shall be administered.</w:t>
      </w:r>
    </w:p>
    <w:p>
      <w:pPr>
        <w:spacing w:after="0" w:line="190"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"corporation" means a corporation, association, company, joint-stock company or business trust.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"Covenant Defeasance" has the meaning specified in Section 1303.</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"Defaulted Interest" has the meaning specified in Section 307.</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"Defeasance" has the meaning specified in Section 1302.</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"Event of Default" has the meaning specified in Section 501.</w:t>
      </w:r>
    </w:p>
    <w:p>
      <w:pPr>
        <w:spacing w:after="0" w:line="190"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"Exchange Act" means the Securities Exchange Act of 1934 and any statute successor thereto, in each case as amended from time to time.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"Expiration Date" has the meaning specified in Section 104.</w:t>
      </w:r>
    </w:p>
    <w:p>
      <w:pPr>
        <w:spacing w:after="0" w:line="190" w:lineRule="exact"/>
        <w:rPr>
          <w:sz w:val="20"/>
          <w:szCs w:val="20"/>
          <w:color w:val="auto"/>
        </w:rPr>
      </w:pPr>
    </w:p>
    <w:p>
      <w:pPr>
        <w:ind w:right="2639" w:firstLine="480"/>
        <w:spacing w:after="0" w:line="267" w:lineRule="auto"/>
        <w:rPr>
          <w:sz w:val="20"/>
          <w:szCs w:val="20"/>
          <w:color w:val="auto"/>
        </w:rPr>
      </w:pPr>
      <w:r>
        <w:rPr>
          <w:rFonts w:ascii="Courier New" w:cs="Courier New" w:eastAsia="Courier New" w:hAnsi="Courier New"/>
          <w:sz w:val="15"/>
          <w:szCs w:val="15"/>
          <w:color w:val="auto"/>
        </w:rPr>
        <w:t>"Global Security" means a Security that evidences all or part of the Securities of any series and bears the legend set forth in Section 204 (or such legend as may be specified as contemplated by Section 301 for such Securities).</w:t>
      </w:r>
    </w:p>
    <w:p>
      <w:pPr>
        <w:spacing w:after="0" w:line="172"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"Holder" means a Person in whose name a Security is registered in the Security Register.</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sectPr>
      </w:pPr>
    </w:p>
    <w:bookmarkStart w:id="113" w:name="page114"/>
    <w:bookmarkEnd w:id="113"/>
    <w:p>
      <w:pPr>
        <w:ind w:right="2539" w:firstLine="480"/>
        <w:spacing w:after="0" w:line="244" w:lineRule="auto"/>
        <w:rPr>
          <w:sz w:val="20"/>
          <w:szCs w:val="20"/>
          <w:color w:val="auto"/>
        </w:rPr>
      </w:pPr>
      <w:r>
        <w:rPr>
          <w:rFonts w:ascii="Courier New" w:cs="Courier New" w:eastAsia="Courier New" w:hAnsi="Courier New"/>
          <w:sz w:val="16"/>
          <w:szCs w:val="16"/>
          <w:color w:val="auto"/>
        </w:rPr>
        <w:t>"Indenture"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provided, however,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provided, further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98"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"interest," when used with respect to an Original Issue Discount Security which by its terms bears interest only after Maturity, means interest payable after Maturity.</w:t>
      </w:r>
    </w:p>
    <w:p>
      <w:pPr>
        <w:spacing w:after="0" w:line="189"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"Interest Payment Date," when used with respect to any Security, means the Stated Maturity of an instalment of interest on such Security.</w:t>
      </w:r>
    </w:p>
    <w:p>
      <w:pPr>
        <w:spacing w:after="0" w:line="189"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"Investment Company Act" means the Investment Company Act of 1940 and any statute successor thereto, in each case as amended from time to time.</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"Maturity," when used with respect to any Security, means the date on which the principal of such Security or an instalment of principal becomes due and payable as therein or herein provided, whether at the Stated Maturity or by declaration of acceleration, call for redemption or otherwise.</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"Nonrecourse Obligation" means indebtedness or other obligations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78"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"Notice of Default" means a written notice of the kind specified in Section 501(4).</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"Officers' Certificate" means a certificate signed by the Chairman of the Board, a Vice Chairman of the Board, the President or a Vice President, and by the principal financial officer,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114" w:name="page115"/>
    <w:bookmarkEnd w:id="114"/>
    <w:p>
      <w:pPr>
        <w:ind w:right="2539" w:firstLine="480"/>
        <w:spacing w:after="0" w:line="243" w:lineRule="auto"/>
        <w:rPr>
          <w:sz w:val="20"/>
          <w:szCs w:val="20"/>
          <w:color w:val="auto"/>
        </w:rPr>
      </w:pPr>
      <w:r>
        <w:rPr>
          <w:rFonts w:ascii="Courier New" w:cs="Courier New" w:eastAsia="Courier New" w:hAnsi="Courier New"/>
          <w:sz w:val="16"/>
          <w:szCs w:val="16"/>
          <w:color w:val="auto"/>
        </w:rPr>
        <w:t>"Opinion of Counsel" means a written opinion of counsel, who may be counsel for, or an employee of, the Company, and who shall be reasonably acceptable to the Trustee.</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"Original Issue Discount Security" means any Security which provides for an amount less than the principal amount thereof to be due and payable upon a declaration of acceleration of the Maturity thereof pursuant to Section 502.</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"Outstanding," when used with respect to Securities, means, as of the date of determination, all Securities theretofore authenticated and delivered under this Indenture, except:</w:t>
      </w:r>
    </w:p>
    <w:p>
      <w:pPr>
        <w:spacing w:after="0" w:line="189" w:lineRule="exact"/>
        <w:rPr>
          <w:sz w:val="20"/>
          <w:szCs w:val="20"/>
          <w:color w:val="auto"/>
        </w:rPr>
      </w:pPr>
    </w:p>
    <w:p>
      <w:pPr>
        <w:ind w:right="2539" w:firstLine="479"/>
        <w:spacing w:after="0" w:line="242" w:lineRule="auto"/>
        <w:tabs>
          <w:tab w:leader="none" w:pos="961"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theretofore canceled by the Trustee or delivered to the Trustee for cancellation;</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186" w:lineRule="exact"/>
        <w:rPr>
          <w:rFonts w:ascii="Courier New" w:cs="Courier New" w:eastAsia="Courier New" w:hAnsi="Courier New"/>
          <w:sz w:val="16"/>
          <w:szCs w:val="16"/>
          <w:color w:val="auto"/>
        </w:rPr>
      </w:pPr>
    </w:p>
    <w:p>
      <w:pPr>
        <w:ind w:left="860" w:hanging="381"/>
        <w:spacing w:after="0"/>
        <w:tabs>
          <w:tab w:leader="none" w:pos="8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as to which Defeasance has been effected pursuant to Section</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1302; and</w:t>
      </w:r>
    </w:p>
    <w:p>
      <w:pPr>
        <w:spacing w:after="0" w:line="190"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88"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369" w:lineRule="exact"/>
        <w:rPr>
          <w:sz w:val="20"/>
          <w:szCs w:val="20"/>
          <w:color w:val="auto"/>
        </w:rPr>
      </w:pPr>
    </w:p>
    <w:p>
      <w:pPr>
        <w:ind w:right="3119" w:firstLine="480"/>
        <w:spacing w:after="0" w:line="243" w:lineRule="auto"/>
        <w:rPr>
          <w:sz w:val="20"/>
          <w:szCs w:val="20"/>
          <w:color w:val="auto"/>
        </w:rPr>
      </w:pPr>
      <w:r>
        <w:rPr>
          <w:rFonts w:ascii="Courier New" w:cs="Courier New" w:eastAsia="Courier New" w:hAnsi="Courier New"/>
          <w:sz w:val="16"/>
          <w:szCs w:val="16"/>
          <w:color w:val="auto"/>
        </w:rPr>
        <w:t>"Paying Agent" means any Person authorized by the Company to pay the principal of or any premium or interest on any Securities on behalf of the Company.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115" w:name="page116"/>
    <w:bookmarkEnd w:id="115"/>
    <w:p>
      <w:pPr>
        <w:ind w:right="2919" w:firstLine="480"/>
        <w:spacing w:after="0" w:line="243" w:lineRule="auto"/>
        <w:rPr>
          <w:sz w:val="20"/>
          <w:szCs w:val="20"/>
          <w:color w:val="auto"/>
        </w:rPr>
      </w:pPr>
      <w:r>
        <w:rPr>
          <w:rFonts w:ascii="Courier New" w:cs="Courier New" w:eastAsia="Courier New" w:hAnsi="Courier New"/>
          <w:sz w:val="16"/>
          <w:szCs w:val="16"/>
          <w:color w:val="auto"/>
        </w:rPr>
        <w:t>"Person" means any individual, corporation, partnership, joint venture, trust, unincorporated organization or government or any agency or political subdivision thereof.</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"Place of Payment," when used with respect to the Securities of any series, means the place or places where the principal of and any premium and interest on the Securities of that series are payable as specified as contemplated by Section 301.</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"Principal Property" means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any of the present 50 states of the United States (or the District of Columbia); (c) has not been determined in good faith by he Board of Directors not to be materially important to the total business conducted by the Company and its Subsidiaries taken as a whole; and (d) has a market value on the date as of which the determination is being made in excess of 2.0% of Consolidated Net Tangible Assets of the Company as most recently determined on or prior to such date.</w:t>
      </w:r>
    </w:p>
    <w:p>
      <w:pPr>
        <w:spacing w:after="0" w:line="191"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"Redemption Date," when used with respect to any Security to be redeemed, means the date fixed for such redemption by or pursuant to this Indenture.</w:t>
      </w:r>
    </w:p>
    <w:p>
      <w:pPr>
        <w:spacing w:after="0" w:line="189" w:lineRule="exact"/>
        <w:rPr>
          <w:sz w:val="20"/>
          <w:szCs w:val="20"/>
          <w:color w:val="auto"/>
        </w:rPr>
      </w:pPr>
    </w:p>
    <w:p>
      <w:pPr>
        <w:ind w:right="2639" w:firstLine="480"/>
        <w:spacing w:after="0" w:line="274" w:lineRule="auto"/>
        <w:rPr>
          <w:sz w:val="20"/>
          <w:szCs w:val="20"/>
          <w:color w:val="auto"/>
        </w:rPr>
      </w:pPr>
      <w:r>
        <w:rPr>
          <w:rFonts w:ascii="Courier New" w:cs="Courier New" w:eastAsia="Courier New" w:hAnsi="Courier New"/>
          <w:sz w:val="15"/>
          <w:szCs w:val="15"/>
          <w:color w:val="auto"/>
        </w:rPr>
        <w:t>"Redemption Price," when used with respect to any Security to be redeemed, means the price at which it is to be redeemed pursuant to this Indenture.</w:t>
      </w:r>
    </w:p>
    <w:p>
      <w:pPr>
        <w:spacing w:after="0" w:line="166"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"Regular Record Date" for the interest payable on any Interest Payment Date on the Securities of any series means the date specified for that purpose as contemplated by Section 301.</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"Restricted Subsidiary" means any Subsidiary that owns any Principal Property; provided, however, that the term "Restricted Subsidiary" shall not include (a) any Subsidiary which is principally engaged in financing receivables, or which is principally engaged in financing the Company's operations outside the United States of America or (b) any Subsidiary less than 80% of the voting stock of which is owned, directly or indirectly, by the Company or by one or more other Subsidiaries, or by the Company and one or more other Subsidiaries if the Common Stock of such Subsidiary is traded on any national securities exchange or quoted on the Nasdaq national Market or in the over-the-counter market.</w:t>
      </w:r>
    </w:p>
    <w:p>
      <w:pPr>
        <w:spacing w:after="0" w:line="190"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"Sale and Leaseback Transaction" means any arrangement with any person providing for the leasing by the Company or any Restricted Subsidiary of any Principal Property which property has been or is to be sold or transferred by the Company or such Restricted Subsidiary to such person.</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"Securities" has the meaning stated in the first recital of this Indenture and more particularly means any Securities authenticated and delivered under this Indenture.</w:t>
      </w:r>
    </w:p>
    <w:p>
      <w:pPr>
        <w:spacing w:after="0" w:line="189"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"Securities Act" means the Securities Act of 1933 and any statute successor thereto, in each case as amended from time to time.</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1" w:right="1440" w:bottom="1440" w:gutter="0" w:footer="0" w:header="0"/>
        </w:sectPr>
      </w:pPr>
    </w:p>
    <w:bookmarkStart w:id="116" w:name="page117"/>
    <w:bookmarkEnd w:id="116"/>
    <w:p>
      <w:pPr>
        <w:ind w:right="2719" w:firstLine="480"/>
        <w:spacing w:after="0" w:line="242" w:lineRule="auto"/>
        <w:rPr>
          <w:sz w:val="20"/>
          <w:szCs w:val="20"/>
          <w:color w:val="auto"/>
        </w:rPr>
      </w:pPr>
      <w:r>
        <w:rPr>
          <w:rFonts w:ascii="Courier New" w:cs="Courier New" w:eastAsia="Courier New" w:hAnsi="Courier New"/>
          <w:sz w:val="16"/>
          <w:szCs w:val="16"/>
          <w:color w:val="auto"/>
        </w:rPr>
        <w:t>"Security Register" and "Security Registrar" have the respective meanings specified in Section 305.</w:t>
      </w:r>
    </w:p>
    <w:p>
      <w:pPr>
        <w:spacing w:after="0" w:line="189" w:lineRule="exact"/>
        <w:rPr>
          <w:sz w:val="20"/>
          <w:szCs w:val="20"/>
          <w:color w:val="auto"/>
        </w:rPr>
      </w:pPr>
    </w:p>
    <w:p>
      <w:pPr>
        <w:ind w:right="2919" w:firstLine="480"/>
        <w:spacing w:after="0" w:line="242" w:lineRule="auto"/>
        <w:rPr>
          <w:sz w:val="20"/>
          <w:szCs w:val="20"/>
          <w:color w:val="auto"/>
        </w:rPr>
      </w:pPr>
      <w:r>
        <w:rPr>
          <w:rFonts w:ascii="Courier New" w:cs="Courier New" w:eastAsia="Courier New" w:hAnsi="Courier New"/>
          <w:sz w:val="16"/>
          <w:szCs w:val="16"/>
          <w:color w:val="auto"/>
        </w:rPr>
        <w:t>"Special Record Date" for the payment of any Defaulted Interest means a date fixed by the Trustee pursuant to Section 307.</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"Stated Maturity," when used with respect to any Security or any installment of principal thereof or interest thereon, means the date specified in such Security as the fixed date on which the principal of such Security or such instalment of principal or interest is due and payable.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"Subsidiary" means a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and the accounts of which are consolidated with those of the Company in its most recent consolidated financial statements in accordance with generally accepted accounting principles.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"Trust Indenture Act"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187"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7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"U.S. Government Obligation" has the meaning specified in Section 1304.</w:t>
      </w:r>
    </w:p>
    <w:p>
      <w:pPr>
        <w:spacing w:after="0" w:line="190" w:lineRule="exact"/>
        <w:rPr>
          <w:sz w:val="20"/>
          <w:szCs w:val="20"/>
          <w:color w:val="auto"/>
        </w:rPr>
      </w:pPr>
    </w:p>
    <w:p>
      <w:pPr>
        <w:jc w:val="both"/>
        <w:ind w:right="2919" w:firstLine="480"/>
        <w:spacing w:after="0" w:line="243" w:lineRule="auto"/>
        <w:rPr>
          <w:sz w:val="20"/>
          <w:szCs w:val="20"/>
          <w:color w:val="auto"/>
        </w:rPr>
      </w:pPr>
      <w:r>
        <w:rPr>
          <w:rFonts w:ascii="Courier New" w:cs="Courier New" w:eastAsia="Courier New" w:hAnsi="Courier New"/>
          <w:sz w:val="16"/>
          <w:szCs w:val="16"/>
          <w:color w:val="auto"/>
        </w:rPr>
        <w:t>"Vice President," when used with respect to the Company or the Trustee, means any vice president, whether or not designated by a number or a word or words added before or after the title "vice president."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102. Compliance Certificates and Opinions.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9"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Every certificate or opinion with respect to compliance with a condition or covenant provided for in this Indenture shall include,</w:t>
      </w:r>
    </w:p>
    <w:p>
      <w:pPr>
        <w:spacing w:after="0" w:line="189" w:lineRule="exact"/>
        <w:rPr>
          <w:sz w:val="20"/>
          <w:szCs w:val="20"/>
          <w:color w:val="auto"/>
        </w:rPr>
      </w:pPr>
    </w:p>
    <w:p>
      <w:pPr>
        <w:ind w:right="2539" w:firstLine="479"/>
        <w:spacing w:after="0" w:line="274" w:lineRule="auto"/>
        <w:tabs>
          <w:tab w:leader="none" w:pos="86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each individual signing such certificate or opinion has read such covenant or condition and the definitions herein relating thereto;</w:t>
      </w:r>
    </w:p>
    <w:p>
      <w:pPr>
        <w:spacing w:after="0" w:line="166" w:lineRule="exact"/>
        <w:rPr>
          <w:rFonts w:ascii="Courier New" w:cs="Courier New" w:eastAsia="Courier New" w:hAnsi="Courier New"/>
          <w:sz w:val="15"/>
          <w:szCs w:val="15"/>
          <w:color w:val="auto"/>
        </w:rPr>
      </w:pPr>
    </w:p>
    <w:p>
      <w:pPr>
        <w:ind w:right="3019" w:firstLine="479"/>
        <w:spacing w:after="0" w:line="243" w:lineRule="auto"/>
        <w:tabs>
          <w:tab w:leader="none" w:pos="865"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brief statement as to the nature and scope of the examination or investigation upon which the statements or opinions contained in such certificate or opinion are based;</w:t>
      </w:r>
    </w:p>
    <w:p>
      <w:pPr>
        <w:spacing w:after="0" w:line="200" w:lineRule="exact"/>
        <w:rPr>
          <w:sz w:val="20"/>
          <w:szCs w:val="20"/>
          <w:color w:val="auto"/>
        </w:rPr>
      </w:pPr>
    </w:p>
    <w:p>
      <w:pPr>
        <w:spacing w:after="0" w:line="35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1" w:right="1440" w:bottom="1440" w:gutter="0" w:footer="0" w:header="0"/>
        </w:sectPr>
      </w:pPr>
    </w:p>
    <w:bookmarkStart w:id="117" w:name="page118"/>
    <w:bookmarkEnd w:id="117"/>
    <w:p>
      <w:pPr>
        <w:ind w:right="2539" w:firstLine="479"/>
        <w:spacing w:after="0" w:line="243" w:lineRule="auto"/>
        <w:tabs>
          <w:tab w:leader="none" w:pos="865"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89" w:lineRule="exact"/>
        <w:rPr>
          <w:rFonts w:ascii="Courier New" w:cs="Courier New" w:eastAsia="Courier New" w:hAnsi="Courier New"/>
          <w:sz w:val="16"/>
          <w:szCs w:val="16"/>
          <w:color w:val="auto"/>
        </w:rPr>
      </w:pPr>
    </w:p>
    <w:p>
      <w:pPr>
        <w:ind w:right="2539" w:firstLine="479"/>
        <w:spacing w:after="0" w:line="242" w:lineRule="auto"/>
        <w:tabs>
          <w:tab w:leader="none" w:pos="865"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as to whether, in the opinion of each such individual, such condition or covenant has been complied with.</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103. Form of Documents Delivered to Trustee.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91"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104. Acts of Holders; Record Dates.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The Trustee shall promptly deliver to the Company copies of all such instrument or instruments and records delivered to the Trustee.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192"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which the Trustee deems sufficient.</w:t>
      </w:r>
    </w:p>
    <w:p>
      <w:pPr>
        <w:spacing w:after="0" w:line="1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118" w:name="page119"/>
    <w:bookmarkEnd w:id="118"/>
    <w:p>
      <w:pPr>
        <w:ind w:left="480"/>
        <w:spacing w:after="0"/>
        <w:rPr>
          <w:sz w:val="20"/>
          <w:szCs w:val="20"/>
          <w:color w:val="auto"/>
        </w:rPr>
      </w:pPr>
      <w:r>
        <w:rPr>
          <w:rFonts w:ascii="Courier New" w:cs="Courier New" w:eastAsia="Courier New" w:hAnsi="Courier New"/>
          <w:sz w:val="16"/>
          <w:szCs w:val="16"/>
          <w:color w:val="auto"/>
        </w:rPr>
        <w:t>The ownership of Securities shall be proved by the Security Register.</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may set any day as a record date for the purpose of determining the Holders of Outstanding Securities of any series entitled to give, make or take any request, demand, authorization, direction, vote,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19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106.</w:t>
      </w:r>
    </w:p>
    <w:p>
      <w:pPr>
        <w:spacing w:after="0" w:line="19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With respect to any record date set pursuant to this Section, the party hereto which sets such record dates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9" w:right="1440" w:bottom="1440" w:gutter="0" w:footer="0" w:header="0"/>
        </w:sectPr>
      </w:pPr>
    </w:p>
    <w:bookmarkStart w:id="119" w:name="page120"/>
    <w:bookmarkEnd w:id="119"/>
    <w:p>
      <w:pPr>
        <w:ind w:right="2539"/>
        <w:spacing w:after="0" w:line="244" w:lineRule="auto"/>
        <w:rPr>
          <w:sz w:val="20"/>
          <w:szCs w:val="20"/>
          <w:color w:val="auto"/>
        </w:rPr>
      </w:pPr>
      <w:r>
        <w:rPr>
          <w:rFonts w:ascii="Courier New" w:cs="Courier New" w:eastAsia="Courier New" w:hAnsi="Courier New"/>
          <w:sz w:val="16"/>
          <w:szCs w:val="16"/>
          <w:color w:val="auto"/>
        </w:rPr>
        <w:t>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105. Notices, Etc., to Trustee and Company.</w:t>
      </w:r>
    </w:p>
    <w:p>
      <w:pPr>
        <w:spacing w:after="0" w:line="190"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Any request, demand, authorization, direction, notice, consent, waiver or Act of Holders or other document provided or permitted by this Indenture to be made upon, given or furnished to, or filed with,</w:t>
      </w:r>
    </w:p>
    <w:p>
      <w:pPr>
        <w:spacing w:after="0" w:line="189" w:lineRule="exact"/>
        <w:rPr>
          <w:sz w:val="20"/>
          <w:szCs w:val="20"/>
          <w:color w:val="auto"/>
        </w:rPr>
      </w:pPr>
    </w:p>
    <w:p>
      <w:pPr>
        <w:ind w:right="2539" w:firstLine="479"/>
        <w:spacing w:after="0" w:line="244" w:lineRule="auto"/>
        <w:tabs>
          <w:tab w:leader="none" w:pos="865"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by any Holder or by the Company shall be sufficient for every purpose hereunder if made, given, furnished or filed in writing (or by facsimile transmissions ((612) 667-9825), provided that oral confirmation of receipt shall have been received) to or with the Trustee at its Corporate Trust Office, Attention: Corporate Trust Department, or</w:t>
      </w:r>
    </w:p>
    <w:p>
      <w:pPr>
        <w:spacing w:after="0" w:line="187"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previously furnished in writing to the Trustee by the Company, Attention: Chief Financial Officer.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106. Notice to Holders; Waiver.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Where this Indenture provides for notice to Holders of any event, such notice shall be sufficiently given (unless otherwise herein expressly provided) if in writing and mailed, first-class postage prepaid,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92"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107. Conflict with Trust Indenture Act.</w:t>
      </w:r>
    </w:p>
    <w:p>
      <w:pPr>
        <w:spacing w:after="0" w:line="190" w:lineRule="exact"/>
        <w:rPr>
          <w:sz w:val="20"/>
          <w:szCs w:val="20"/>
          <w:color w:val="auto"/>
        </w:rPr>
      </w:pPr>
    </w:p>
    <w:p>
      <w:pPr>
        <w:ind w:right="2639" w:firstLine="480"/>
        <w:spacing w:after="0" w:line="263" w:lineRule="auto"/>
        <w:rPr>
          <w:sz w:val="20"/>
          <w:szCs w:val="20"/>
          <w:color w:val="auto"/>
        </w:rPr>
      </w:pPr>
      <w:r>
        <w:rPr>
          <w:rFonts w:ascii="Courier New" w:cs="Courier New" w:eastAsia="Courier New" w:hAnsi="Courier New"/>
          <w:sz w:val="15"/>
          <w:szCs w:val="15"/>
          <w:color w:val="auto"/>
        </w:rPr>
        <w:t>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35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6"/>
          <w:szCs w:val="16"/>
          <w:color w:val="auto"/>
        </w:rPr>
        <w:t>SECTION 108. Effect of Headings and Table of Contents.</w:t>
      </w:r>
    </w:p>
    <w:p>
      <w:pPr>
        <w:spacing w:after="0" w:line="190"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The Article and Section headings herein and the Table of Contents are for convenience only and shall not affect the construction hereof.</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109. Successors and Assigns.</w:t>
      </w:r>
    </w:p>
    <w:p>
      <w:pPr>
        <w:spacing w:after="0" w:line="190"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All covenants and agreements in this Indenture by the Company shall bind its successors and assigns, whether so expressed or not.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 Separability Clause.</w:t>
      </w:r>
    </w:p>
    <w:p>
      <w:pPr>
        <w:spacing w:after="0" w:line="190" w:lineRule="exact"/>
        <w:rPr>
          <w:sz w:val="20"/>
          <w:szCs w:val="20"/>
          <w:color w:val="auto"/>
        </w:rPr>
      </w:pPr>
    </w:p>
    <w:p>
      <w:pPr>
        <w:ind w:right="2639" w:firstLine="480"/>
        <w:spacing w:after="0" w:line="267" w:lineRule="auto"/>
        <w:rPr>
          <w:sz w:val="20"/>
          <w:szCs w:val="20"/>
          <w:color w:val="auto"/>
        </w:rPr>
      </w:pPr>
      <w:r>
        <w:rPr>
          <w:rFonts w:ascii="Courier New" w:cs="Courier New" w:eastAsia="Courier New" w:hAnsi="Courier New"/>
          <w:sz w:val="15"/>
          <w:szCs w:val="15"/>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111. Benefits of Indenture.</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112. Governing Law.</w:t>
      </w:r>
    </w:p>
    <w:p>
      <w:pPr>
        <w:spacing w:after="0" w:line="190" w:lineRule="exact"/>
        <w:rPr>
          <w:sz w:val="20"/>
          <w:szCs w:val="20"/>
          <w:color w:val="auto"/>
        </w:rPr>
      </w:pPr>
    </w:p>
    <w:p>
      <w:pPr>
        <w:ind w:right="2919" w:firstLine="480"/>
        <w:spacing w:after="0" w:line="242" w:lineRule="auto"/>
        <w:rPr>
          <w:sz w:val="20"/>
          <w:szCs w:val="20"/>
          <w:color w:val="auto"/>
        </w:rPr>
      </w:pPr>
      <w:r>
        <w:rPr>
          <w:rFonts w:ascii="Courier New" w:cs="Courier New" w:eastAsia="Courier New" w:hAnsi="Courier New"/>
          <w:sz w:val="16"/>
          <w:szCs w:val="16"/>
          <w:color w:val="auto"/>
        </w:rPr>
        <w:t>THIS INDENTURE AND THE SECURITIES SHALL BE GOVERNED BY AND CONSTRUED IN ACCORDANCE WITH THE LAW OF THE STATE OF NEW YORK.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113. Legal Holidays.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any case where any Interest Payment Date, Redemption Date or Stated Maturity of any Security or the last date on which a Holder has the right to convert a Security at a particular conversion price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if applicable to a particular series of Securities, conversion need not be made at such Place of Payment on such date, but may be made on the next succeeding Business Day at such Place of Payment with the same force and effect as if made on the Interest Payment Date or Redemption Date, at the Stated Maturity or on such last day for conversion, as the case may be.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114. Indenture and Securities Solely Corporate Obligations.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 recourse for the payment of the principal of or premium, if any, or interest on any Security, or for any claim based thereon or otherwise in respect thereof, and no recourse under or upon any obligation, covenant or agreement of the Company in this Indenture or in any supplemental indenture or in any Security, or because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9" w:right="1440" w:bottom="1440" w:gutter="0" w:footer="0" w:header="0"/>
        </w:sectPr>
      </w:pPr>
    </w:p>
    <w:bookmarkStart w:id="121" w:name="page122"/>
    <w:bookmarkEnd w:id="121"/>
    <w:p>
      <w:pPr>
        <w:ind w:left="3360"/>
        <w:spacing w:after="0"/>
        <w:rPr>
          <w:sz w:val="20"/>
          <w:szCs w:val="20"/>
          <w:color w:val="auto"/>
        </w:rPr>
      </w:pPr>
      <w:r>
        <w:rPr>
          <w:rFonts w:ascii="Courier New" w:cs="Courier New" w:eastAsia="Courier New" w:hAnsi="Courier New"/>
          <w:sz w:val="16"/>
          <w:szCs w:val="16"/>
          <w:color w:val="auto"/>
        </w:rPr>
        <w:t>ARTICLE TWO</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SECURITY FORMS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201. Forms Generally.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 Any such Board Resolution or record of such action shall have attached thereto a true and correct copy of the form of Security referred to therein approved by or pursuant to such Board Resolution.</w:t>
      </w:r>
    </w:p>
    <w:p>
      <w:pPr>
        <w:spacing w:after="0" w:line="193"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202. Form of Face of Security.</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MICRON TECHNOLOGY, INC.</w:t>
      </w:r>
    </w:p>
    <w:p>
      <w:pPr>
        <w:sectPr>
          <w:pgSz w:w="11900" w:h="16838" w:orient="portrait"/>
          <w:cols w:equalWidth="0" w:num="1">
            <w:col w:w="10219"/>
          </w:cols>
          <w:pgMar w:left="240" w:top="669" w:right="1440"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$_____________</w:t>
      </w:r>
    </w:p>
    <w:p>
      <w:pPr>
        <w:spacing w:after="0" w:line="200" w:lineRule="exact"/>
        <w:rPr>
          <w:sz w:val="20"/>
          <w:szCs w:val="20"/>
          <w:color w:val="auto"/>
        </w:rPr>
      </w:pPr>
    </w:p>
    <w:p>
      <w:pPr>
        <w:sectPr>
          <w:pgSz w:w="11900" w:h="16838" w:orient="portrait"/>
          <w:cols w:equalWidth="0" w:num="2">
            <w:col w:w="5620" w:space="720"/>
            <w:col w:w="3879"/>
          </w:cols>
          <w:pgMar w:left="240" w:top="669" w:right="1440" w:bottom="1440" w:gutter="0" w:footer="0" w:header="0"/>
          <w:type w:val="continuous"/>
        </w:sectPr>
      </w:pPr>
    </w:p>
    <w:p>
      <w:pPr>
        <w:ind w:right="2819" w:firstLine="480"/>
        <w:spacing w:after="0" w:line="243" w:lineRule="auto"/>
        <w:rPr>
          <w:sz w:val="20"/>
          <w:szCs w:val="20"/>
          <w:color w:val="auto"/>
        </w:rPr>
      </w:pPr>
      <w:r>
        <w:rPr>
          <w:rFonts w:ascii="Courier New" w:cs="Courier New" w:eastAsia="Courier New" w:hAnsi="Courier New"/>
          <w:sz w:val="16"/>
          <w:szCs w:val="16"/>
          <w:color w:val="auto"/>
        </w:rPr>
        <w:t>Micron Technology, Inc., a corporation duly organized and existing under the laws of Delaware (herein called the "Company," which term includes any successor Person under the Indenture hereinafter referred to), for value received, hereby promises to pay to ____________, or registered assigns,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sum of _____________ Dollars on _____________________________ [if the</w:t>
      </w:r>
    </w:p>
    <w:p>
      <w:pPr>
        <w:spacing w:after="0" w:line="5"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Security is to bear interest prior to Maturity, insert --, and to pay interest thereon from __________ or from the most recent Interest Payment Date to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has been paid or duly provided for, semi-annually on ___________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 in each year, commencing _________, at the rate of ___% per annum,</w:t>
      </w:r>
    </w:p>
    <w:p>
      <w:pPr>
        <w:spacing w:after="0" w:line="5" w:lineRule="exact"/>
        <w:rPr>
          <w:sz w:val="20"/>
          <w:szCs w:val="20"/>
          <w:color w:val="auto"/>
        </w:rPr>
      </w:pPr>
    </w:p>
    <w:p>
      <w:pPr>
        <w:ind w:right="2539"/>
        <w:spacing w:after="0" w:line="260" w:lineRule="auto"/>
        <w:rPr>
          <w:sz w:val="20"/>
          <w:szCs w:val="20"/>
          <w:color w:val="auto"/>
        </w:rPr>
      </w:pPr>
      <w:r>
        <w:rPr>
          <w:rFonts w:ascii="Courier New" w:cs="Courier New" w:eastAsia="Courier New" w:hAnsi="Courier New"/>
          <w:sz w:val="15"/>
          <w:szCs w:val="15"/>
          <w:color w:val="auto"/>
        </w:rPr>
        <w:t>until the principal hereof is paid or made available for payment [if applicable, insert -- , provided that any principal and premium, and any such instalment of interest, which is overdue shall bear interest at the rate of ___%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______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 (whether or not a Business Day), as the case may be, next preceding such</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9" w:right="1440" w:bottom="1440" w:gutter="0" w:footer="0" w:header="0"/>
          <w:type w:val="continuous"/>
        </w:sectPr>
      </w:pPr>
    </w:p>
    <w:bookmarkStart w:id="122" w:name="page123"/>
    <w:bookmarkEnd w:id="122"/>
    <w:p>
      <w:pPr>
        <w:ind w:right="2539"/>
        <w:spacing w:after="0" w:line="244" w:lineRule="auto"/>
        <w:rPr>
          <w:sz w:val="20"/>
          <w:szCs w:val="20"/>
          <w:color w:val="auto"/>
        </w:rPr>
      </w:pPr>
      <w:r>
        <w:rPr>
          <w:rFonts w:ascii="Courier New" w:cs="Courier New" w:eastAsia="Courier New" w:hAnsi="Courier New"/>
          <w:sz w:val="16"/>
          <w:szCs w:val="16"/>
          <w:color w:val="auto"/>
        </w:rPr>
        <w:t>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 interest at the rate of ___%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___%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191"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Payment of the principal of (and premium, if any) and [if applicable, insert -- any such] interest on this Security will be made at the office or agency of the Company maintained for that purpose in _______, in such coin or</w:t>
      </w:r>
    </w:p>
    <w:p>
      <w:pPr>
        <w:spacing w:after="0" w:line="4"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currency of the United States of America as at the time of payment is legal tender for payment of public and private debts [if applicable, insert -- ; provided, however, that at the option of the Company payment of interest may be made by check mailed to the address of the Person entitled thereto as such address shall appear in the Security Register].</w:t>
      </w:r>
    </w:p>
    <w:p>
      <w:pPr>
        <w:spacing w:after="0" w:line="187" w:lineRule="exact"/>
        <w:rPr>
          <w:sz w:val="20"/>
          <w:szCs w:val="20"/>
          <w:color w:val="auto"/>
        </w:rPr>
      </w:pPr>
    </w:p>
    <w:p>
      <w:pPr>
        <w:jc w:val="both"/>
        <w:ind w:right="2919" w:firstLine="480"/>
        <w:spacing w:after="0" w:line="243" w:lineRule="auto"/>
        <w:rPr>
          <w:sz w:val="20"/>
          <w:szCs w:val="20"/>
          <w:color w:val="auto"/>
        </w:rPr>
      </w:pPr>
      <w:r>
        <w:rPr>
          <w:rFonts w:ascii="Courier New" w:cs="Courier New" w:eastAsia="Courier New" w:hAnsi="Courier New"/>
          <w:sz w:val="16"/>
          <w:szCs w:val="16"/>
          <w:color w:val="auto"/>
        </w:rPr>
        <w:t>Reference is hereby made to the further provisions of this Security set forth on the reverse hereof, which further provisions shall for all purposes have the same effect as if set forth at this place.</w:t>
      </w:r>
    </w:p>
    <w:p>
      <w:pPr>
        <w:spacing w:after="0" w:line="189"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90" w:lineRule="exact"/>
        <w:rPr>
          <w:sz w:val="20"/>
          <w:szCs w:val="20"/>
          <w:color w:val="auto"/>
        </w:rPr>
      </w:pPr>
    </w:p>
    <w:p>
      <w:pPr>
        <w:ind w:right="3119" w:firstLine="480"/>
        <w:spacing w:after="0" w:line="242" w:lineRule="auto"/>
        <w:rPr>
          <w:sz w:val="20"/>
          <w:szCs w:val="20"/>
          <w:color w:val="auto"/>
        </w:rPr>
      </w:pPr>
      <w:r>
        <w:rPr>
          <w:rFonts w:ascii="Courier New" w:cs="Courier New" w:eastAsia="Courier New" w:hAnsi="Courier New"/>
          <w:sz w:val="16"/>
          <w:szCs w:val="16"/>
          <w:color w:val="auto"/>
        </w:rPr>
        <w:t>IN WITNESS WHEREOF, the Company has caused this instrument to be duly executed under its corporate seal.</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Dated:__________________________</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MICRON TECHNOLOGY, INC.</w:t>
      </w:r>
    </w:p>
    <w:p>
      <w:pPr>
        <w:spacing w:after="0" w:line="190"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By:________________________</w:t>
      </w:r>
    </w:p>
    <w:p>
      <w:pPr>
        <w:spacing w:after="0" w:line="15"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Title:_____________________</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Attest:_________________________</w:t>
      </w:r>
    </w:p>
    <w:p>
      <w:pPr>
        <w:spacing w:after="0" w:line="200" w:lineRule="exact"/>
        <w:rPr>
          <w:sz w:val="20"/>
          <w:szCs w:val="20"/>
          <w:color w:val="auto"/>
        </w:rPr>
      </w:pPr>
    </w:p>
    <w:p>
      <w:pPr>
        <w:spacing w:after="0" w:line="358"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5"/>
          <w:szCs w:val="15"/>
          <w:color w:val="auto"/>
        </w:rPr>
        <w:t>Form of Reverse of Security.</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This Security is one of a duly authorized issue of securities of the Company (herein called the "Securities"), issued and to be issued in one or more series under an Indenture, dated as of __________ (herein called the</w:t>
      </w:r>
    </w:p>
    <w:p>
      <w:pPr>
        <w:spacing w:after="0" w:line="4"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"Indenture," which term shall have the meaning assigned to it in such instrument), between the Company and Norwest Bank Minnesota, National Association,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1" w:right="1440" w:bottom="1440" w:gutter="0" w:footer="0" w:header="0"/>
        </w:sectPr>
      </w:pPr>
    </w:p>
    <w:bookmarkStart w:id="123" w:name="page124"/>
    <w:bookmarkEnd w:id="123"/>
    <w:p>
      <w:pPr>
        <w:ind w:left="1" w:right="2539"/>
        <w:spacing w:after="0" w:line="243" w:lineRule="auto"/>
        <w:rPr>
          <w:sz w:val="20"/>
          <w:szCs w:val="20"/>
          <w:color w:val="auto"/>
        </w:rPr>
      </w:pPr>
      <w:r>
        <w:rPr>
          <w:rFonts w:ascii="Courier New" w:cs="Courier New" w:eastAsia="Courier New" w:hAnsi="Courier New"/>
          <w:sz w:val="16"/>
          <w:szCs w:val="16"/>
          <w:color w:val="auto"/>
        </w:rPr>
        <w:t>Trustee and the Holders of the Securities and of the terms upon which the Securities are, and are to be, authenticated and delivered. This Security is one of the series designated on the face hereof [if applicable, insert -- , limited in aggregate principal amount to $________].</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[If applicable, insert -- The Securities of this series are subject to</w:t>
      </w:r>
    </w:p>
    <w:p>
      <w:pPr>
        <w:spacing w:after="0" w:line="5"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5"/>
          <w:szCs w:val="15"/>
          <w:color w:val="auto"/>
        </w:rPr>
        <w:t>redemption upon not less than 30 days' notice by mail, [if applicable, insert --</w:t>
      </w:r>
    </w:p>
    <w:p>
      <w:pPr>
        <w:spacing w:after="0" w:line="15" w:lineRule="exact"/>
        <w:rPr>
          <w:sz w:val="20"/>
          <w:szCs w:val="20"/>
          <w:color w:val="auto"/>
        </w:rPr>
      </w:pPr>
    </w:p>
    <w:p>
      <w:pPr>
        <w:ind w:left="1" w:right="2539" w:hanging="1"/>
        <w:spacing w:after="0" w:line="244" w:lineRule="auto"/>
        <w:tabs>
          <w:tab w:leader="none" w:pos="386"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__________ in any year commencing with the year ________ and ending with the year ________ through operation of the sinking fund for this series at a Redemption Price equal to 100% of the principal amount, and (2)] at any time [if applicable, insert -- on or after __________, 19__], as a whole or in part, at the election of the Company, at the following Redemption Prices (expressed as percentages of the principal amount): If redeemed [if applicable, insert -- on or before __________, ___%, and if redeemed] during the 12-month period beginning ____________ of the years indicated,</w:t>
      </w:r>
    </w:p>
    <w:p>
      <w:pPr>
        <w:spacing w:after="0" w:line="372" w:lineRule="exact"/>
        <w:rPr>
          <w:sz w:val="20"/>
          <w:szCs w:val="20"/>
          <w:color w:val="auto"/>
        </w:rPr>
      </w:pPr>
    </w:p>
    <w:tbl>
      <w:tblPr>
        <w:tblLayout w:type="fixed"/>
        <w:tblInd w:w="681" w:type="dxa"/>
        <w:tblCellMar>
          <w:top w:w="0" w:type="dxa"/>
          <w:left w:w="0" w:type="dxa"/>
          <w:bottom w:w="0" w:type="dxa"/>
          <w:right w:w="0" w:type="dxa"/>
        </w:tblCellMar>
      </w:tblPr>
      <w:tr>
        <w:trPr>
          <w:trHeight w:val="181"/>
        </w:trPr>
        <w:tc>
          <w:tcPr>
            <w:tcW w:w="660" w:type="dxa"/>
            <w:vAlign w:val="bottom"/>
          </w:tcPr>
          <w:p>
            <w:pPr>
              <w:spacing w:after="0"/>
              <w:rPr>
                <w:sz w:val="15"/>
                <w:szCs w:val="15"/>
                <w:color w:val="auto"/>
              </w:rPr>
            </w:pPr>
          </w:p>
        </w:tc>
        <w:tc>
          <w:tcPr>
            <w:tcW w:w="2500" w:type="dxa"/>
            <w:vAlign w:val="bottom"/>
          </w:tcPr>
          <w:p>
            <w:pPr>
              <w:ind w:left="300"/>
              <w:spacing w:after="0"/>
              <w:rPr>
                <w:sz w:val="20"/>
                <w:szCs w:val="20"/>
                <w:color w:val="auto"/>
              </w:rPr>
            </w:pPr>
            <w:r>
              <w:rPr>
                <w:rFonts w:ascii="Courier New" w:cs="Courier New" w:eastAsia="Courier New" w:hAnsi="Courier New"/>
                <w:sz w:val="16"/>
                <w:szCs w:val="16"/>
                <w:color w:val="auto"/>
              </w:rPr>
              <w:t>Redemption</w:t>
            </w:r>
          </w:p>
        </w:tc>
        <w:tc>
          <w:tcPr>
            <w:tcW w:w="1880" w:type="dxa"/>
            <w:vAlign w:val="bottom"/>
          </w:tcPr>
          <w:p>
            <w:pPr>
              <w:spacing w:after="0"/>
              <w:rPr>
                <w:sz w:val="15"/>
                <w:szCs w:val="15"/>
                <w:color w:val="auto"/>
              </w:rPr>
            </w:pPr>
          </w:p>
        </w:tc>
        <w:tc>
          <w:tcPr>
            <w:tcW w:w="1200" w:type="dxa"/>
            <w:vAlign w:val="bottom"/>
          </w:tcPr>
          <w:p>
            <w:pPr>
              <w:ind w:left="240"/>
              <w:spacing w:after="0"/>
              <w:rPr>
                <w:sz w:val="20"/>
                <w:szCs w:val="20"/>
                <w:color w:val="auto"/>
              </w:rPr>
            </w:pPr>
            <w:r>
              <w:rPr>
                <w:rFonts w:ascii="Courier New" w:cs="Courier New" w:eastAsia="Courier New" w:hAnsi="Courier New"/>
                <w:sz w:val="16"/>
                <w:szCs w:val="16"/>
                <w:color w:val="auto"/>
                <w:w w:val="97"/>
              </w:rPr>
              <w:t>Redemption</w:t>
            </w:r>
          </w:p>
        </w:tc>
      </w:tr>
      <w:tr>
        <w:trPr>
          <w:trHeight w:val="185"/>
        </w:trPr>
        <w:tc>
          <w:tcPr>
            <w:tcW w:w="66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2500" w:type="dxa"/>
            <w:vAlign w:val="bottom"/>
          </w:tcPr>
          <w:p>
            <w:pPr>
              <w:ind w:left="480"/>
              <w:spacing w:after="0"/>
              <w:rPr>
                <w:sz w:val="20"/>
                <w:szCs w:val="20"/>
                <w:color w:val="auto"/>
              </w:rPr>
            </w:pPr>
            <w:r>
              <w:rPr>
                <w:rFonts w:ascii="Courier New" w:cs="Courier New" w:eastAsia="Courier New" w:hAnsi="Courier New"/>
                <w:sz w:val="16"/>
                <w:szCs w:val="16"/>
                <w:color w:val="auto"/>
              </w:rPr>
              <w:t>Price</w:t>
            </w:r>
          </w:p>
        </w:tc>
        <w:tc>
          <w:tcPr>
            <w:tcW w:w="1880" w:type="dxa"/>
            <w:vAlign w:val="bottom"/>
          </w:tcPr>
          <w:p>
            <w:pPr>
              <w:ind w:left="1260"/>
              <w:spacing w:after="0"/>
              <w:rPr>
                <w:sz w:val="20"/>
                <w:szCs w:val="20"/>
                <w:color w:val="auto"/>
              </w:rPr>
            </w:pPr>
            <w:r>
              <w:rPr>
                <w:rFonts w:ascii="Courier New" w:cs="Courier New" w:eastAsia="Courier New" w:hAnsi="Courier New"/>
                <w:sz w:val="16"/>
                <w:szCs w:val="16"/>
                <w:color w:val="auto"/>
              </w:rPr>
              <w:t>Year</w:t>
            </w:r>
          </w:p>
        </w:tc>
        <w:tc>
          <w:tcPr>
            <w:tcW w:w="1200" w:type="dxa"/>
            <w:vAlign w:val="bottom"/>
          </w:tcPr>
          <w:p>
            <w:pPr>
              <w:ind w:left="420"/>
              <w:spacing w:after="0"/>
              <w:rPr>
                <w:sz w:val="20"/>
                <w:szCs w:val="20"/>
                <w:color w:val="auto"/>
              </w:rPr>
            </w:pPr>
            <w:r>
              <w:rPr>
                <w:rFonts w:ascii="Courier New" w:cs="Courier New" w:eastAsia="Courier New" w:hAnsi="Courier New"/>
                <w:sz w:val="16"/>
                <w:szCs w:val="16"/>
                <w:color w:val="auto"/>
              </w:rPr>
              <w:t>Price</w:t>
            </w:r>
          </w:p>
        </w:tc>
      </w:tr>
      <w:tr>
        <w:trPr>
          <w:trHeight w:val="185"/>
        </w:trPr>
        <w:tc>
          <w:tcPr>
            <w:tcW w:w="6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ind w:left="12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Courier New" w:cs="Courier New" w:eastAsia="Courier New" w:hAnsi="Courier New"/>
                <w:sz w:val="16"/>
                <w:szCs w:val="16"/>
                <w:color w:val="auto"/>
              </w:rPr>
              <w:t>and thereafter at</w:t>
            </w:r>
          </w:p>
        </w:tc>
        <w:tc>
          <w:tcPr>
            <w:tcW w:w="27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a Redemption Price equal to</w:t>
            </w:r>
          </w:p>
        </w:tc>
        <w:tc>
          <w:tcPr>
            <w:tcW w:w="1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___% of the</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principal amount,</w:t>
            </w:r>
          </w:p>
        </w:tc>
      </w:tr>
      <w:tr>
        <w:trPr>
          <w:trHeight w:val="185"/>
        </w:trPr>
        <w:tc>
          <w:tcPr>
            <w:tcW w:w="3120" w:type="dxa"/>
            <w:vAlign w:val="bottom"/>
            <w:gridSpan w:val="3"/>
          </w:tcPr>
          <w:p>
            <w:pPr>
              <w:spacing w:after="0"/>
              <w:rPr>
                <w:sz w:val="20"/>
                <w:szCs w:val="20"/>
                <w:color w:val="auto"/>
              </w:rPr>
            </w:pPr>
            <w:r>
              <w:rPr>
                <w:rFonts w:ascii="Courier New" w:cs="Courier New" w:eastAsia="Courier New" w:hAnsi="Courier New"/>
                <w:sz w:val="16"/>
                <w:szCs w:val="16"/>
                <w:color w:val="auto"/>
              </w:rPr>
              <w:t>together in the case of any such</w:t>
            </w:r>
          </w:p>
        </w:tc>
        <w:tc>
          <w:tcPr>
            <w:tcW w:w="456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redemption [if applicable, insert -- (whether</w:t>
            </w:r>
          </w:p>
        </w:tc>
      </w:tr>
      <w:tr>
        <w:trPr>
          <w:trHeight w:val="185"/>
        </w:trPr>
        <w:tc>
          <w:tcPr>
            <w:tcW w:w="1680" w:type="dxa"/>
            <w:vAlign w:val="bottom"/>
          </w:tcPr>
          <w:p>
            <w:pPr>
              <w:spacing w:after="0"/>
              <w:rPr>
                <w:sz w:val="20"/>
                <w:szCs w:val="20"/>
                <w:color w:val="auto"/>
              </w:rPr>
            </w:pPr>
            <w:r>
              <w:rPr>
                <w:rFonts w:ascii="Courier New" w:cs="Courier New" w:eastAsia="Courier New" w:hAnsi="Courier New"/>
                <w:sz w:val="16"/>
                <w:szCs w:val="16"/>
                <w:color w:val="auto"/>
              </w:rPr>
              <w:t>through operation</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of the</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sinking</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fund</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or otherwise)]</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with</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accrued interest to</w:t>
            </w:r>
          </w:p>
        </w:tc>
      </w:tr>
      <w:tr>
        <w:trPr>
          <w:trHeight w:val="185"/>
        </w:trPr>
        <w:tc>
          <w:tcPr>
            <w:tcW w:w="2360" w:type="dxa"/>
            <w:vAlign w:val="bottom"/>
            <w:gridSpan w:val="2"/>
          </w:tcPr>
          <w:p>
            <w:pPr>
              <w:spacing w:after="0"/>
              <w:rPr>
                <w:sz w:val="20"/>
                <w:szCs w:val="20"/>
                <w:color w:val="auto"/>
              </w:rPr>
            </w:pPr>
            <w:r>
              <w:rPr>
                <w:rFonts w:ascii="Courier New" w:cs="Courier New" w:eastAsia="Courier New" w:hAnsi="Courier New"/>
                <w:sz w:val="16"/>
                <w:szCs w:val="16"/>
                <w:color w:val="auto"/>
              </w:rPr>
              <w:t>the Redemption Date, but</w:t>
            </w:r>
          </w:p>
        </w:tc>
        <w:tc>
          <w:tcPr>
            <w:tcW w:w="26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interest installments whose</w:t>
            </w:r>
          </w:p>
        </w:tc>
        <w:tc>
          <w:tcPr>
            <w:tcW w:w="26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Stated Maturity is on or</w:t>
            </w:r>
          </w:p>
        </w:tc>
      </w:tr>
      <w:tr>
        <w:trPr>
          <w:trHeight w:val="185"/>
        </w:trPr>
        <w:tc>
          <w:tcPr>
            <w:tcW w:w="2360" w:type="dxa"/>
            <w:vAlign w:val="bottom"/>
            <w:gridSpan w:val="2"/>
          </w:tcPr>
          <w:p>
            <w:pPr>
              <w:spacing w:after="0"/>
              <w:rPr>
                <w:sz w:val="20"/>
                <w:szCs w:val="20"/>
                <w:color w:val="auto"/>
              </w:rPr>
            </w:pPr>
            <w:r>
              <w:rPr>
                <w:rFonts w:ascii="Courier New" w:cs="Courier New" w:eastAsia="Courier New" w:hAnsi="Courier New"/>
                <w:sz w:val="16"/>
                <w:szCs w:val="16"/>
                <w:color w:val="auto"/>
              </w:rPr>
              <w:t>prior to such Redemption</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Date will be</w:t>
            </w:r>
          </w:p>
        </w:tc>
        <w:tc>
          <w:tcPr>
            <w:tcW w:w="780" w:type="dxa"/>
            <w:vAlign w:val="bottom"/>
          </w:tcPr>
          <w:p>
            <w:pPr>
              <w:ind w:left="40"/>
              <w:spacing w:after="0"/>
              <w:rPr>
                <w:sz w:val="20"/>
                <w:szCs w:val="20"/>
                <w:color w:val="auto"/>
              </w:rPr>
            </w:pPr>
            <w:r>
              <w:rPr>
                <w:rFonts w:ascii="Courier New" w:cs="Courier New" w:eastAsia="Courier New" w:hAnsi="Courier New"/>
                <w:sz w:val="16"/>
                <w:szCs w:val="16"/>
                <w:color w:val="auto"/>
              </w:rPr>
              <w:t>payable</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to the</w:t>
            </w:r>
          </w:p>
        </w:tc>
        <w:tc>
          <w:tcPr>
            <w:tcW w:w="26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Holders of such Securities,</w:t>
            </w:r>
          </w:p>
        </w:tc>
      </w:tr>
    </w:tbl>
    <w:p>
      <w:pPr>
        <w:spacing w:after="0" w:line="5" w:lineRule="exact"/>
        <w:rPr>
          <w:sz w:val="20"/>
          <w:szCs w:val="20"/>
          <w:color w:val="auto"/>
        </w:rPr>
      </w:pPr>
    </w:p>
    <w:p>
      <w:pPr>
        <w:ind w:left="1" w:right="2539"/>
        <w:spacing w:after="0" w:line="243" w:lineRule="auto"/>
        <w:rPr>
          <w:sz w:val="20"/>
          <w:szCs w:val="20"/>
          <w:color w:val="auto"/>
        </w:rPr>
      </w:pPr>
      <w:r>
        <w:rPr>
          <w:rFonts w:ascii="Courier New" w:cs="Courier New" w:eastAsia="Courier New" w:hAnsi="Courier New"/>
          <w:sz w:val="16"/>
          <w:szCs w:val="16"/>
          <w:color w:val="auto"/>
        </w:rPr>
        <w:t>or one or more Predecessor Securities, of record at the close of business on the relevant Record Dates referred to on the face hereof, all as provided in the Indenture.]</w:t>
      </w:r>
    </w:p>
    <w:p>
      <w:pPr>
        <w:spacing w:after="0" w:line="189" w:lineRule="exact"/>
        <w:rPr>
          <w:sz w:val="20"/>
          <w:szCs w:val="20"/>
          <w:color w:val="auto"/>
        </w:rPr>
      </w:pPr>
    </w:p>
    <w:p>
      <w:pPr>
        <w:ind w:left="1" w:right="2639" w:firstLine="480"/>
        <w:spacing w:after="0" w:line="260" w:lineRule="auto"/>
        <w:rPr>
          <w:sz w:val="20"/>
          <w:szCs w:val="20"/>
          <w:color w:val="auto"/>
        </w:rPr>
      </w:pPr>
      <w:r>
        <w:rPr>
          <w:rFonts w:ascii="Courier New" w:cs="Courier New" w:eastAsia="Courier New" w:hAnsi="Courier New"/>
          <w:sz w:val="15"/>
          <w:szCs w:val="15"/>
          <w:color w:val="auto"/>
        </w:rPr>
        <w:t>[If applicable, insert -- The Securities of this series are subject to redemption upon not less than 30 days' notice by mail, (1) on __________ in any</w:t>
      </w:r>
    </w:p>
    <w:p>
      <w:pPr>
        <w:ind w:left="1"/>
        <w:spacing w:after="0"/>
        <w:rPr>
          <w:sz w:val="20"/>
          <w:szCs w:val="20"/>
          <w:color w:val="auto"/>
        </w:rPr>
      </w:pPr>
      <w:r>
        <w:rPr>
          <w:rFonts w:ascii="Courier New" w:cs="Courier New" w:eastAsia="Courier New" w:hAnsi="Courier New"/>
          <w:sz w:val="16"/>
          <w:szCs w:val="16"/>
          <w:color w:val="auto"/>
        </w:rPr>
        <w:t>year commencing with the year _____ and ending with the year _____ through</w:t>
      </w:r>
    </w:p>
    <w:p>
      <w:pPr>
        <w:spacing w:after="0" w:line="5" w:lineRule="exact"/>
        <w:rPr>
          <w:sz w:val="20"/>
          <w:szCs w:val="20"/>
          <w:color w:val="auto"/>
        </w:rPr>
      </w:pPr>
    </w:p>
    <w:p>
      <w:pPr>
        <w:ind w:left="1" w:right="2819"/>
        <w:spacing w:after="0" w:line="243" w:lineRule="auto"/>
        <w:rPr>
          <w:sz w:val="20"/>
          <w:szCs w:val="20"/>
          <w:color w:val="auto"/>
        </w:rPr>
      </w:pPr>
      <w:r>
        <w:rPr>
          <w:rFonts w:ascii="Courier New" w:cs="Courier New" w:eastAsia="Courier New" w:hAnsi="Courier New"/>
          <w:sz w:val="16"/>
          <w:szCs w:val="16"/>
          <w:color w:val="auto"/>
        </w:rPr>
        <w:t>operation of the sinking fund for this series at the Redemption Prices for redemption through operation of the sinking fund (expressed as percentages of the principal amount) set forth in the table below, and (2) at any time [if</w:t>
      </w:r>
    </w:p>
    <w:p>
      <w:pPr>
        <w:spacing w:after="0" w:line="2"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100" w:type="dxa"/>
            <w:vAlign w:val="bottom"/>
            <w:gridSpan w:val="2"/>
          </w:tcPr>
          <w:p>
            <w:pPr>
              <w:spacing w:after="0"/>
              <w:rPr>
                <w:sz w:val="20"/>
                <w:szCs w:val="20"/>
                <w:color w:val="auto"/>
              </w:rPr>
            </w:pPr>
            <w:r>
              <w:rPr>
                <w:rFonts w:ascii="Courier New" w:cs="Courier New" w:eastAsia="Courier New" w:hAnsi="Courier New"/>
                <w:sz w:val="16"/>
                <w:szCs w:val="16"/>
                <w:color w:val="auto"/>
              </w:rPr>
              <w:t>applicable,</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insert -- 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or</w:t>
            </w:r>
          </w:p>
        </w:tc>
        <w:tc>
          <w:tcPr>
            <w:tcW w:w="2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after __________], as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a whole or</w:t>
            </w:r>
          </w:p>
        </w:tc>
        <w:tc>
          <w:tcPr>
            <w:tcW w:w="1860" w:type="dxa"/>
            <w:vAlign w:val="bottom"/>
          </w:tcPr>
          <w:p>
            <w:pPr>
              <w:ind w:left="40"/>
              <w:spacing w:after="0"/>
              <w:rPr>
                <w:sz w:val="20"/>
                <w:szCs w:val="20"/>
                <w:color w:val="auto"/>
              </w:rPr>
            </w:pPr>
            <w:r>
              <w:rPr>
                <w:rFonts w:ascii="Courier New" w:cs="Courier New" w:eastAsia="Courier New" w:hAnsi="Courier New"/>
                <w:sz w:val="16"/>
                <w:szCs w:val="16"/>
                <w:color w:val="auto"/>
              </w:rPr>
              <w:t>in part, at the</w:t>
            </w:r>
          </w:p>
        </w:tc>
      </w:tr>
      <w:tr>
        <w:trPr>
          <w:trHeight w:val="185"/>
        </w:trPr>
        <w:tc>
          <w:tcPr>
            <w:tcW w:w="2360" w:type="dxa"/>
            <w:vAlign w:val="bottom"/>
            <w:gridSpan w:val="4"/>
          </w:tcPr>
          <w:p>
            <w:pPr>
              <w:spacing w:after="0"/>
              <w:rPr>
                <w:sz w:val="20"/>
                <w:szCs w:val="20"/>
                <w:color w:val="auto"/>
              </w:rPr>
            </w:pPr>
            <w:r>
              <w:rPr>
                <w:rFonts w:ascii="Courier New" w:cs="Courier New" w:eastAsia="Courier New" w:hAnsi="Courier New"/>
                <w:sz w:val="16"/>
                <w:szCs w:val="16"/>
                <w:color w:val="auto"/>
              </w:rPr>
              <w:t>election of the Company,</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at</w:t>
            </w:r>
          </w:p>
        </w:tc>
        <w:tc>
          <w:tcPr>
            <w:tcW w:w="2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Redemption Prices</w:t>
            </w:r>
          </w:p>
        </w:tc>
        <w:tc>
          <w:tcPr>
            <w:tcW w:w="2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for redemption otherwise than</w:t>
            </w:r>
          </w:p>
        </w:tc>
      </w:tr>
      <w:tr>
        <w:trPr>
          <w:trHeight w:val="185"/>
        </w:trPr>
        <w:tc>
          <w:tcPr>
            <w:tcW w:w="720" w:type="dxa"/>
            <w:vAlign w:val="bottom"/>
          </w:tcPr>
          <w:p>
            <w:pPr>
              <w:spacing w:after="0"/>
              <w:rPr>
                <w:sz w:val="20"/>
                <w:szCs w:val="20"/>
                <w:color w:val="auto"/>
              </w:rPr>
            </w:pPr>
            <w:r>
              <w:rPr>
                <w:rFonts w:ascii="Courier New" w:cs="Courier New" w:eastAsia="Courier New" w:hAnsi="Courier New"/>
                <w:sz w:val="16"/>
                <w:szCs w:val="16"/>
                <w:color w:val="auto"/>
              </w:rPr>
              <w:t>through</w:t>
            </w: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operation</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of the</w:t>
            </w:r>
          </w:p>
        </w:tc>
        <w:tc>
          <w:tcPr>
            <w:tcW w:w="1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sinking fund</w:t>
            </w:r>
          </w:p>
        </w:tc>
        <w:tc>
          <w:tcPr>
            <w:tcW w:w="40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(expressed as percentages of the principal</w:t>
            </w:r>
          </w:p>
        </w:tc>
      </w:tr>
      <w:tr>
        <w:trPr>
          <w:trHeight w:val="0"/>
        </w:trPr>
        <w:tc>
          <w:tcPr>
            <w:tcW w:w="720" w:type="dxa"/>
            <w:vAlign w:val="bottom"/>
          </w:tcPr>
          <w:p>
            <w:pPr>
              <w:spacing w:after="0"/>
              <w:rPr>
                <w:sz w:val="20"/>
                <w:szCs w:val="20"/>
                <w:color w:val="auto"/>
              </w:rPr>
            </w:pPr>
            <w:r>
              <w:rPr>
                <w:rFonts w:ascii="Courier New" w:cs="Courier New" w:eastAsia="Courier New" w:hAnsi="Courier New"/>
                <w:sz w:val="16"/>
                <w:szCs w:val="16"/>
                <w:color w:val="auto"/>
              </w:rPr>
              <w:t>amount)</w:t>
            </w: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set forth</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in the</w:t>
            </w:r>
          </w:p>
        </w:tc>
        <w:tc>
          <w:tcPr>
            <w:tcW w:w="1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table below:</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If redeemed during the</w:t>
            </w:r>
          </w:p>
        </w:tc>
        <w:tc>
          <w:tcPr>
            <w:tcW w:w="1860" w:type="dxa"/>
            <w:vAlign w:val="bottom"/>
          </w:tcPr>
          <w:p>
            <w:pPr>
              <w:ind w:left="40"/>
              <w:spacing w:after="0"/>
              <w:rPr>
                <w:sz w:val="20"/>
                <w:szCs w:val="20"/>
                <w:color w:val="auto"/>
              </w:rPr>
            </w:pPr>
            <w:r>
              <w:rPr>
                <w:rFonts w:ascii="Courier New" w:cs="Courier New" w:eastAsia="Courier New" w:hAnsi="Courier New"/>
                <w:sz w:val="16"/>
                <w:szCs w:val="16"/>
                <w:color w:val="auto"/>
              </w:rPr>
              <w:t>12-month period</w:t>
            </w: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beginning __________ of the years indicated,</w:t>
      </w:r>
    </w:p>
    <w:p>
      <w:pPr>
        <w:sectPr>
          <w:pgSz w:w="11900" w:h="16838" w:orient="portrait"/>
          <w:cols w:equalWidth="0" w:num="1">
            <w:col w:w="10221"/>
          </w:cols>
          <w:pgMar w:left="239" w:top="6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Year</w:t>
      </w:r>
    </w:p>
    <w:p>
      <w:pPr>
        <w:spacing w:after="0" w:line="15" w:lineRule="exact"/>
        <w:rPr>
          <w:sz w:val="20"/>
          <w:szCs w:val="20"/>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Price For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 Through</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Operation of the</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Sinking Fund</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Redemption Price For</w:t>
      </w:r>
    </w:p>
    <w:p>
      <w:pPr>
        <w:spacing w:after="0" w:line="1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Redemption Otherwise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 Through Operation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of the Sinking Fund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81" w:space="580"/>
            <w:col w:w="2820" w:space="720"/>
            <w:col w:w="5519"/>
          </w:cols>
          <w:pgMar w:left="239" w:top="67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and thereafter at a Redemption Price equal to ____% of the principal amount,</w:t>
      </w:r>
    </w:p>
    <w:p>
      <w:pPr>
        <w:spacing w:after="0" w:line="5" w:lineRule="exact"/>
        <w:rPr>
          <w:sz w:val="20"/>
          <w:szCs w:val="20"/>
          <w:color w:val="auto"/>
        </w:rPr>
      </w:pPr>
    </w:p>
    <w:p>
      <w:pPr>
        <w:ind w:left="1" w:right="2639"/>
        <w:spacing w:after="0" w:line="263" w:lineRule="auto"/>
        <w:rPr>
          <w:sz w:val="20"/>
          <w:szCs w:val="20"/>
          <w:color w:val="auto"/>
        </w:rPr>
      </w:pPr>
      <w:r>
        <w:rPr>
          <w:rFonts w:ascii="Courier New" w:cs="Courier New" w:eastAsia="Courier New" w:hAnsi="Courier New"/>
          <w:sz w:val="15"/>
          <w:szCs w:val="15"/>
          <w:color w:val="auto"/>
        </w:rPr>
        <w:t>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200" w:lineRule="exact"/>
        <w:rPr>
          <w:sz w:val="20"/>
          <w:szCs w:val="20"/>
          <w:color w:val="auto"/>
        </w:rPr>
      </w:pPr>
    </w:p>
    <w:p>
      <w:pPr>
        <w:spacing w:after="0" w:line="344"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1"/>
          </w:cols>
          <w:pgMar w:left="239" w:top="671" w:right="1440" w:bottom="1440" w:gutter="0" w:footer="0" w:header="0"/>
          <w:type w:val="continuous"/>
        </w:sectPr>
      </w:pPr>
    </w:p>
    <w:bookmarkStart w:id="124" w:name="page125"/>
    <w:bookmarkEnd w:id="124"/>
    <w:p>
      <w:pPr>
        <w:ind w:left="1" w:right="2719" w:firstLine="480"/>
        <w:spacing w:after="0" w:line="242" w:lineRule="auto"/>
        <w:rPr>
          <w:sz w:val="20"/>
          <w:szCs w:val="20"/>
          <w:color w:val="auto"/>
        </w:rPr>
      </w:pPr>
      <w:r>
        <w:rPr>
          <w:rFonts w:ascii="Courier New" w:cs="Courier New" w:eastAsia="Courier New" w:hAnsi="Courier New"/>
          <w:sz w:val="16"/>
          <w:szCs w:val="16"/>
          <w:color w:val="auto"/>
        </w:rPr>
        <w:t>[If applicable, insert -- Notwithstanding the foregoing, the Company may not, prior to __________, redeem any Securities of this series as contemplated</w:t>
      </w:r>
    </w:p>
    <w:p>
      <w:pPr>
        <w:spacing w:after="0" w:line="4"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by [if applicable, insert -- Clause (2) of] the preceding paragraph as a part of, or in anticipation of, any refunding operation by the application, directly or indirectly, of moneys borrowed having an interest cost to the Company (calculated in accordance with generally accepted financial practice) of less than ___% per annum.]</w:t>
      </w:r>
    </w:p>
    <w:p>
      <w:pPr>
        <w:spacing w:after="0" w:line="187"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[If applicable, insert -- The sinking fund for this series provides for the redemption on __________ in each year beginning with the year ______ and ending</w:t>
      </w:r>
    </w:p>
    <w:p>
      <w:pPr>
        <w:ind w:left="1"/>
        <w:spacing w:after="0"/>
        <w:rPr>
          <w:sz w:val="20"/>
          <w:szCs w:val="20"/>
          <w:color w:val="auto"/>
        </w:rPr>
      </w:pPr>
      <w:r>
        <w:rPr>
          <w:rFonts w:ascii="Courier New" w:cs="Courier New" w:eastAsia="Courier New" w:hAnsi="Courier New"/>
          <w:sz w:val="16"/>
          <w:szCs w:val="16"/>
          <w:color w:val="auto"/>
        </w:rPr>
        <w:t>with the year ______ of [if applicable, insert -- not less than $_______</w:t>
      </w:r>
    </w:p>
    <w:p>
      <w:pPr>
        <w:spacing w:after="0" w:line="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("mandatory sinking fund") and not more than] $_______ aggregate principal</w:t>
      </w:r>
    </w:p>
    <w:p>
      <w:pPr>
        <w:spacing w:after="0" w:line="5" w:lineRule="exact"/>
        <w:rPr>
          <w:sz w:val="20"/>
          <w:szCs w:val="20"/>
          <w:color w:val="auto"/>
        </w:rPr>
      </w:pPr>
    </w:p>
    <w:p>
      <w:pPr>
        <w:ind w:left="1" w:right="3119"/>
        <w:spacing w:after="0" w:line="242" w:lineRule="auto"/>
        <w:rPr>
          <w:sz w:val="20"/>
          <w:szCs w:val="20"/>
          <w:color w:val="auto"/>
        </w:rPr>
      </w:pPr>
      <w:r>
        <w:rPr>
          <w:rFonts w:ascii="Courier New" w:cs="Courier New" w:eastAsia="Courier New" w:hAnsi="Courier New"/>
          <w:sz w:val="16"/>
          <w:szCs w:val="16"/>
          <w:color w:val="auto"/>
        </w:rPr>
        <w:t>amount of Securities of this series. Securities of this series acquired or redeemed by the Company otherwise than through [if applicable, insert</w:t>
      </w:r>
    </w:p>
    <w:p>
      <w:pPr>
        <w:spacing w:after="0" w:line="4" w:lineRule="exact"/>
        <w:rPr>
          <w:sz w:val="20"/>
          <w:szCs w:val="20"/>
          <w:color w:val="auto"/>
        </w:rPr>
      </w:pPr>
    </w:p>
    <w:p>
      <w:pPr>
        <w:ind w:left="1" w:right="2639" w:hanging="1"/>
        <w:spacing w:after="0" w:line="243" w:lineRule="auto"/>
        <w:tabs>
          <w:tab w:leader="none" w:pos="193"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sinking fund payments may be credited against subsequent [if applicable, insert -- mandatory] sinking fund payments otherwise required to be made [if applicable, insert -- , in the inverse order in which they become due].]</w:t>
      </w:r>
    </w:p>
    <w:p>
      <w:pPr>
        <w:spacing w:after="0" w:line="190" w:lineRule="exact"/>
        <w:rPr>
          <w:sz w:val="20"/>
          <w:szCs w:val="20"/>
          <w:color w:val="auto"/>
        </w:rPr>
      </w:pPr>
    </w:p>
    <w:p>
      <w:pPr>
        <w:ind w:left="1" w:right="2639" w:firstLine="480"/>
        <w:spacing w:after="0" w:line="243" w:lineRule="auto"/>
        <w:rPr>
          <w:sz w:val="20"/>
          <w:szCs w:val="20"/>
          <w:color w:val="auto"/>
        </w:rPr>
      </w:pPr>
      <w:r>
        <w:rPr>
          <w:rFonts w:ascii="Courier New" w:cs="Courier New" w:eastAsia="Courier New" w:hAnsi="Courier New"/>
          <w:sz w:val="16"/>
          <w:szCs w:val="16"/>
          <w:color w:val="auto"/>
        </w:rPr>
        <w:t>[If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w:t>
      </w:r>
    </w:p>
    <w:p>
      <w:pPr>
        <w:spacing w:after="0" w:line="190" w:lineRule="exact"/>
        <w:rPr>
          <w:sz w:val="20"/>
          <w:szCs w:val="20"/>
          <w:color w:val="auto"/>
        </w:rPr>
      </w:pPr>
    </w:p>
    <w:p>
      <w:pPr>
        <w:ind w:left="1" w:right="2539" w:firstLine="480"/>
        <w:spacing w:after="0" w:line="265" w:lineRule="auto"/>
        <w:rPr>
          <w:sz w:val="20"/>
          <w:szCs w:val="20"/>
          <w:color w:val="auto"/>
        </w:rPr>
      </w:pPr>
      <w:r>
        <w:rPr>
          <w:rFonts w:ascii="Courier New" w:cs="Courier New" w:eastAsia="Courier New" w:hAnsi="Courier New"/>
          <w:sz w:val="15"/>
          <w:szCs w:val="15"/>
          <w:color w:val="auto"/>
        </w:rPr>
        <w:t>[If applicable, insert --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72"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[If the Security is convertible into Common Stock of the Company, insert</w:t>
      </w:r>
    </w:p>
    <w:p>
      <w:pPr>
        <w:spacing w:after="0" w:line="5" w:lineRule="exact"/>
        <w:rPr>
          <w:sz w:val="20"/>
          <w:szCs w:val="20"/>
          <w:color w:val="auto"/>
        </w:rPr>
      </w:pPr>
    </w:p>
    <w:p>
      <w:pPr>
        <w:ind w:left="1" w:right="2539" w:hanging="1"/>
        <w:spacing w:after="0" w:line="244" w:lineRule="auto"/>
        <w:tabs>
          <w:tab w:leader="none" w:pos="193"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the Indenture, the Holder of this Security is entitled, at its option, at any time on or before [insert date] (except that, in case this Security or any portion hereof shall be called for redemption, such right shall terminate with respect to this Security or portion hereof, as the case may be, so called for redemption at the close of business on the first Business Day preceding the date fixed for redemption as provided in the Indenture unless the Company defaults in making the payment due upon redemption), to convert the principal amount of this Security (or any portion hereof which is $1,000 or an integral multiple thereof), into fully paid and non-assessable shares (calculated as to each conversion to the nearest 1/100th of a share) of the Common Stock of the Company, as said shares shall be constituted at the date of conversion, at the conversion price of $______</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amount of Securities for each share of Common Stock, or at the adjusted conversion price in effect at the date of conversion determined as provided in the Indenture, upon surrender of this Security, together with the conversion notice hereon duly executed, to the Company at the designated office or agency of the Company in __________, accompanied (if so required by the Company) by instruments of transfer, in form satisfactory to the Company and to the Trustee, duly executed by the Holder or by its duly authorized attorney in writing. Such surrender shall, if made during any period beginning at the close of business on a Regular Record Date and ending at the opening of business on the Interest Payment Date next following such Regular Record Date (unless this Security or the portion being converted shall have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also be accompanied by payment in funds acceptable to the Company of an amount equal to the interest payable on such Interest Payment Date on the principal amount of this Security then being converted. Subject to the aforesaid requirement for payment and, in the case of a conversion after the Regular Record Date next preceding any Interest Payment Date and on or before such Interest Payment Date, to the right of the Holder of this Security (or any Predecessor Security) of record at such Regular Record Date to receive an installment of interest (with certain exceptions provided in the Indenture), no adjustment is to be made on conversion for interest accrued hereon or for dividends on shares of Common Stock issued on conversion. The Company is not required to issue fractional shares upon any such conversion, but shall make adjustment therefor in cash on the basis of the current market value of such fractional interest as provided in the Indenture. The conversion price is subject to adjustment as provided in the Indenture. In addition, the Indenture provides that in case of certain consolidations or mergers to which the Company</w:t>
      </w:r>
    </w:p>
    <w:p>
      <w:pPr>
        <w:spacing w:after="0" w:line="1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9" w:top="671" w:right="1440" w:bottom="1440" w:gutter="0" w:footer="0" w:header="0"/>
        </w:sectPr>
      </w:pPr>
    </w:p>
    <w:bookmarkStart w:id="125" w:name="page126"/>
    <w:bookmarkEnd w:id="125"/>
    <w:p>
      <w:pPr>
        <w:ind w:right="2539"/>
        <w:spacing w:after="0" w:line="244" w:lineRule="auto"/>
        <w:rPr>
          <w:sz w:val="20"/>
          <w:szCs w:val="20"/>
          <w:color w:val="auto"/>
        </w:rPr>
      </w:pPr>
      <w:r>
        <w:rPr>
          <w:rFonts w:ascii="Courier New" w:cs="Courier New" w:eastAsia="Courier New" w:hAnsi="Courier New"/>
          <w:sz w:val="16"/>
          <w:szCs w:val="16"/>
          <w:color w:val="auto"/>
        </w:rPr>
        <w:t>is a party or the sale of substantially all of the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the consolidation, merger or sale by a holder of the number of shares of Common Stock into which this Security might have been converted immediately prior to such consolidation, merger or sale (assuming such holder of Common Stock failed to exercise any rights of election and received per share the kind and amount received per share by a plurality of non-electing shares). In the event of conversion of this Security in part only, a new Security or Securities for the unconverted portion hereof shall be issued in the name of the Holder hereof upon the cancellation hereof.]</w:t>
      </w:r>
    </w:p>
    <w:p>
      <w:pPr>
        <w:spacing w:after="0" w:line="191"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[If the Security is convertible into other securities of the Company, specify the conversion features.]</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in the Indenture.]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 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200" w:lineRule="exact"/>
        <w:rPr>
          <w:sz w:val="20"/>
          <w:szCs w:val="20"/>
          <w:color w:val="auto"/>
        </w:rPr>
      </w:pPr>
    </w:p>
    <w:p>
      <w:pPr>
        <w:spacing w:after="0" w:line="35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1" w:right="1440" w:bottom="1440" w:gutter="0" w:footer="0" w:header="0"/>
        </w:sectPr>
      </w:pPr>
    </w:p>
    <w:bookmarkStart w:id="126" w:name="page127"/>
    <w:bookmarkEnd w:id="126"/>
    <w:p>
      <w:pPr>
        <w:ind w:right="2539" w:firstLine="480"/>
        <w:spacing w:after="0" w:line="244" w:lineRule="auto"/>
        <w:rPr>
          <w:sz w:val="20"/>
          <w:szCs w:val="20"/>
          <w:color w:val="auto"/>
        </w:rPr>
      </w:pPr>
      <w:r>
        <w:rPr>
          <w:rFonts w:ascii="Courier New" w:cs="Courier New" w:eastAsia="Courier New" w:hAnsi="Courier New"/>
          <w:sz w:val="16"/>
          <w:szCs w:val="16"/>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7"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78" w:lineRule="exact"/>
        <w:rPr>
          <w:sz w:val="20"/>
          <w:szCs w:val="20"/>
          <w:color w:val="auto"/>
        </w:rPr>
      </w:pPr>
    </w:p>
    <w:p>
      <w:pPr>
        <w:ind w:right="2639" w:firstLine="480"/>
        <w:spacing w:after="0" w:line="260" w:lineRule="auto"/>
        <w:rPr>
          <w:sz w:val="20"/>
          <w:szCs w:val="20"/>
          <w:color w:val="auto"/>
        </w:rPr>
      </w:pPr>
      <w:r>
        <w:rPr>
          <w:rFonts w:ascii="Courier New" w:cs="Courier New" w:eastAsia="Courier New" w:hAnsi="Courier New"/>
          <w:sz w:val="15"/>
          <w:szCs w:val="15"/>
          <w:color w:val="auto"/>
        </w:rPr>
        <w:t>The Securities of this series are issuable only in registered form without coupons in denominations of $______ and any integral multiple thereof. As</w:t>
      </w:r>
    </w:p>
    <w:p>
      <w:pPr>
        <w:spacing w:after="0" w:line="1"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90"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No service charge shall be made for any such registration of transfer or exchange, but the Company may require payment of a sum sufficient to cover any tax or other governmental charge payable in connection therewith.</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7"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All terms used in this Security which are defined in the Indenture shall have the meanings assigned to them in the Indenture.</w:t>
      </w:r>
    </w:p>
    <w:p>
      <w:pPr>
        <w:spacing w:after="0" w:line="187"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6"/>
          <w:szCs w:val="16"/>
          <w:color w:val="auto"/>
        </w:rPr>
        <w:t>SECTION 204.</w:t>
      </w:r>
      <w:r>
        <w:rPr>
          <w:sz w:val="20"/>
          <w:szCs w:val="20"/>
          <w:color w:val="auto"/>
        </w:rPr>
        <w:tab/>
      </w:r>
      <w:r>
        <w:rPr>
          <w:rFonts w:ascii="Courier New" w:cs="Courier New" w:eastAsia="Courier New" w:hAnsi="Courier New"/>
          <w:sz w:val="16"/>
          <w:szCs w:val="16"/>
          <w:color w:val="auto"/>
        </w:rPr>
        <w:t>Form of Legend for Global Securities.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Unless otherwise specified as contemplated by Section 301 for the Securities evidenced thereby, every Global Security authenticated and delivered hereunder shall bear a legend in substantially the following form:</w:t>
      </w:r>
    </w:p>
    <w:p>
      <w:pPr>
        <w:spacing w:after="0" w:line="189" w:lineRule="exact"/>
        <w:rPr>
          <w:sz w:val="20"/>
          <w:szCs w:val="20"/>
          <w:color w:val="auto"/>
        </w:rPr>
      </w:pPr>
    </w:p>
    <w:p>
      <w:pPr>
        <w:ind w:right="2539"/>
        <w:spacing w:after="0" w:line="263" w:lineRule="auto"/>
        <w:rPr>
          <w:sz w:val="20"/>
          <w:szCs w:val="20"/>
          <w:color w:val="auto"/>
        </w:rPr>
      </w:pPr>
      <w:r>
        <w:rPr>
          <w:rFonts w:ascii="Courier New" w:cs="Courier New" w:eastAsia="Courier New" w:hAnsi="Courier New"/>
          <w:sz w:val="15"/>
          <w:szCs w:val="15"/>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200" w:lineRule="exact"/>
        <w:rPr>
          <w:sz w:val="20"/>
          <w:szCs w:val="20"/>
          <w:color w:val="auto"/>
        </w:rPr>
      </w:pPr>
    </w:p>
    <w:p>
      <w:pPr>
        <w:spacing w:after="0" w:line="34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1" w:right="1440" w:bottom="1440" w:gutter="0" w:footer="0" w:header="0"/>
        </w:sectPr>
      </w:pPr>
    </w:p>
    <w:bookmarkStart w:id="127" w:name="page128"/>
    <w:bookmarkEnd w:id="127"/>
    <w:p>
      <w:pPr>
        <w:spacing w:after="0"/>
        <w:tabs>
          <w:tab w:leader="none" w:pos="2000" w:val="left"/>
        </w:tabs>
        <w:rPr>
          <w:sz w:val="20"/>
          <w:szCs w:val="20"/>
          <w:color w:val="auto"/>
        </w:rPr>
      </w:pPr>
      <w:r>
        <w:rPr>
          <w:rFonts w:ascii="Courier New" w:cs="Courier New" w:eastAsia="Courier New" w:hAnsi="Courier New"/>
          <w:sz w:val="16"/>
          <w:szCs w:val="16"/>
          <w:color w:val="auto"/>
        </w:rPr>
        <w:t>SECTION 205.</w:t>
      </w:r>
      <w:r>
        <w:rPr>
          <w:sz w:val="20"/>
          <w:szCs w:val="20"/>
          <w:color w:val="auto"/>
        </w:rPr>
        <w:tab/>
      </w:r>
      <w:r>
        <w:rPr>
          <w:rFonts w:ascii="Courier New" w:cs="Courier New" w:eastAsia="Courier New" w:hAnsi="Courier New"/>
          <w:sz w:val="15"/>
          <w:szCs w:val="15"/>
          <w:color w:val="auto"/>
        </w:rPr>
        <w:t>Form of Trustee's Certificate of Authentication.</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The Trustee's certificates of authentication shall be in substantially the following form:</w:t>
      </w:r>
    </w:p>
    <w:p>
      <w:pPr>
        <w:spacing w:after="0" w:line="189"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This is one of the Securities of the series designated herein referred to in the within-mentioned Indenture.</w:t>
      </w:r>
    </w:p>
    <w:p>
      <w:pPr>
        <w:spacing w:after="0" w:line="372"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NORWEST BANK MINNESOTA, NATIONAL ASSOCIATION,</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As Trustee</w:t>
      </w:r>
    </w:p>
    <w:p>
      <w:pPr>
        <w:spacing w:after="0" w:line="373"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By:__________________________________________</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Authorized Officer</w:t>
      </w:r>
    </w:p>
    <w:p>
      <w:pPr>
        <w:spacing w:after="0" w:line="188"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6"/>
          <w:szCs w:val="16"/>
          <w:color w:val="auto"/>
        </w:rPr>
        <w:t>SECTION 206.</w:t>
      </w:r>
      <w:r>
        <w:rPr>
          <w:sz w:val="20"/>
          <w:szCs w:val="20"/>
          <w:color w:val="auto"/>
        </w:rPr>
        <w:tab/>
      </w:r>
      <w:r>
        <w:rPr>
          <w:rFonts w:ascii="Courier New" w:cs="Courier New" w:eastAsia="Courier New" w:hAnsi="Courier New"/>
          <w:sz w:val="16"/>
          <w:szCs w:val="16"/>
          <w:color w:val="auto"/>
        </w:rPr>
        <w:t>Form of Conversion Notice.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To Micron Technology, Inc.:</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on a date after the close of business on a Regular Record Date and prior to the opening of business on the related Interest Payment Date (unless this Security or the portion thereof being converted has been called for redemption on a Redemption Date within such period),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37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Principal Amount to be Converted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an integral multiple of $1,000, if less than all)</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U.S. $_________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Dated:______________</w:t>
      </w:r>
    </w:p>
    <w:p>
      <w:pPr>
        <w:spacing w:after="0" w:line="200" w:lineRule="exact"/>
        <w:rPr>
          <w:sz w:val="20"/>
          <w:szCs w:val="20"/>
          <w:color w:val="auto"/>
        </w:rPr>
      </w:pPr>
    </w:p>
    <w:p>
      <w:pPr>
        <w:spacing w:after="0" w:line="35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Signature(s) must be guaranteed by a qualified guarantor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institution if shares of Common Stock are to be</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delivered, or Securities to be issued, other than to and in</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the name of the registered owner.</w:t>
      </w:r>
    </w:p>
    <w:p>
      <w:pPr>
        <w:spacing w:after="0" w:line="375"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Signature Guaranty</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0" w:right="1440" w:bottom="1440" w:gutter="0" w:footer="0" w:header="0"/>
        </w:sectPr>
      </w:pPr>
    </w:p>
    <w:bookmarkStart w:id="128" w:name="page129"/>
    <w:bookmarkEnd w:id="128"/>
    <w:p>
      <w:pPr>
        <w:ind w:left="1" w:right="2819" w:firstLine="480"/>
        <w:spacing w:after="0" w:line="242" w:lineRule="auto"/>
        <w:rPr>
          <w:sz w:val="20"/>
          <w:szCs w:val="20"/>
          <w:color w:val="auto"/>
        </w:rPr>
      </w:pPr>
      <w:r>
        <w:rPr>
          <w:rFonts w:ascii="Courier New" w:cs="Courier New" w:eastAsia="Courier New" w:hAnsi="Courier New"/>
          <w:sz w:val="16"/>
          <w:szCs w:val="16"/>
          <w:color w:val="auto"/>
        </w:rPr>
        <w:t>Fill in for registration of shares of Common Stock and Security if to be issued otherwise than to the registered Holder.</w:t>
      </w:r>
    </w:p>
    <w:p>
      <w:pPr>
        <w:sectPr>
          <w:pgSz w:w="11900" w:h="16838" w:orient="portrait"/>
          <w:cols w:equalWidth="0" w:num="1">
            <w:col w:w="10221"/>
          </w:cols>
          <w:pgMar w:left="239" w:top="671"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Social Security or Other Taxpayer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188" w:lineRule="exact"/>
        <w:rPr>
          <w:sz w:val="20"/>
          <w:szCs w:val="20"/>
          <w:color w:val="auto"/>
        </w:rPr>
      </w:pPr>
    </w:p>
    <w:p>
      <w:pPr>
        <w:sectPr>
          <w:pgSz w:w="11900" w:h="16838" w:orient="portrait"/>
          <w:cols w:equalWidth="0" w:num="2">
            <w:col w:w="3941" w:space="0"/>
            <w:col w:w="6279"/>
          </w:cols>
          <w:pgMar w:left="239" w:top="671" w:right="1440" w:bottom="1440" w:gutter="0" w:footer="0" w:header="0"/>
          <w:type w:val="continuous"/>
        </w:sectPr>
      </w:pPr>
    </w:p>
    <w:p>
      <w:pPr>
        <w:ind w:left="201" w:hanging="201"/>
        <w:spacing w:after="0"/>
        <w:tabs>
          <w:tab w:leader="none" w:pos="201"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(Address)</w:t>
      </w:r>
    </w:p>
    <w:p>
      <w:pPr>
        <w:spacing w:after="0" w:line="37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7439"/>
        <w:spacing w:after="0" w:line="27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Please print Name and Address (including zip code number)</w:t>
      </w:r>
    </w:p>
    <w:p>
      <w:pPr>
        <w:spacing w:after="0" w:line="166" w:lineRule="exact"/>
        <w:rPr>
          <w:sz w:val="20"/>
          <w:szCs w:val="20"/>
          <w:color w:val="auto"/>
        </w:rPr>
      </w:pPr>
    </w:p>
    <w:p>
      <w:pPr>
        <w:ind w:left="1" w:right="2539"/>
        <w:spacing w:after="0" w:line="242" w:lineRule="auto"/>
        <w:rPr>
          <w:sz w:val="20"/>
          <w:szCs w:val="20"/>
          <w:color w:val="auto"/>
        </w:rPr>
      </w:pPr>
      <w:r>
        <w:rPr>
          <w:rFonts w:ascii="Courier New" w:cs="Courier New" w:eastAsia="Courier New" w:hAnsi="Courier New"/>
          <w:sz w:val="16"/>
          <w:szCs w:val="16"/>
          <w:color w:val="auto"/>
        </w:rPr>
        <w:t>[The above conversion notice is to be modified, as appropriate, for conversion into other securities or property of the Company.]</w:t>
      </w:r>
    </w:p>
    <w:p>
      <w:pPr>
        <w:spacing w:after="0" w:line="187"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ARTICLE THREE</w:t>
      </w:r>
    </w:p>
    <w:p>
      <w:pPr>
        <w:spacing w:after="0" w:line="188"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THE SECURITIES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301. Amount Unlimited; Issuable in Series.</w:t>
      </w:r>
    </w:p>
    <w:p>
      <w:pPr>
        <w:spacing w:after="0" w:line="190" w:lineRule="exact"/>
        <w:rPr>
          <w:sz w:val="20"/>
          <w:szCs w:val="20"/>
          <w:color w:val="auto"/>
        </w:rPr>
      </w:pPr>
    </w:p>
    <w:p>
      <w:pPr>
        <w:ind w:left="1" w:right="2539" w:firstLine="865"/>
        <w:spacing w:after="0" w:line="242" w:lineRule="auto"/>
        <w:rPr>
          <w:sz w:val="20"/>
          <w:szCs w:val="20"/>
          <w:color w:val="auto"/>
        </w:rPr>
      </w:pPr>
      <w:r>
        <w:rPr>
          <w:rFonts w:ascii="Courier New" w:cs="Courier New" w:eastAsia="Courier New" w:hAnsi="Courier New"/>
          <w:sz w:val="16"/>
          <w:szCs w:val="16"/>
          <w:color w:val="auto"/>
        </w:rPr>
        <w:t>The aggregate principal amount of Securities which may be authenticated and delivered under this Indenture is unlimited.</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issuance of Securities of any series,</w:t>
      </w:r>
    </w:p>
    <w:p>
      <w:pPr>
        <w:spacing w:after="0" w:line="187" w:lineRule="exact"/>
        <w:rPr>
          <w:sz w:val="20"/>
          <w:szCs w:val="20"/>
          <w:color w:val="auto"/>
        </w:rPr>
      </w:pPr>
    </w:p>
    <w:p>
      <w:pPr>
        <w:ind w:left="1" w:right="2539" w:firstLine="479"/>
        <w:spacing w:after="0" w:line="242" w:lineRule="auto"/>
        <w:tabs>
          <w:tab w:leader="none" w:pos="866"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the Securities of the series (which shall distinguish the Securities of the series from Securities of any other series);</w:t>
      </w:r>
    </w:p>
    <w:p>
      <w:pPr>
        <w:spacing w:after="0" w:line="188" w:lineRule="exact"/>
        <w:rPr>
          <w:rFonts w:ascii="Courier New" w:cs="Courier New" w:eastAsia="Courier New" w:hAnsi="Courier New"/>
          <w:sz w:val="16"/>
          <w:szCs w:val="16"/>
          <w:color w:val="auto"/>
        </w:rPr>
      </w:pPr>
    </w:p>
    <w:p>
      <w:pPr>
        <w:ind w:left="1" w:right="2539" w:firstLine="479"/>
        <w:spacing w:after="0" w:line="244" w:lineRule="auto"/>
        <w:tabs>
          <w:tab w:leader="none" w:pos="866"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188" w:lineRule="exact"/>
        <w:rPr>
          <w:rFonts w:ascii="Courier New" w:cs="Courier New" w:eastAsia="Courier New" w:hAnsi="Courier New"/>
          <w:sz w:val="16"/>
          <w:szCs w:val="16"/>
          <w:color w:val="auto"/>
        </w:rPr>
      </w:pPr>
    </w:p>
    <w:p>
      <w:pPr>
        <w:jc w:val="both"/>
        <w:ind w:left="1" w:right="2819" w:firstLine="479"/>
        <w:spacing w:after="0" w:line="243" w:lineRule="auto"/>
        <w:tabs>
          <w:tab w:leader="none" w:pos="866"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89" w:lineRule="exact"/>
        <w:rPr>
          <w:rFonts w:ascii="Courier New" w:cs="Courier New" w:eastAsia="Courier New" w:hAnsi="Courier New"/>
          <w:sz w:val="16"/>
          <w:szCs w:val="16"/>
          <w:color w:val="auto"/>
        </w:rPr>
      </w:pPr>
    </w:p>
    <w:p>
      <w:pPr>
        <w:ind w:left="1" w:right="2539" w:firstLine="479"/>
        <w:spacing w:after="0" w:line="242" w:lineRule="auto"/>
        <w:tabs>
          <w:tab w:leader="none" w:pos="866"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on which the principal of any Securities of the series is payable;</w:t>
      </w:r>
    </w:p>
    <w:p>
      <w:pPr>
        <w:spacing w:after="0" w:line="188" w:lineRule="exact"/>
        <w:rPr>
          <w:rFonts w:ascii="Courier New" w:cs="Courier New" w:eastAsia="Courier New" w:hAnsi="Courier New"/>
          <w:sz w:val="16"/>
          <w:szCs w:val="16"/>
          <w:color w:val="auto"/>
        </w:rPr>
      </w:pPr>
    </w:p>
    <w:p>
      <w:pPr>
        <w:ind w:left="1" w:right="2639" w:firstLine="479"/>
        <w:spacing w:after="0" w:line="265" w:lineRule="auto"/>
        <w:tabs>
          <w:tab w:leader="none" w:pos="866"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35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1"/>
          </w:cols>
          <w:pgMar w:left="239" w:top="671" w:right="1440" w:bottom="1440" w:gutter="0" w:footer="0" w:header="0"/>
          <w:type w:val="continuous"/>
        </w:sectPr>
      </w:pPr>
    </w:p>
    <w:bookmarkStart w:id="129" w:name="page130"/>
    <w:bookmarkEnd w:id="129"/>
    <w:p>
      <w:pPr>
        <w:ind w:left="-479" w:right="2539" w:firstLine="479"/>
        <w:spacing w:after="0" w:line="242" w:lineRule="auto"/>
        <w:tabs>
          <w:tab w:leader="none" w:pos="386"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any premium and interest on any Securities of the series shall be payable;</w:t>
      </w:r>
    </w:p>
    <w:p>
      <w:pPr>
        <w:spacing w:after="0" w:line="188" w:lineRule="exact"/>
        <w:rPr>
          <w:rFonts w:ascii="Courier New" w:cs="Courier New" w:eastAsia="Courier New" w:hAnsi="Courier New"/>
          <w:sz w:val="16"/>
          <w:szCs w:val="16"/>
          <w:color w:val="auto"/>
        </w:rPr>
      </w:pPr>
    </w:p>
    <w:p>
      <w:pPr>
        <w:ind w:left="-479" w:right="2539" w:firstLine="479"/>
        <w:spacing w:after="0" w:line="244" w:lineRule="auto"/>
        <w:tabs>
          <w:tab w:leader="none" w:pos="386"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87" w:lineRule="exact"/>
        <w:rPr>
          <w:rFonts w:ascii="Courier New" w:cs="Courier New" w:eastAsia="Courier New" w:hAnsi="Courier New"/>
          <w:sz w:val="16"/>
          <w:szCs w:val="16"/>
          <w:color w:val="auto"/>
        </w:rPr>
      </w:pPr>
    </w:p>
    <w:p>
      <w:pPr>
        <w:ind w:left="-479" w:right="2539" w:firstLine="479"/>
        <w:spacing w:after="0" w:line="244" w:lineRule="auto"/>
        <w:tabs>
          <w:tab w:leader="none" w:pos="386"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187" w:lineRule="exact"/>
        <w:rPr>
          <w:rFonts w:ascii="Courier New" w:cs="Courier New" w:eastAsia="Courier New" w:hAnsi="Courier New"/>
          <w:sz w:val="16"/>
          <w:szCs w:val="16"/>
          <w:color w:val="auto"/>
        </w:rPr>
      </w:pPr>
    </w:p>
    <w:p>
      <w:pPr>
        <w:ind w:left="-479" w:right="3199" w:firstLine="479"/>
        <w:spacing w:after="0" w:line="243" w:lineRule="auto"/>
        <w:tabs>
          <w:tab w:leader="none" w:pos="386"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denominations of $1,000 and any integral multiple thereof, the denominations in which any Securities of the series shall be issuable;</w:t>
      </w:r>
    </w:p>
    <w:p>
      <w:pPr>
        <w:spacing w:after="0" w:line="188" w:lineRule="exact"/>
        <w:rPr>
          <w:rFonts w:ascii="Courier New" w:cs="Courier New" w:eastAsia="Courier New" w:hAnsi="Courier New"/>
          <w:sz w:val="16"/>
          <w:szCs w:val="16"/>
          <w:color w:val="auto"/>
        </w:rPr>
      </w:pPr>
    </w:p>
    <w:p>
      <w:pPr>
        <w:ind w:left="-479" w:right="2919" w:firstLine="479"/>
        <w:spacing w:after="0" w:line="243" w:lineRule="auto"/>
        <w:tabs>
          <w:tab w:leader="none" w:pos="482"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of principal of or any premium or interest on any Securities of the series may be determined with reference to an index or pursuant to a formula, the manner in which such amounts shall be determined;</w:t>
      </w:r>
    </w:p>
    <w:p>
      <w:pPr>
        <w:spacing w:after="0" w:line="188" w:lineRule="exact"/>
        <w:rPr>
          <w:rFonts w:ascii="Courier New" w:cs="Courier New" w:eastAsia="Courier New" w:hAnsi="Courier New"/>
          <w:sz w:val="16"/>
          <w:szCs w:val="16"/>
          <w:color w:val="auto"/>
        </w:rPr>
      </w:pPr>
    </w:p>
    <w:p>
      <w:pPr>
        <w:ind w:left="-479" w:right="2539" w:firstLine="479"/>
        <w:spacing w:after="0" w:line="244" w:lineRule="auto"/>
        <w:tabs>
          <w:tab w:leader="none" w:pos="482"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 provided, however, that prior to the issuance of any such Securities, the Company shall have obtained the written consent of the Trustee, which consent may be withheld in the sole discretion of the Trustee, to the currency, currencies or currency units so established;</w:t>
      </w:r>
    </w:p>
    <w:p>
      <w:pPr>
        <w:spacing w:after="0" w:line="189" w:lineRule="exact"/>
        <w:rPr>
          <w:rFonts w:ascii="Courier New" w:cs="Courier New" w:eastAsia="Courier New" w:hAnsi="Courier New"/>
          <w:sz w:val="16"/>
          <w:szCs w:val="16"/>
          <w:color w:val="auto"/>
        </w:rPr>
      </w:pPr>
    </w:p>
    <w:p>
      <w:pPr>
        <w:ind w:left="-479" w:right="2539" w:firstLine="479"/>
        <w:spacing w:after="0" w:line="244" w:lineRule="auto"/>
        <w:tabs>
          <w:tab w:leader="none" w:pos="482"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 provided); however, that prior to the issuance of any such Securities, the Company shall have obtained the written consent of the Trustee, which consent may be withheld in the sole discretion of the Trustee, to the currency, currencies or currency units so established;</w:t>
      </w:r>
    </w:p>
    <w:p>
      <w:pPr>
        <w:spacing w:after="0" w:line="190" w:lineRule="exact"/>
        <w:rPr>
          <w:rFonts w:ascii="Courier New" w:cs="Courier New" w:eastAsia="Courier New" w:hAnsi="Courier New"/>
          <w:sz w:val="16"/>
          <w:szCs w:val="16"/>
          <w:color w:val="auto"/>
        </w:rPr>
      </w:pPr>
    </w:p>
    <w:p>
      <w:pPr>
        <w:ind w:left="-479" w:right="2639" w:firstLine="479"/>
        <w:spacing w:after="0" w:line="267" w:lineRule="auto"/>
        <w:tabs>
          <w:tab w:leader="none" w:pos="48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the entire principal amount thereof, the portion of the principal amount of any Securities of the series which shall be payable upon declaration of acceleration of the Maturity thereof pursuant to Section 502;</w:t>
      </w:r>
    </w:p>
    <w:p>
      <w:pPr>
        <w:spacing w:after="0" w:line="171" w:lineRule="exact"/>
        <w:rPr>
          <w:rFonts w:ascii="Courier New" w:cs="Courier New" w:eastAsia="Courier New" w:hAnsi="Courier New"/>
          <w:sz w:val="15"/>
          <w:szCs w:val="15"/>
          <w:color w:val="auto"/>
        </w:rPr>
      </w:pPr>
    </w:p>
    <w:p>
      <w:pPr>
        <w:ind w:left="-479" w:right="2539" w:firstLine="479"/>
        <w:spacing w:after="0" w:line="244" w:lineRule="auto"/>
        <w:tabs>
          <w:tab w:leader="none" w:pos="482"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9" w:lineRule="exact"/>
        <w:rPr>
          <w:rFonts w:ascii="Courier New" w:cs="Courier New" w:eastAsia="Courier New" w:hAnsi="Courier New"/>
          <w:sz w:val="16"/>
          <w:szCs w:val="16"/>
          <w:color w:val="auto"/>
        </w:rPr>
      </w:pPr>
    </w:p>
    <w:p>
      <w:pPr>
        <w:ind w:left="-479" w:right="2539" w:firstLine="479"/>
        <w:spacing w:after="0" w:line="265" w:lineRule="auto"/>
        <w:tabs>
          <w:tab w:leader="none" w:pos="48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that the Securities of the series, in whole or any specified part, shall be defeasible pursuant to Section 1302 or Section 1303 or both such Sections and, if other than by a Board Resolution, the manner in which any election by the Company to defease such Securities shall be evidenced;</w:t>
      </w:r>
    </w:p>
    <w:p>
      <w:pPr>
        <w:spacing w:after="0" w:line="173" w:lineRule="exact"/>
        <w:rPr>
          <w:rFonts w:ascii="Courier New" w:cs="Courier New" w:eastAsia="Courier New" w:hAnsi="Courier New"/>
          <w:sz w:val="15"/>
          <w:szCs w:val="15"/>
          <w:color w:val="auto"/>
        </w:rPr>
      </w:pPr>
    </w:p>
    <w:p>
      <w:pPr>
        <w:ind w:left="-479" w:right="2919" w:firstLine="479"/>
        <w:spacing w:after="0" w:line="243" w:lineRule="auto"/>
        <w:tabs>
          <w:tab w:leader="none" w:pos="482"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the terms of any right to convert Securities of the series into shares of Common Stock of the Company or other securities or property;</w:t>
      </w:r>
    </w:p>
    <w:p>
      <w:pPr>
        <w:spacing w:after="0" w:line="187"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740"/>
          </w:cols>
          <w:pgMar w:left="719" w:top="671" w:right="1440" w:bottom="1440" w:gutter="0" w:footer="0" w:header="0"/>
        </w:sectPr>
      </w:pPr>
    </w:p>
    <w:bookmarkStart w:id="130" w:name="page131"/>
    <w:bookmarkEnd w:id="130"/>
    <w:p>
      <w:pPr>
        <w:ind w:right="2539" w:firstLine="479"/>
        <w:spacing w:after="0" w:line="244" w:lineRule="auto"/>
        <w:tabs>
          <w:tab w:leader="none" w:pos="961"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 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89" w:lineRule="exact"/>
        <w:rPr>
          <w:rFonts w:ascii="Courier New" w:cs="Courier New" w:eastAsia="Courier New" w:hAnsi="Courier New"/>
          <w:sz w:val="16"/>
          <w:szCs w:val="16"/>
          <w:color w:val="auto"/>
        </w:rPr>
      </w:pPr>
    </w:p>
    <w:p>
      <w:pPr>
        <w:ind w:right="2539" w:firstLine="479"/>
        <w:spacing w:after="0" w:line="243" w:lineRule="auto"/>
        <w:tabs>
          <w:tab w:leader="none" w:pos="961"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502;</w:t>
      </w:r>
    </w:p>
    <w:p>
      <w:pPr>
        <w:spacing w:after="0" w:line="189" w:lineRule="exact"/>
        <w:rPr>
          <w:rFonts w:ascii="Courier New" w:cs="Courier New" w:eastAsia="Courier New" w:hAnsi="Courier New"/>
          <w:sz w:val="16"/>
          <w:szCs w:val="16"/>
          <w:color w:val="auto"/>
        </w:rPr>
      </w:pPr>
    </w:p>
    <w:p>
      <w:pPr>
        <w:ind w:right="2539" w:firstLine="479"/>
        <w:spacing w:after="0" w:line="242" w:lineRule="auto"/>
        <w:tabs>
          <w:tab w:leader="none" w:pos="961"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 to or change in the covenants set forth in Article Ten which applies to Securities of the series; and</w:t>
      </w:r>
    </w:p>
    <w:p>
      <w:pPr>
        <w:spacing w:after="0" w:line="188" w:lineRule="exact"/>
        <w:rPr>
          <w:rFonts w:ascii="Courier New" w:cs="Courier New" w:eastAsia="Courier New" w:hAnsi="Courier New"/>
          <w:sz w:val="16"/>
          <w:szCs w:val="16"/>
          <w:color w:val="auto"/>
        </w:rPr>
      </w:pPr>
    </w:p>
    <w:p>
      <w:pPr>
        <w:jc w:val="both"/>
        <w:ind w:right="2719" w:firstLine="479"/>
        <w:spacing w:after="0" w:line="242" w:lineRule="auto"/>
        <w:tabs>
          <w:tab w:leader="none" w:pos="961"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series (which terms shall not be inconsistent with the provisions of this Indenture, except as permitted by Section 901(5)).</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18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302. Denominations.</w:t>
      </w:r>
    </w:p>
    <w:p>
      <w:pPr>
        <w:spacing w:after="0" w:line="190"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303. Execution, Authentication, Delivery and Dating.</w:t>
      </w:r>
    </w:p>
    <w:p>
      <w:pPr>
        <w:spacing w:after="0" w:line="190" w:lineRule="exact"/>
        <w:rPr>
          <w:sz w:val="20"/>
          <w:szCs w:val="20"/>
          <w:color w:val="auto"/>
        </w:rPr>
      </w:pPr>
    </w:p>
    <w:p>
      <w:pPr>
        <w:ind w:right="2539" w:firstLine="480"/>
        <w:spacing w:after="0" w:line="264" w:lineRule="auto"/>
        <w:rPr>
          <w:sz w:val="20"/>
          <w:szCs w:val="20"/>
          <w:color w:val="auto"/>
        </w:rPr>
      </w:pPr>
      <w:r>
        <w:rPr>
          <w:rFonts w:ascii="Courier New" w:cs="Courier New" w:eastAsia="Courier New" w:hAnsi="Courier New"/>
          <w:sz w:val="15"/>
          <w:szCs w:val="15"/>
          <w:color w:val="auto"/>
        </w:rPr>
        <w:t>The Securities shall be executed on behalf of the Company by its Chairman of the Board, its Vice Chairman of the Board, its principal financial officer, its President or one of its Vice Presidents, under its corporate seal reproduced thereon attested by its Secretary or one of its Assistant Secretaries. The signature of any of these officers on the Securities may be manual or facsimile.</w:t>
      </w:r>
    </w:p>
    <w:p>
      <w:pPr>
        <w:spacing w:after="0" w:line="174"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7"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At any time and from time to time after the execution and delivery of this Indenture, the Company may deliver Securities of any series executed by the Company to the Trustee for authentication, together with a Company Order</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1" w:right="1440" w:bottom="1440" w:gutter="0" w:footer="0" w:header="0"/>
        </w:sectPr>
      </w:pPr>
    </w:p>
    <w:bookmarkStart w:id="131" w:name="page132"/>
    <w:bookmarkEnd w:id="131"/>
    <w:p>
      <w:pPr>
        <w:ind w:right="2539"/>
        <w:spacing w:after="0" w:line="244" w:lineRule="auto"/>
        <w:rPr>
          <w:sz w:val="20"/>
          <w:szCs w:val="20"/>
          <w:color w:val="auto"/>
        </w:rPr>
      </w:pPr>
      <w:r>
        <w:rPr>
          <w:rFonts w:ascii="Courier New" w:cs="Courier New" w:eastAsia="Courier New" w:hAnsi="Courier New"/>
          <w:sz w:val="16"/>
          <w:szCs w:val="16"/>
          <w:color w:val="auto"/>
        </w:rPr>
        <w:t>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189" w:lineRule="exact"/>
        <w:rPr>
          <w:sz w:val="20"/>
          <w:szCs w:val="20"/>
          <w:color w:val="auto"/>
        </w:rPr>
      </w:pPr>
    </w:p>
    <w:p>
      <w:pPr>
        <w:ind w:right="2719" w:firstLine="479"/>
        <w:spacing w:after="0" w:line="243" w:lineRule="auto"/>
        <w:tabs>
          <w:tab w:leader="none" w:pos="86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form of such Securities has been established by or pursuant to Board Resolution as permitted by Section 201, that such form has been established in conformity with the provisions of this Indenture;</w:t>
      </w:r>
    </w:p>
    <w:p>
      <w:pPr>
        <w:spacing w:after="0" w:line="188"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terms of such Securities have been established by or pursuant to Board Resolution as permitted by Section 301, that such terms have been established in conformity with the provisions of this Indenture; and</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88"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8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Each Security shall be dated the date of its authentication.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304. Temporary Securities.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1" w:right="1440" w:bottom="1440" w:gutter="0" w:footer="0" w:header="0"/>
        </w:sectPr>
      </w:pPr>
    </w:p>
    <w:bookmarkStart w:id="132" w:name="page133"/>
    <w:bookmarkEnd w:id="132"/>
    <w:p>
      <w:pPr>
        <w:ind w:right="2539" w:firstLine="480"/>
        <w:spacing w:after="0" w:line="244" w:lineRule="auto"/>
        <w:rPr>
          <w:sz w:val="20"/>
          <w:szCs w:val="20"/>
          <w:color w:val="auto"/>
        </w:rPr>
      </w:pPr>
      <w:r>
        <w:rPr>
          <w:rFonts w:ascii="Courier New" w:cs="Courier New" w:eastAsia="Courier New" w:hAnsi="Courier New"/>
          <w:sz w:val="16"/>
          <w:szCs w:val="16"/>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305. Registration; Registration of Transfer and Exchange.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188"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w:t>
      </w:r>
    </w:p>
    <w:p>
      <w:pPr>
        <w:spacing w:after="0" w:line="187"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74" w:lineRule="exact"/>
        <w:rPr>
          <w:sz w:val="20"/>
          <w:szCs w:val="20"/>
          <w:color w:val="auto"/>
        </w:rPr>
      </w:pPr>
    </w:p>
    <w:p>
      <w:pPr>
        <w:jc w:val="both"/>
        <w:ind w:right="2539" w:firstLine="480"/>
        <w:spacing w:after="0" w:line="263" w:lineRule="auto"/>
        <w:rPr>
          <w:sz w:val="20"/>
          <w:szCs w:val="20"/>
          <w:color w:val="auto"/>
        </w:rPr>
      </w:pPr>
      <w:r>
        <w:rPr>
          <w:rFonts w:ascii="Courier New" w:cs="Courier New" w:eastAsia="Courier New" w:hAnsi="Courier New"/>
          <w:sz w:val="15"/>
          <w:szCs w:val="15"/>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1103 and ending</w:t>
      </w:r>
    </w:p>
    <w:p>
      <w:pPr>
        <w:spacing w:after="0" w:line="35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1" w:right="1440" w:bottom="1440" w:gutter="0" w:footer="0" w:header="0"/>
        </w:sectPr>
      </w:pPr>
    </w:p>
    <w:bookmarkStart w:id="133" w:name="page134"/>
    <w:bookmarkEnd w:id="133"/>
    <w:p>
      <w:pPr>
        <w:ind w:right="2719"/>
        <w:spacing w:after="0" w:line="243" w:lineRule="auto"/>
        <w:rPr>
          <w:sz w:val="20"/>
          <w:szCs w:val="20"/>
          <w:color w:val="auto"/>
        </w:rPr>
      </w:pPr>
      <w:r>
        <w:rPr>
          <w:rFonts w:ascii="Courier New" w:cs="Courier New" w:eastAsia="Courier New" w:hAnsi="Courier New"/>
          <w:sz w:val="16"/>
          <w:szCs w:val="16"/>
          <w:color w:val="auto"/>
        </w:rPr>
        <w:t>at the close of business on the day of such mailing, or (B) to register the transfer of or exchange any Security so selected for redemption in whole or in part, except the unredeemed portion of any Security being redeemed in part.</w:t>
      </w:r>
    </w:p>
    <w:p>
      <w:pPr>
        <w:spacing w:after="0" w:line="187" w:lineRule="exact"/>
        <w:rPr>
          <w:sz w:val="20"/>
          <w:szCs w:val="20"/>
          <w:color w:val="auto"/>
        </w:rPr>
      </w:pPr>
    </w:p>
    <w:p>
      <w:pPr>
        <w:ind w:left="480"/>
        <w:spacing w:after="0"/>
        <w:tabs>
          <w:tab w:leader="none" w:pos="940" w:val="left"/>
          <w:tab w:leader="none" w:pos="2100" w:val="left"/>
        </w:tabs>
        <w:rPr>
          <w:sz w:val="20"/>
          <w:szCs w:val="20"/>
          <w:color w:val="auto"/>
        </w:rPr>
      </w:pPr>
      <w:r>
        <w:rPr>
          <w:rFonts w:ascii="Courier New" w:cs="Courier New" w:eastAsia="Courier New" w:hAnsi="Courier New"/>
          <w:sz w:val="16"/>
          <w:szCs w:val="16"/>
          <w:color w:val="auto"/>
        </w:rPr>
        <w:t>The</w:t>
        <w:tab/>
        <w:t>provisions</w:t>
      </w:r>
      <w:r>
        <w:rPr>
          <w:sz w:val="20"/>
          <w:szCs w:val="20"/>
          <w:color w:val="auto"/>
        </w:rPr>
        <w:tab/>
      </w:r>
      <w:r>
        <w:rPr>
          <w:rFonts w:ascii="Courier New" w:cs="Courier New" w:eastAsia="Courier New" w:hAnsi="Courier New"/>
          <w:sz w:val="15"/>
          <w:szCs w:val="15"/>
          <w:color w:val="auto"/>
        </w:rPr>
        <w:t>of Clauses (1), (2), (3) and (4) below shall apply only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Global Securities:</w:t>
      </w:r>
    </w:p>
    <w:p>
      <w:pPr>
        <w:spacing w:after="0" w:line="190" w:lineRule="exact"/>
        <w:rPr>
          <w:sz w:val="20"/>
          <w:szCs w:val="20"/>
          <w:color w:val="auto"/>
        </w:rPr>
      </w:pPr>
    </w:p>
    <w:p>
      <w:pPr>
        <w:ind w:right="2639" w:firstLine="479"/>
        <w:spacing w:after="0" w:line="244" w:lineRule="auto"/>
        <w:tabs>
          <w:tab w:leader="none" w:pos="86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301.</w:t>
      </w:r>
    </w:p>
    <w:p>
      <w:pPr>
        <w:spacing w:after="0" w:line="190" w:lineRule="exact"/>
        <w:rPr>
          <w:rFonts w:ascii="Courier New" w:cs="Courier New" w:eastAsia="Courier New" w:hAnsi="Courier New"/>
          <w:sz w:val="16"/>
          <w:szCs w:val="16"/>
          <w:color w:val="auto"/>
        </w:rPr>
      </w:pPr>
    </w:p>
    <w:p>
      <w:pPr>
        <w:ind w:right="2719" w:firstLine="479"/>
        <w:spacing w:after="0" w:line="243" w:lineRule="auto"/>
        <w:tabs>
          <w:tab w:leader="none" w:pos="865"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89" w:lineRule="exact"/>
        <w:rPr>
          <w:rFonts w:ascii="Courier New" w:cs="Courier New" w:eastAsia="Courier New" w:hAnsi="Courier New"/>
          <w:sz w:val="16"/>
          <w:szCs w:val="16"/>
          <w:color w:val="auto"/>
        </w:rPr>
      </w:pPr>
    </w:p>
    <w:p>
      <w:pPr>
        <w:ind w:right="2639" w:firstLine="479"/>
        <w:spacing w:after="0" w:line="263" w:lineRule="auto"/>
        <w:tabs>
          <w:tab w:leader="none" w:pos="86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306. Mutilated, Destroyed, Lost and Stolen Securities.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In case any such mutilated, destroyed, lost or stolen Security has become or is about to become due and payable, the Company in its discretion may, instead of issuing a new Security, pay such Security.</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200" w:lineRule="exact"/>
        <w:rPr>
          <w:sz w:val="20"/>
          <w:szCs w:val="20"/>
          <w:color w:val="auto"/>
        </w:rPr>
      </w:pPr>
    </w:p>
    <w:p>
      <w:pPr>
        <w:spacing w:after="0" w:line="35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1" w:right="1440" w:bottom="1440" w:gutter="0" w:footer="0" w:header="0"/>
        </w:sectPr>
      </w:pPr>
    </w:p>
    <w:bookmarkStart w:id="134" w:name="page135"/>
    <w:bookmarkEnd w:id="134"/>
    <w:p>
      <w:pPr>
        <w:ind w:right="2539" w:firstLine="480"/>
        <w:spacing w:after="0" w:line="244" w:lineRule="auto"/>
        <w:rPr>
          <w:sz w:val="20"/>
          <w:szCs w:val="20"/>
          <w:color w:val="auto"/>
        </w:rPr>
      </w:pPr>
      <w:r>
        <w:rPr>
          <w:rFonts w:ascii="Courier New" w:cs="Courier New" w:eastAsia="Courier New" w:hAnsi="Courier New"/>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88"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The provisions of this Section are exclusive and shall preclude (to the extent lawful) all other rights and remedies with respect to the replacement or payment of mutilated, destroyed, lost or stolen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307. Payment of Interest; Interest Rights Preserved.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8"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88" w:lineRule="exact"/>
        <w:rPr>
          <w:sz w:val="20"/>
          <w:szCs w:val="20"/>
          <w:color w:val="auto"/>
        </w:rPr>
      </w:pPr>
    </w:p>
    <w:p>
      <w:pPr>
        <w:ind w:right="2539" w:firstLine="479"/>
        <w:spacing w:after="0" w:line="261" w:lineRule="auto"/>
        <w:tabs>
          <w:tab w:leader="none" w:pos="86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369" w:lineRule="exact"/>
        <w:rPr>
          <w:rFonts w:ascii="Courier New" w:cs="Courier New" w:eastAsia="Courier New" w:hAnsi="Courier New"/>
          <w:sz w:val="15"/>
          <w:szCs w:val="15"/>
          <w:color w:val="auto"/>
        </w:rPr>
      </w:pPr>
    </w:p>
    <w:p>
      <w:pPr>
        <w:ind w:right="2539" w:firstLine="479"/>
        <w:spacing w:after="0" w:line="244" w:lineRule="auto"/>
        <w:tabs>
          <w:tab w:leader="none" w:pos="865"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8"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1" w:right="1440" w:bottom="1440" w:gutter="0" w:footer="0" w:header="0"/>
        </w:sectPr>
      </w:pPr>
    </w:p>
    <w:bookmarkStart w:id="135" w:name="page136"/>
    <w:bookmarkEnd w:id="135"/>
    <w:p>
      <w:pPr>
        <w:ind w:right="2539" w:firstLine="480"/>
        <w:spacing w:after="0" w:line="262" w:lineRule="auto"/>
        <w:rPr>
          <w:sz w:val="20"/>
          <w:szCs w:val="20"/>
          <w:color w:val="auto"/>
        </w:rPr>
      </w:pPr>
      <w:r>
        <w:rPr>
          <w:rFonts w:ascii="Courier New" w:cs="Courier New" w:eastAsia="Courier New" w:hAnsi="Courier New"/>
          <w:sz w:val="15"/>
          <w:szCs w:val="15"/>
          <w:color w:val="auto"/>
        </w:rPr>
        <w:t>Subject to the provisions of Section 1402, in the case of any Security (or any part thereof) which is converted after any Regular Record Date and on or prior to the next succeeding Interest Payment Date (other than any Security the principal of (or premium, if any, on) which shall become due and payable, whether at Stated Maturity or by declaration of acceleration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any one or more Predecessor Securities) is registered at the close of business on such Regular Record Date. Except as otherwise expressly provided in the immediately preceding sentence or in Section 1402, in the case of any Security (or any part thereof) which is converted, interest whose Stated Maturity is after the date of conversion of such Security (or such part thereof) shall not be payable.</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308. Persons Deemed Owners.</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309. Cancellation.</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as directed by a Company Order.</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310. Computation of Interest.</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Except as otherwise specified as contemplated by Section 301 for Securities of any series, interest on the Securities of each series shall be computed on the basis of a 360-day year of twelve 30-day months.</w:t>
      </w:r>
    </w:p>
    <w:p>
      <w:pPr>
        <w:spacing w:after="0" w:line="18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FOUR</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SATISFACTION AND DISCHARGE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401. Satisfaction and Discharge of Indenture.</w:t>
      </w:r>
    </w:p>
    <w:p>
      <w:pPr>
        <w:spacing w:after="0" w:line="190" w:lineRule="exact"/>
        <w:rPr>
          <w:sz w:val="20"/>
          <w:szCs w:val="20"/>
          <w:color w:val="auto"/>
        </w:rPr>
      </w:pPr>
    </w:p>
    <w:p>
      <w:pPr>
        <w:jc w:val="both"/>
        <w:ind w:right="2819" w:firstLine="480"/>
        <w:spacing w:after="0" w:line="244" w:lineRule="auto"/>
        <w:rPr>
          <w:sz w:val="20"/>
          <w:szCs w:val="20"/>
          <w:color w:val="auto"/>
        </w:rPr>
      </w:pPr>
      <w:r>
        <w:rPr>
          <w:rFonts w:ascii="Courier New" w:cs="Courier New" w:eastAsia="Courier New" w:hAnsi="Courier New"/>
          <w:sz w:val="16"/>
          <w:szCs w:val="16"/>
          <w:color w:val="auto"/>
        </w:rPr>
        <w:t>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200" w:lineRule="exact"/>
        <w:rPr>
          <w:sz w:val="20"/>
          <w:szCs w:val="20"/>
          <w:color w:val="auto"/>
        </w:rPr>
      </w:pPr>
    </w:p>
    <w:p>
      <w:pPr>
        <w:spacing w:after="0" w:line="35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1" w:right="1440" w:bottom="1440" w:gutter="0" w:footer="0" w:header="0"/>
        </w:sectPr>
      </w:pPr>
    </w:p>
    <w:bookmarkStart w:id="136" w:name="page137"/>
    <w:bookmarkEnd w:id="136"/>
    <w:p>
      <w:pPr>
        <w:ind w:left="860" w:hanging="381"/>
        <w:spacing w:after="0"/>
        <w:tabs>
          <w:tab w:leader="none" w:pos="8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8" w:lineRule="exact"/>
        <w:rPr>
          <w:rFonts w:ascii="Courier New" w:cs="Courier New" w:eastAsia="Courier New" w:hAnsi="Courier New"/>
          <w:sz w:val="16"/>
          <w:szCs w:val="16"/>
          <w:color w:val="auto"/>
        </w:rPr>
      </w:pPr>
    </w:p>
    <w:p>
      <w:pPr>
        <w:ind w:left="1340" w:hanging="381"/>
        <w:spacing w:after="0"/>
        <w:tabs>
          <w:tab w:leader="none" w:pos="1340"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Securities theretofore authenticated and delivered (other than</w:t>
      </w:r>
    </w:p>
    <w:p>
      <w:pPr>
        <w:spacing w:after="0" w:line="5" w:lineRule="exact"/>
        <w:rPr>
          <w:rFonts w:ascii="Courier New" w:cs="Courier New" w:eastAsia="Courier New" w:hAnsi="Courier New"/>
          <w:sz w:val="16"/>
          <w:szCs w:val="16"/>
          <w:color w:val="auto"/>
        </w:rPr>
      </w:pPr>
    </w:p>
    <w:p>
      <w:pPr>
        <w:ind w:left="480"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Securities which have been destroyed, lost or stolen and which have been replaced or paid as provided in Section 306 and (ii) Securities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87" w:lineRule="exact"/>
        <w:rPr>
          <w:rFonts w:ascii="Courier New" w:cs="Courier New" w:eastAsia="Courier New" w:hAnsi="Courier New"/>
          <w:sz w:val="16"/>
          <w:szCs w:val="16"/>
          <w:color w:val="auto"/>
        </w:rPr>
      </w:pPr>
    </w:p>
    <w:p>
      <w:pPr>
        <w:ind w:left="480" w:right="2539" w:firstLine="479"/>
        <w:spacing w:after="0" w:line="242" w:lineRule="auto"/>
        <w:tabs>
          <w:tab w:leader="none" w:pos="1345"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Securities not theretofore delivered to the Trustee for cancellation</w:t>
      </w:r>
    </w:p>
    <w:p>
      <w:pPr>
        <w:spacing w:after="0" w:line="186" w:lineRule="exact"/>
        <w:rPr>
          <w:rFonts w:ascii="Courier New" w:cs="Courier New" w:eastAsia="Courier New" w:hAnsi="Courier New"/>
          <w:sz w:val="16"/>
          <w:szCs w:val="16"/>
          <w:color w:val="auto"/>
        </w:rPr>
      </w:pPr>
    </w:p>
    <w:p>
      <w:pPr>
        <w:ind w:left="1820" w:hanging="380"/>
        <w:spacing w:after="0"/>
        <w:tabs>
          <w:tab w:leader="none" w:pos="1820" w:val="left"/>
        </w:tabs>
        <w:numPr>
          <w:ilvl w:val="2"/>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become due and payable, or</w:t>
      </w:r>
    </w:p>
    <w:p>
      <w:pPr>
        <w:spacing w:after="0" w:line="190" w:lineRule="exact"/>
        <w:rPr>
          <w:rFonts w:ascii="Courier New" w:cs="Courier New" w:eastAsia="Courier New" w:hAnsi="Courier New"/>
          <w:sz w:val="16"/>
          <w:szCs w:val="16"/>
          <w:color w:val="auto"/>
        </w:rPr>
      </w:pPr>
    </w:p>
    <w:p>
      <w:pPr>
        <w:ind w:left="960" w:right="2539" w:firstLine="480"/>
        <w:spacing w:after="0" w:line="242" w:lineRule="auto"/>
        <w:tabs>
          <w:tab w:leader="none" w:pos="1921" w:val="left"/>
        </w:tabs>
        <w:numPr>
          <w:ilvl w:val="2"/>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become due and payable at their Stated Maturity within one year, or</w:t>
      </w:r>
    </w:p>
    <w:p>
      <w:pPr>
        <w:spacing w:after="0" w:line="188" w:lineRule="exact"/>
        <w:rPr>
          <w:rFonts w:ascii="Courier New" w:cs="Courier New" w:eastAsia="Courier New" w:hAnsi="Courier New"/>
          <w:sz w:val="16"/>
          <w:szCs w:val="16"/>
          <w:color w:val="auto"/>
        </w:rPr>
      </w:pPr>
    </w:p>
    <w:p>
      <w:pPr>
        <w:ind w:left="960" w:right="2719" w:firstLine="480"/>
        <w:spacing w:after="0" w:line="243" w:lineRule="auto"/>
        <w:tabs>
          <w:tab w:leader="none" w:pos="2017" w:val="left"/>
        </w:tabs>
        <w:numPr>
          <w:ilvl w:val="2"/>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to be called for redemption within one year under arrangements satisfactory to the Trustee for the giving of notice of redemption by the Trustee in the name, and at the expense, of the Company, and the Company,</w:t>
      </w:r>
    </w:p>
    <w:p>
      <w:pPr>
        <w:spacing w:after="0" w:line="190" w:lineRule="exact"/>
        <w:rPr>
          <w:sz w:val="20"/>
          <w:szCs w:val="20"/>
          <w:color w:val="auto"/>
        </w:rPr>
      </w:pPr>
    </w:p>
    <w:p>
      <w:pPr>
        <w:ind w:left="960" w:right="2539"/>
        <w:spacing w:after="0" w:line="244" w:lineRule="auto"/>
        <w:rPr>
          <w:sz w:val="20"/>
          <w:szCs w:val="20"/>
          <w:color w:val="auto"/>
        </w:rPr>
      </w:pPr>
      <w:r>
        <w:rPr>
          <w:rFonts w:ascii="Courier New" w:cs="Courier New" w:eastAsia="Courier New" w:hAnsi="Courier New"/>
          <w:sz w:val="16"/>
          <w:szCs w:val="16"/>
          <w:color w:val="auto"/>
        </w:rPr>
        <w:t>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89" w:lineRule="exact"/>
        <w:rPr>
          <w:sz w:val="20"/>
          <w:szCs w:val="20"/>
          <w:color w:val="auto"/>
        </w:rPr>
      </w:pPr>
    </w:p>
    <w:p>
      <w:pPr>
        <w:ind w:left="480" w:right="2539" w:firstLine="479"/>
        <w:spacing w:after="0" w:line="242" w:lineRule="auto"/>
        <w:tabs>
          <w:tab w:leader="none" w:pos="1345"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caused to be paid all other sums payable hereunder by the Company; and</w:t>
      </w:r>
    </w:p>
    <w:p>
      <w:pPr>
        <w:spacing w:after="0" w:line="188" w:lineRule="exact"/>
        <w:rPr>
          <w:rFonts w:ascii="Courier New" w:cs="Courier New" w:eastAsia="Courier New" w:hAnsi="Courier New"/>
          <w:sz w:val="16"/>
          <w:szCs w:val="16"/>
          <w:color w:val="auto"/>
        </w:rPr>
      </w:pPr>
    </w:p>
    <w:p>
      <w:pPr>
        <w:ind w:left="480" w:right="2639" w:firstLine="479"/>
        <w:spacing w:after="0" w:line="243" w:lineRule="auto"/>
        <w:tabs>
          <w:tab w:leader="none" w:pos="1345"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subclause (B) of Clause (1) of this Section, the obligations of the Trustee under Section 402 and the last paragraph of Section 1003 shall survive.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402. Application of Trust Money.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69" w:right="1440" w:bottom="1440" w:gutter="0" w:footer="0" w:header="0"/>
        </w:sectPr>
      </w:pPr>
    </w:p>
    <w:bookmarkStart w:id="137" w:name="page138"/>
    <w:bookmarkEnd w:id="137"/>
    <w:p>
      <w:pPr>
        <w:jc w:val="center"/>
        <w:ind w:right="2539"/>
        <w:spacing w:after="0"/>
        <w:rPr>
          <w:sz w:val="20"/>
          <w:szCs w:val="20"/>
          <w:color w:val="auto"/>
        </w:rPr>
      </w:pPr>
      <w:r>
        <w:rPr>
          <w:rFonts w:ascii="Courier New" w:cs="Courier New" w:eastAsia="Courier New" w:hAnsi="Courier New"/>
          <w:sz w:val="16"/>
          <w:szCs w:val="16"/>
          <w:color w:val="auto"/>
        </w:rPr>
        <w:t>ARTICLE FIVE</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REMEDIES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501. Events of Default.</w:t>
      </w:r>
    </w:p>
    <w:p>
      <w:pPr>
        <w:spacing w:after="0" w:line="190" w:lineRule="exact"/>
        <w:rPr>
          <w:sz w:val="20"/>
          <w:szCs w:val="20"/>
          <w:color w:val="auto"/>
        </w:rPr>
      </w:pPr>
    </w:p>
    <w:p>
      <w:pPr>
        <w:ind w:right="2539" w:firstLine="480"/>
        <w:spacing w:after="0" w:line="264" w:lineRule="auto"/>
        <w:rPr>
          <w:sz w:val="20"/>
          <w:szCs w:val="20"/>
          <w:color w:val="auto"/>
        </w:rPr>
      </w:pPr>
      <w:r>
        <w:rPr>
          <w:rFonts w:ascii="Courier New" w:cs="Courier New" w:eastAsia="Courier New" w:hAnsi="Courier New"/>
          <w:sz w:val="15"/>
          <w:szCs w:val="15"/>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74" w:lineRule="exact"/>
        <w:rPr>
          <w:sz w:val="20"/>
          <w:szCs w:val="20"/>
          <w:color w:val="auto"/>
        </w:rPr>
      </w:pPr>
    </w:p>
    <w:p>
      <w:pPr>
        <w:jc w:val="both"/>
        <w:ind w:right="2539" w:firstLine="479"/>
        <w:spacing w:after="0" w:line="243" w:lineRule="auto"/>
        <w:tabs>
          <w:tab w:leader="none" w:pos="865"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Security of that series when it becomes due and payable, and continuance of such default for a period of 30 days; or</w:t>
      </w:r>
    </w:p>
    <w:p>
      <w:pPr>
        <w:spacing w:after="0" w:line="188" w:lineRule="exact"/>
        <w:rPr>
          <w:rFonts w:ascii="Courier New" w:cs="Courier New" w:eastAsia="Courier New" w:hAnsi="Courier New"/>
          <w:sz w:val="16"/>
          <w:szCs w:val="16"/>
          <w:color w:val="auto"/>
        </w:rPr>
      </w:pPr>
    </w:p>
    <w:p>
      <w:pPr>
        <w:ind w:right="3199" w:firstLine="479"/>
        <w:spacing w:after="0" w:line="242" w:lineRule="auto"/>
        <w:tabs>
          <w:tab w:leader="none" w:pos="865"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any premium on any Security of that series at its Maturity; or</w:t>
      </w:r>
    </w:p>
    <w:p>
      <w:pPr>
        <w:spacing w:after="0" w:line="188" w:lineRule="exact"/>
        <w:rPr>
          <w:rFonts w:ascii="Courier New" w:cs="Courier New" w:eastAsia="Courier New" w:hAnsi="Courier New"/>
          <w:sz w:val="16"/>
          <w:szCs w:val="16"/>
          <w:color w:val="auto"/>
        </w:rPr>
      </w:pPr>
    </w:p>
    <w:p>
      <w:pPr>
        <w:ind w:right="2639" w:firstLine="479"/>
        <w:spacing w:after="0" w:line="242" w:lineRule="auto"/>
        <w:tabs>
          <w:tab w:leader="none" w:pos="865"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deposit of any sinking fund payment, when and as due by the terms of a Security of that series; or</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90"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90"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w:t>
      </w:r>
    </w:p>
    <w:p>
      <w:pPr>
        <w:spacing w:after="0" w:line="37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69" w:right="1440" w:bottom="1440" w:gutter="0" w:footer="0" w:header="0"/>
        </w:sectPr>
      </w:pPr>
    </w:p>
    <w:bookmarkStart w:id="138" w:name="page139"/>
    <w:bookmarkEnd w:id="138"/>
    <w:p>
      <w:pPr>
        <w:jc w:val="both"/>
        <w:ind w:right="2539"/>
        <w:spacing w:after="0" w:line="243" w:lineRule="auto"/>
        <w:rPr>
          <w:sz w:val="20"/>
          <w:szCs w:val="20"/>
          <w:color w:val="auto"/>
        </w:rPr>
      </w:pPr>
      <w:r>
        <w:rPr>
          <w:rFonts w:ascii="Courier New" w:cs="Courier New" w:eastAsia="Courier New" w:hAnsi="Courier New"/>
          <w:sz w:val="16"/>
          <w:szCs w:val="16"/>
          <w:color w:val="auto"/>
        </w:rPr>
        <w:t>it in writing of its inability to pay its debts generally as they become due, or the taking of corporate action by the Company in furtherance of any such action; or</w:t>
      </w:r>
    </w:p>
    <w:p>
      <w:pPr>
        <w:spacing w:after="0" w:line="187" w:lineRule="exact"/>
        <w:rPr>
          <w:sz w:val="20"/>
          <w:szCs w:val="20"/>
          <w:color w:val="auto"/>
        </w:rPr>
      </w:pPr>
    </w:p>
    <w:p>
      <w:pPr>
        <w:ind w:left="860" w:hanging="381"/>
        <w:spacing w:after="0"/>
        <w:tabs>
          <w:tab w:leader="none" w:pos="86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Securities of that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series.</w:t>
      </w:r>
    </w:p>
    <w:p>
      <w:pPr>
        <w:spacing w:after="0" w:line="188"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6"/>
          <w:szCs w:val="16"/>
          <w:color w:val="auto"/>
        </w:rPr>
        <w:t>Acceleration of Maturity; Rescission and Annulment.</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If an Event of Default (other than an Event of Default specified in Section 501(5) or 501(6))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Section 501(5) or 501(6)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88" w:lineRule="exact"/>
        <w:rPr>
          <w:sz w:val="20"/>
          <w:szCs w:val="20"/>
          <w:color w:val="auto"/>
        </w:rPr>
      </w:pPr>
    </w:p>
    <w:p>
      <w:pPr>
        <w:ind w:left="480" w:right="2539" w:firstLine="479"/>
        <w:spacing w:after="0" w:line="242" w:lineRule="auto"/>
        <w:tabs>
          <w:tab w:leader="none" w:pos="1441"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deposited with the Trustee a sum sufficient to pay</w:t>
      </w:r>
    </w:p>
    <w:p>
      <w:pPr>
        <w:spacing w:after="0" w:line="186" w:lineRule="exact"/>
        <w:rPr>
          <w:rFonts w:ascii="Courier New" w:cs="Courier New" w:eastAsia="Courier New" w:hAnsi="Courier New"/>
          <w:sz w:val="16"/>
          <w:szCs w:val="16"/>
          <w:color w:val="auto"/>
        </w:rPr>
      </w:pPr>
    </w:p>
    <w:p>
      <w:pPr>
        <w:ind w:left="1820" w:hanging="380"/>
        <w:spacing w:after="0"/>
        <w:tabs>
          <w:tab w:leader="none" w:pos="1820"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overdue interest on all Securities of that series,</w:t>
      </w:r>
    </w:p>
    <w:p>
      <w:pPr>
        <w:spacing w:after="0" w:line="190" w:lineRule="exact"/>
        <w:rPr>
          <w:rFonts w:ascii="Courier New" w:cs="Courier New" w:eastAsia="Courier New" w:hAnsi="Courier New"/>
          <w:sz w:val="16"/>
          <w:szCs w:val="16"/>
          <w:color w:val="auto"/>
        </w:rPr>
      </w:pPr>
    </w:p>
    <w:p>
      <w:pPr>
        <w:ind w:left="960" w:right="2639" w:firstLine="480"/>
        <w:spacing w:after="0" w:line="243" w:lineRule="auto"/>
        <w:tabs>
          <w:tab w:leader="none" w:pos="1825"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89" w:lineRule="exact"/>
        <w:rPr>
          <w:rFonts w:ascii="Courier New" w:cs="Courier New" w:eastAsia="Courier New" w:hAnsi="Courier New"/>
          <w:sz w:val="16"/>
          <w:szCs w:val="16"/>
          <w:color w:val="auto"/>
        </w:rPr>
      </w:pPr>
    </w:p>
    <w:p>
      <w:pPr>
        <w:ind w:left="960" w:right="3199" w:firstLine="480"/>
        <w:spacing w:after="0" w:line="243" w:lineRule="auto"/>
        <w:tabs>
          <w:tab w:leader="none" w:pos="1825"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payment of such interest is lawful, interest upon overdue interest at the rate or rates prescribed therefor in such Securities, and</w:t>
      </w:r>
    </w:p>
    <w:p>
      <w:pPr>
        <w:spacing w:after="0" w:line="188" w:lineRule="exact"/>
        <w:rPr>
          <w:rFonts w:ascii="Courier New" w:cs="Courier New" w:eastAsia="Courier New" w:hAnsi="Courier New"/>
          <w:sz w:val="16"/>
          <w:szCs w:val="16"/>
          <w:color w:val="auto"/>
        </w:rPr>
      </w:pPr>
    </w:p>
    <w:p>
      <w:pPr>
        <w:ind w:left="960" w:right="2719" w:firstLine="480"/>
        <w:spacing w:after="0" w:line="243" w:lineRule="auto"/>
        <w:tabs>
          <w:tab w:leader="none" w:pos="1825"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sums paid or advanced by the Trustee hereunder and the reasonable compensation, expenses, disbursements and advances of the Trustee, its agents and counsel; and</w:t>
      </w:r>
    </w:p>
    <w:p>
      <w:pPr>
        <w:spacing w:after="0" w:line="188" w:lineRule="exact"/>
        <w:rPr>
          <w:rFonts w:ascii="Courier New" w:cs="Courier New" w:eastAsia="Courier New" w:hAnsi="Courier New"/>
          <w:sz w:val="16"/>
          <w:szCs w:val="16"/>
          <w:color w:val="auto"/>
        </w:rPr>
      </w:pPr>
    </w:p>
    <w:p>
      <w:pPr>
        <w:ind w:left="480" w:right="2539" w:firstLine="479"/>
        <w:spacing w:after="0" w:line="243" w:lineRule="auto"/>
        <w:tabs>
          <w:tab w:leader="none" w:pos="1345"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90"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No such rescission shall affect any subsequent default or impair any right consequent thereon.</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1"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6"/>
          <w:szCs w:val="16"/>
          <w:color w:val="auto"/>
        </w:rPr>
        <w:t>SECTION 503. Collection of Indebtedness and Suits for Enforcement by Trustee.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covenants that if</w:t>
      </w:r>
    </w:p>
    <w:p>
      <w:pPr>
        <w:spacing w:after="0" w:line="190" w:lineRule="exact"/>
        <w:rPr>
          <w:sz w:val="20"/>
          <w:szCs w:val="20"/>
          <w:color w:val="auto"/>
        </w:rPr>
      </w:pPr>
    </w:p>
    <w:p>
      <w:pPr>
        <w:ind w:right="2539" w:firstLine="479"/>
        <w:spacing w:after="0" w:line="243" w:lineRule="auto"/>
        <w:tabs>
          <w:tab w:leader="none" w:pos="865"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any interest on any Security when such interest becomes due and payable and such default continues for a period of 30 days, or</w:t>
      </w:r>
    </w:p>
    <w:p>
      <w:pPr>
        <w:spacing w:after="0" w:line="188" w:lineRule="exact"/>
        <w:rPr>
          <w:rFonts w:ascii="Courier New" w:cs="Courier New" w:eastAsia="Courier New" w:hAnsi="Courier New"/>
          <w:sz w:val="16"/>
          <w:szCs w:val="16"/>
          <w:color w:val="auto"/>
        </w:rPr>
      </w:pPr>
    </w:p>
    <w:p>
      <w:pPr>
        <w:ind w:right="2539" w:firstLine="479"/>
        <w:spacing w:after="0" w:line="242" w:lineRule="auto"/>
        <w:tabs>
          <w:tab w:leader="none" w:pos="865"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the principal of (or premium, if any, on) any Security at the Maturity thereof,</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6"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6"/>
          <w:szCs w:val="16"/>
          <w:color w:val="auto"/>
        </w:rPr>
        <w:t>SECTION 504.</w:t>
      </w:r>
      <w:r>
        <w:rPr>
          <w:sz w:val="20"/>
          <w:szCs w:val="20"/>
          <w:color w:val="auto"/>
        </w:rPr>
        <w:tab/>
      </w:r>
      <w:r>
        <w:rPr>
          <w:rFonts w:ascii="Courier New" w:cs="Courier New" w:eastAsia="Courier New" w:hAnsi="Courier New"/>
          <w:sz w:val="15"/>
          <w:szCs w:val="15"/>
          <w:color w:val="auto"/>
        </w:rPr>
        <w:t>Trustee May File Proofs of Claim.</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175"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505. Trustee May Enforce Claims Without Possession of Securities.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69" w:right="1440" w:bottom="1440" w:gutter="0" w:footer="0" w:header="0"/>
        </w:sectPr>
      </w:pPr>
    </w:p>
    <w:bookmarkStart w:id="140" w:name="page141"/>
    <w:bookmarkEnd w:id="140"/>
    <w:p>
      <w:pPr>
        <w:ind w:right="2819"/>
        <w:spacing w:after="0" w:line="243" w:lineRule="auto"/>
        <w:rPr>
          <w:sz w:val="20"/>
          <w:szCs w:val="20"/>
          <w:color w:val="auto"/>
        </w:rPr>
      </w:pPr>
      <w:r>
        <w:rPr>
          <w:rFonts w:ascii="Courier New" w:cs="Courier New" w:eastAsia="Courier New" w:hAnsi="Courier New"/>
          <w:sz w:val="16"/>
          <w:szCs w:val="16"/>
          <w:color w:val="auto"/>
        </w:rPr>
        <w:t>disbursements and advances of the Trustee, its agents and counsel, be for the ratable benefit of the Holders of the Securities in respect of which such judgment has been recovered.</w:t>
      </w:r>
    </w:p>
    <w:p>
      <w:pPr>
        <w:spacing w:after="0" w:line="187"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6"/>
          <w:szCs w:val="16"/>
          <w:color w:val="auto"/>
        </w:rPr>
        <w:t>SECTION 506.</w:t>
      </w:r>
      <w:r>
        <w:rPr>
          <w:sz w:val="20"/>
          <w:szCs w:val="20"/>
          <w:color w:val="auto"/>
        </w:rPr>
        <w:tab/>
      </w:r>
      <w:r>
        <w:rPr>
          <w:rFonts w:ascii="Courier New" w:cs="Courier New" w:eastAsia="Courier New" w:hAnsi="Courier New"/>
          <w:sz w:val="16"/>
          <w:szCs w:val="16"/>
          <w:color w:val="auto"/>
        </w:rPr>
        <w:t>Application of Money Collected.</w:t>
      </w:r>
    </w:p>
    <w:p>
      <w:pPr>
        <w:spacing w:after="0" w:line="190" w:lineRule="exact"/>
        <w:rPr>
          <w:sz w:val="20"/>
          <w:szCs w:val="20"/>
          <w:color w:val="auto"/>
        </w:rPr>
      </w:pPr>
    </w:p>
    <w:p>
      <w:pPr>
        <w:ind w:right="2539" w:firstLine="480"/>
        <w:spacing w:after="0" w:line="264" w:lineRule="auto"/>
        <w:rPr>
          <w:sz w:val="20"/>
          <w:szCs w:val="20"/>
          <w:color w:val="auto"/>
        </w:rPr>
      </w:pPr>
      <w:r>
        <w:rPr>
          <w:rFonts w:ascii="Courier New" w:cs="Courier New" w:eastAsia="Courier New" w:hAnsi="Courier New"/>
          <w:sz w:val="15"/>
          <w:szCs w:val="15"/>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74"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FIRST: To the payment of all amounts due the Trustee under Section 607; and</w:t>
      </w:r>
    </w:p>
    <w:p>
      <w:pPr>
        <w:spacing w:after="0" w:line="20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SECOND: To the payment of the amounts then due and unpaid for principal of and any premium, if any, and interest on the Securities in respect of which or for the benefit of which such money has been collected, ratably, without preference or priority of any kind, according to the amounts due and payable on such Securities for principal and any premium, if any, and interest,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507. Limitation on Suits.</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90" w:lineRule="exact"/>
        <w:rPr>
          <w:sz w:val="20"/>
          <w:szCs w:val="20"/>
          <w:color w:val="auto"/>
        </w:rPr>
      </w:pPr>
    </w:p>
    <w:p>
      <w:pPr>
        <w:ind w:right="2919" w:firstLine="479"/>
        <w:spacing w:after="0" w:line="242" w:lineRule="auto"/>
        <w:tabs>
          <w:tab w:leader="none" w:pos="865"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has previously given written notice to the Trustee of a continuing Event of Default with respect to the Securities of that series;</w:t>
      </w:r>
    </w:p>
    <w:p>
      <w:pPr>
        <w:spacing w:after="0" w:line="188"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89"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or Holders have offered to the Trustee reasonable indemnity against the costs, expenses and liabilities to be incurred in compliance with such request;</w:t>
      </w:r>
    </w:p>
    <w:p>
      <w:pPr>
        <w:spacing w:after="0" w:line="188" w:lineRule="exact"/>
        <w:rPr>
          <w:rFonts w:ascii="Courier New" w:cs="Courier New" w:eastAsia="Courier New" w:hAnsi="Courier New"/>
          <w:sz w:val="16"/>
          <w:szCs w:val="16"/>
          <w:color w:val="auto"/>
        </w:rPr>
      </w:pPr>
    </w:p>
    <w:p>
      <w:pPr>
        <w:ind w:right="2719" w:firstLine="479"/>
        <w:spacing w:after="0" w:line="242" w:lineRule="auto"/>
        <w:tabs>
          <w:tab w:leader="none" w:pos="865"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88" w:lineRule="exact"/>
        <w:rPr>
          <w:rFonts w:ascii="Courier New" w:cs="Courier New" w:eastAsia="Courier New" w:hAnsi="Courier New"/>
          <w:sz w:val="16"/>
          <w:szCs w:val="16"/>
          <w:color w:val="auto"/>
        </w:rPr>
      </w:pPr>
    </w:p>
    <w:p>
      <w:pPr>
        <w:ind w:right="2639" w:firstLine="479"/>
        <w:spacing w:after="0" w:line="243" w:lineRule="auto"/>
        <w:tabs>
          <w:tab w:leader="none" w:pos="865"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60-day period by the Holders of a majority in principal amount of the Outstanding Securities of that series;</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8"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SECTION 508. Unconditional Right of Holders to Receive Principal, Premium and Interest and to Convert.</w:t>
      </w:r>
    </w:p>
    <w:p>
      <w:pPr>
        <w:spacing w:after="0" w:line="189"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Notwithstanding any other provision in this Indenture, the Holder of any Security shall have the right, which is absolute and unconditional, to receive payment of the principal of and any premium and (subject to Section 307)</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71" w:right="1440" w:bottom="1440" w:gutter="0" w:footer="0" w:header="0"/>
        </w:sectPr>
      </w:pPr>
    </w:p>
    <w:bookmarkStart w:id="141" w:name="page142"/>
    <w:bookmarkEnd w:id="141"/>
    <w:p>
      <w:pPr>
        <w:ind w:right="2639"/>
        <w:spacing w:after="0" w:line="244" w:lineRule="auto"/>
        <w:rPr>
          <w:sz w:val="20"/>
          <w:szCs w:val="20"/>
          <w:color w:val="auto"/>
        </w:rPr>
      </w:pPr>
      <w:r>
        <w:rPr>
          <w:rFonts w:ascii="Courier New" w:cs="Courier New" w:eastAsia="Courier New" w:hAnsi="Courier New"/>
          <w:sz w:val="16"/>
          <w:szCs w:val="16"/>
          <w:color w:val="auto"/>
        </w:rPr>
        <w:t>interest on such Security on the respective Stated Maturities expressed in such Security (or, in the case of redemption, on the Redemption Date), to convert such Securities in accordance with Article Fourteen and to institute suit for the enforcement of any such payment, and such rights shall not be impaired without the consent of such Holder.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509. Restoration of Rights and Remedies.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510. Rights and Remedies Cumulative.</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511. Delay or Omission Not Waiver.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(subject to the limitations contained in this Indenture) or by the Holders, as the case may be.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512. Control by Holders.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7" w:lineRule="exact"/>
        <w:rPr>
          <w:sz w:val="20"/>
          <w:szCs w:val="20"/>
          <w:color w:val="auto"/>
        </w:rPr>
      </w:pPr>
    </w:p>
    <w:p>
      <w:pPr>
        <w:ind w:right="2539" w:firstLine="479"/>
        <w:spacing w:after="0" w:line="243" w:lineRule="auto"/>
        <w:tabs>
          <w:tab w:leader="none" w:pos="865"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direction shall not be in conflict with any rule of law or with this Indenture and the Trustee shall not have determined that the action so directed would be unjustly prejudicial to Holders of Securities of that series, or any other series, not taking part in such direction, and</w:t>
      </w:r>
    </w:p>
    <w:p>
      <w:pPr>
        <w:spacing w:after="0" w:line="189" w:lineRule="exact"/>
        <w:rPr>
          <w:rFonts w:ascii="Courier New" w:cs="Courier New" w:eastAsia="Courier New" w:hAnsi="Courier New"/>
          <w:sz w:val="16"/>
          <w:szCs w:val="16"/>
          <w:color w:val="auto"/>
        </w:rPr>
      </w:pPr>
    </w:p>
    <w:p>
      <w:pPr>
        <w:ind w:right="3019" w:firstLine="479"/>
        <w:spacing w:after="0" w:line="242" w:lineRule="auto"/>
        <w:tabs>
          <w:tab w:leader="none" w:pos="865"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take any other action deemed proper by the Trustee which is not inconsistent with such direction or this Indenture.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513. Waiver of Past Defaults.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w:t>
      </w:r>
    </w:p>
    <w:p>
      <w:pPr>
        <w:spacing w:after="0" w:line="190" w:lineRule="exact"/>
        <w:rPr>
          <w:sz w:val="20"/>
          <w:szCs w:val="20"/>
          <w:color w:val="auto"/>
        </w:rPr>
      </w:pPr>
    </w:p>
    <w:p>
      <w:pPr>
        <w:ind w:right="2539" w:firstLine="479"/>
        <w:spacing w:after="0" w:line="242" w:lineRule="auto"/>
        <w:tabs>
          <w:tab w:leader="none" w:pos="865"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payment of the principal of or any premium or interest on any Security of such series, or</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1" w:right="1440" w:bottom="1440" w:gutter="0" w:footer="0" w:header="0"/>
        </w:sectPr>
      </w:pPr>
    </w:p>
    <w:bookmarkStart w:id="142" w:name="page143"/>
    <w:bookmarkEnd w:id="142"/>
    <w:p>
      <w:pPr>
        <w:ind w:right="2719" w:firstLine="479"/>
        <w:spacing w:after="0" w:line="243" w:lineRule="auto"/>
        <w:tabs>
          <w:tab w:leader="none" w:pos="865"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a covenant or provision hereof which under Article Nine cannot be modified or amended without the consent of the Holder of each Outstanding Security of such series affected.</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514. Undertaking for Costs.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that neither this Section nor the Trust Indenture Act shall be deemed to authorize any court to require such an undertaking or to make such an assessment in any suit instituted by the Company or in any suit for the enforcement of the right to convert any Security in accordance with Article Fourteen.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515. Waiver of Usury, Stay or Extension Laws.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SIX</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THE TRUSTEE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601. Certain Duties and Responsibilities.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602. Notice of Defaults.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1"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6"/>
          <w:szCs w:val="16"/>
          <w:color w:val="auto"/>
        </w:rPr>
        <w:t>SECTION 603. Certain Rights of Trustee.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Subject to the provisions of Section 601:</w:t>
      </w:r>
    </w:p>
    <w:p>
      <w:pPr>
        <w:spacing w:after="0" w:line="190" w:lineRule="exact"/>
        <w:rPr>
          <w:sz w:val="20"/>
          <w:szCs w:val="20"/>
          <w:color w:val="auto"/>
        </w:rPr>
      </w:pPr>
    </w:p>
    <w:p>
      <w:pPr>
        <w:ind w:right="2539" w:firstLine="479"/>
        <w:spacing w:after="0" w:line="244" w:lineRule="auto"/>
        <w:tabs>
          <w:tab w:leader="none" w:pos="865"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87" w:lineRule="exact"/>
        <w:rPr>
          <w:rFonts w:ascii="Courier New" w:cs="Courier New" w:eastAsia="Courier New" w:hAnsi="Courier New"/>
          <w:sz w:val="16"/>
          <w:szCs w:val="16"/>
          <w:color w:val="auto"/>
        </w:rPr>
      </w:pPr>
    </w:p>
    <w:p>
      <w:pPr>
        <w:ind w:right="2539" w:firstLine="479"/>
        <w:spacing w:after="0" w:line="267" w:lineRule="auto"/>
        <w:tabs>
          <w:tab w:leader="none" w:pos="86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1" w:lineRule="exact"/>
        <w:rPr>
          <w:rFonts w:ascii="Courier New" w:cs="Courier New" w:eastAsia="Courier New" w:hAnsi="Courier New"/>
          <w:sz w:val="15"/>
          <w:szCs w:val="15"/>
          <w:color w:val="auto"/>
        </w:rPr>
      </w:pPr>
    </w:p>
    <w:p>
      <w:pPr>
        <w:ind w:right="2539" w:firstLine="479"/>
        <w:spacing w:after="0" w:line="244" w:lineRule="auto"/>
        <w:tabs>
          <w:tab w:leader="none" w:pos="865"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87" w:lineRule="exact"/>
        <w:rPr>
          <w:rFonts w:ascii="Courier New" w:cs="Courier New" w:eastAsia="Courier New" w:hAnsi="Courier New"/>
          <w:sz w:val="16"/>
          <w:szCs w:val="16"/>
          <w:color w:val="auto"/>
        </w:rPr>
      </w:pPr>
    </w:p>
    <w:p>
      <w:pPr>
        <w:ind w:right="2719" w:firstLine="479"/>
        <w:spacing w:after="0" w:line="243" w:lineRule="auto"/>
        <w:tabs>
          <w:tab w:leader="none" w:pos="865"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89"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89" w:lineRule="exact"/>
        <w:rPr>
          <w:rFonts w:ascii="Courier New" w:cs="Courier New" w:eastAsia="Courier New" w:hAnsi="Courier New"/>
          <w:sz w:val="16"/>
          <w:szCs w:val="16"/>
          <w:color w:val="auto"/>
        </w:rPr>
      </w:pPr>
    </w:p>
    <w:p>
      <w:pPr>
        <w:ind w:right="2819" w:firstLine="479"/>
        <w:spacing w:after="0" w:line="244" w:lineRule="auto"/>
        <w:tabs>
          <w:tab w:leader="none" w:pos="865"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604. Not Responsible for Recitals or Issuance of Securities.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70"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6"/>
          <w:szCs w:val="16"/>
          <w:color w:val="auto"/>
        </w:rPr>
        <w:t>SECTION 605. May Hold Securities and Act as Trustee Under Other Indentures.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Subject to the limitations imposed by the Trust Indenture Act, nothing in this Indenture shall prohibit the Trustee from becoming and acting as trustee under other indentures under which other securities, or certificates of interest of participation in other securities, of the Company are outstanding in the same manner as if it were not Trustee hereunder.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606. Money Held in Trust.</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607. Compensation and Reimbursement.</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agrees</w:t>
      </w:r>
    </w:p>
    <w:p>
      <w:pPr>
        <w:spacing w:after="0" w:line="190" w:lineRule="exact"/>
        <w:rPr>
          <w:sz w:val="20"/>
          <w:szCs w:val="20"/>
          <w:color w:val="auto"/>
        </w:rPr>
      </w:pPr>
    </w:p>
    <w:p>
      <w:pPr>
        <w:ind w:right="2539" w:firstLine="479"/>
        <w:spacing w:after="0" w:line="243" w:lineRule="auto"/>
        <w:tabs>
          <w:tab w:leader="none" w:pos="865"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608. Conflicting Interests.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609. Corporate Trustee Required; Eligibility.</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There shall at all times be one (and only one) Trustee hereunder with respect to the Securities of each series, which may be Trustee hereunder for Securities of one or more other series. Each Trustee shall be a Person that is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69" w:right="1440" w:bottom="1440" w:gutter="0" w:footer="0" w:header="0"/>
        </w:sectPr>
      </w:pPr>
    </w:p>
    <w:bookmarkStart w:id="145" w:name="page146"/>
    <w:bookmarkEnd w:id="145"/>
    <w:p>
      <w:pPr>
        <w:ind w:right="2539"/>
        <w:spacing w:after="0" w:line="244" w:lineRule="auto"/>
        <w:rPr>
          <w:sz w:val="20"/>
          <w:szCs w:val="20"/>
          <w:color w:val="auto"/>
        </w:rPr>
      </w:pPr>
      <w:r>
        <w:rPr>
          <w:rFonts w:ascii="Courier New" w:cs="Courier New" w:eastAsia="Courier New" w:hAnsi="Courier New"/>
          <w:sz w:val="16"/>
          <w:szCs w:val="16"/>
          <w:color w:val="auto"/>
        </w:rPr>
        <w:t>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610. Resignation and Removal; Appointment of Successor.</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8"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at any time:</w:t>
      </w:r>
    </w:p>
    <w:p>
      <w:pPr>
        <w:spacing w:after="0" w:line="190" w:lineRule="exact"/>
        <w:rPr>
          <w:sz w:val="20"/>
          <w:szCs w:val="20"/>
          <w:color w:val="auto"/>
        </w:rPr>
      </w:pPr>
    </w:p>
    <w:p>
      <w:pPr>
        <w:ind w:right="2539" w:firstLine="479"/>
        <w:spacing w:after="0" w:line="243" w:lineRule="auto"/>
        <w:tabs>
          <w:tab w:leader="none" w:pos="865"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fail to comply with Section 608 after written request therefor by the Company or by any Holder who has been a bona fide Holder of a Security for at least six months, or</w:t>
      </w:r>
    </w:p>
    <w:p>
      <w:pPr>
        <w:spacing w:after="0" w:line="188"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cease to be eligible under Section 609 and shall fail to resign after written request therefor by the Company or by any such Holder, or</w:t>
      </w:r>
    </w:p>
    <w:p>
      <w:pPr>
        <w:spacing w:after="0" w:line="188" w:lineRule="exact"/>
        <w:rPr>
          <w:rFonts w:ascii="Courier New" w:cs="Courier New" w:eastAsia="Courier New" w:hAnsi="Courier New"/>
          <w:sz w:val="16"/>
          <w:szCs w:val="16"/>
          <w:color w:val="auto"/>
        </w:rPr>
      </w:pPr>
    </w:p>
    <w:p>
      <w:pPr>
        <w:ind w:right="2719" w:firstLine="479"/>
        <w:spacing w:after="0" w:line="244" w:lineRule="auto"/>
        <w:tabs>
          <w:tab w:leader="none" w:pos="865"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7"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71" w:right="1440" w:bottom="1440" w:gutter="0" w:footer="0" w:header="0"/>
        </w:sectPr>
      </w:pPr>
    </w:p>
    <w:bookmarkStart w:id="146" w:name="page147"/>
    <w:bookmarkEnd w:id="146"/>
    <w:p>
      <w:pPr>
        <w:ind w:right="2539"/>
        <w:spacing w:after="0" w:line="262" w:lineRule="auto"/>
        <w:rPr>
          <w:sz w:val="20"/>
          <w:szCs w:val="20"/>
          <w:color w:val="auto"/>
        </w:rPr>
      </w:pPr>
      <w:r>
        <w:rPr>
          <w:rFonts w:ascii="Courier New" w:cs="Courier New" w:eastAsia="Courier New" w:hAnsi="Courier New"/>
          <w:sz w:val="15"/>
          <w:szCs w:val="15"/>
          <w:color w:val="auto"/>
        </w:rPr>
        <w:t>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the retiring Trustee may petition, or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36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611. Acceptance of Appointment by Successor.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91"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71" w:right="1440" w:bottom="1440" w:gutter="0" w:footer="0" w:header="0"/>
        </w:sectPr>
      </w:pPr>
    </w:p>
    <w:bookmarkStart w:id="147" w:name="page148"/>
    <w:bookmarkEnd w:id="147"/>
    <w:p>
      <w:pPr>
        <w:ind w:right="2719" w:firstLine="480"/>
        <w:spacing w:after="0" w:line="243" w:lineRule="auto"/>
        <w:rPr>
          <w:sz w:val="20"/>
          <w:szCs w:val="20"/>
          <w:color w:val="auto"/>
        </w:rPr>
      </w:pPr>
      <w:r>
        <w:rPr>
          <w:rFonts w:ascii="Courier New" w:cs="Courier New" w:eastAsia="Courier New" w:hAnsi="Courier New"/>
          <w:sz w:val="16"/>
          <w:szCs w:val="16"/>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90" w:lineRule="exact"/>
        <w:rPr>
          <w:sz w:val="20"/>
          <w:szCs w:val="20"/>
          <w:color w:val="auto"/>
        </w:rPr>
      </w:pPr>
    </w:p>
    <w:p>
      <w:pPr>
        <w:jc w:val="both"/>
        <w:ind w:right="2919" w:firstLine="480"/>
        <w:spacing w:after="0" w:line="243" w:lineRule="auto"/>
        <w:rPr>
          <w:sz w:val="20"/>
          <w:szCs w:val="20"/>
          <w:color w:val="auto"/>
        </w:rPr>
      </w:pPr>
      <w:r>
        <w:rPr>
          <w:rFonts w:ascii="Courier New" w:cs="Courier New" w:eastAsia="Courier New" w:hAnsi="Courier New"/>
          <w:sz w:val="16"/>
          <w:szCs w:val="16"/>
          <w:color w:val="auto"/>
        </w:rPr>
        <w:t>No successor Trustee shall accept its appointment unless at the time of such acceptance such successor Trustee shall be qualified and eligible under this Article.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612. Merger, Conversion, Consolidation or Succession to Business.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613. Preferential Collection of Claims Against Company.</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614. Appointment of Authenticating Agent.</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36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71" w:right="1440" w:bottom="1440" w:gutter="0" w:footer="0" w:header="0"/>
        </w:sectPr>
      </w:pPr>
    </w:p>
    <w:bookmarkStart w:id="148" w:name="page149"/>
    <w:bookmarkEnd w:id="148"/>
    <w:p>
      <w:pPr>
        <w:ind w:right="2539"/>
        <w:spacing w:after="0" w:line="242" w:lineRule="auto"/>
        <w:rPr>
          <w:sz w:val="20"/>
          <w:szCs w:val="20"/>
          <w:color w:val="auto"/>
        </w:rPr>
      </w:pPr>
      <w:r>
        <w:rPr>
          <w:rFonts w:ascii="Courier New" w:cs="Courier New" w:eastAsia="Courier New" w:hAnsi="Courier New"/>
          <w:sz w:val="16"/>
          <w:szCs w:val="16"/>
          <w:color w:val="auto"/>
        </w:rPr>
        <w:t>eligible under this Section, without the execution or filing of any paper or any further act on the part of the Trustee or the Authenticating Agent.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2"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90"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If an appointment with respect to one or more series is made pursuant to this Section 612, the Securities of such series may have endorsed thereon, in addition to the Trustee's certificate of authentication, an alternative certificate of authentication in the following form:</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pacing w:after="0" w:line="18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NORWEST BANK MINNESOTA, NATIONAL ASSOCIATION,</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As Trustee</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As Authenticating Agent</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By:__________________________________________</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Authorized Officer</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SEVEN</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HOLDERS' LISTS AND REPORTS BY TRUSTEE AND COMPANY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701. Company to Furnish Trustee Names and Addresses of Holders.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will furnish or cause to be furnished to the Trustee</w:t>
      </w:r>
    </w:p>
    <w:p>
      <w:pPr>
        <w:spacing w:after="0" w:line="190" w:lineRule="exact"/>
        <w:rPr>
          <w:sz w:val="20"/>
          <w:szCs w:val="20"/>
          <w:color w:val="auto"/>
        </w:rPr>
      </w:pPr>
    </w:p>
    <w:p>
      <w:pPr>
        <w:ind w:right="2639" w:firstLine="479"/>
        <w:spacing w:after="0" w:line="243" w:lineRule="auto"/>
        <w:tabs>
          <w:tab w:leader="none" w:pos="865"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semi-annually, not later than 15 days after the Regular Record Date, a list, in such form as the Trustee may reasonably require, of the names and addresses of the Holders of Securities of each series as of such Regular Record Date, as the case may be, and</w:t>
      </w:r>
    </w:p>
    <w:p>
      <w:pPr>
        <w:spacing w:after="0" w:line="189" w:lineRule="exact"/>
        <w:rPr>
          <w:rFonts w:ascii="Courier New" w:cs="Courier New" w:eastAsia="Courier New" w:hAnsi="Courier New"/>
          <w:sz w:val="16"/>
          <w:szCs w:val="16"/>
          <w:color w:val="auto"/>
        </w:rPr>
      </w:pPr>
    </w:p>
    <w:p>
      <w:pPr>
        <w:ind w:right="2639" w:firstLine="479"/>
        <w:spacing w:after="0" w:line="243" w:lineRule="auto"/>
        <w:tabs>
          <w:tab w:leader="none" w:pos="865"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71" w:right="1440" w:bottom="1440" w:gutter="0" w:footer="0" w:header="0"/>
        </w:sectPr>
      </w:pPr>
    </w:p>
    <w:bookmarkStart w:id="149" w:name="page150"/>
    <w:bookmarkEnd w:id="149"/>
    <w:p>
      <w:pPr>
        <w:ind w:right="2819"/>
        <w:spacing w:after="0" w:line="242" w:lineRule="auto"/>
        <w:rPr>
          <w:sz w:val="20"/>
          <w:szCs w:val="20"/>
          <w:color w:val="auto"/>
        </w:rPr>
      </w:pPr>
      <w:r>
        <w:rPr>
          <w:rFonts w:ascii="Courier New" w:cs="Courier New" w:eastAsia="Courier New" w:hAnsi="Courier New"/>
          <w:sz w:val="16"/>
          <w:szCs w:val="16"/>
          <w:color w:val="auto"/>
        </w:rPr>
        <w:t>provided that no such list need be furnished by the Company to the Trustee so long as the Trustee is acting as Security Registrar.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702. Preservation of Information; Communications to Holders.</w:t>
      </w:r>
    </w:p>
    <w:p>
      <w:pPr>
        <w:spacing w:after="0" w:line="190" w:lineRule="exact"/>
        <w:rPr>
          <w:sz w:val="20"/>
          <w:szCs w:val="20"/>
          <w:color w:val="auto"/>
        </w:rPr>
      </w:pPr>
    </w:p>
    <w:p>
      <w:pPr>
        <w:ind w:right="2919" w:firstLine="480"/>
        <w:spacing w:after="0" w:line="244" w:lineRule="auto"/>
        <w:rPr>
          <w:sz w:val="20"/>
          <w:szCs w:val="20"/>
          <w:color w:val="auto"/>
        </w:rPr>
      </w:pPr>
      <w:r>
        <w:rPr>
          <w:rFonts w:ascii="Courier New" w:cs="Courier New" w:eastAsia="Courier New" w:hAnsi="Courier New"/>
          <w:sz w:val="16"/>
          <w:szCs w:val="16"/>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88"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703. Reports by Trustee.</w:t>
      </w:r>
    </w:p>
    <w:p>
      <w:pPr>
        <w:spacing w:after="0" w:line="190"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Reports so required to be transmitted at stated intervals of not more than 12 months shall be transmitted no later than July 1 in each calendar year, commencing with the first July 1 after the first issuance of Securities pursuant to this Indenture.</w:t>
      </w:r>
    </w:p>
    <w:p>
      <w:pPr>
        <w:spacing w:after="0" w:line="190"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704. Reports by Company.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shall file with the Trustee and the Commission, and transmit to Holders, such information, documents and other reports, and such summaries thereof, as may be required pursuant to the Trust Indenture Act at the times and in the manner provided pursuant to the Trust Indenture Act; provided that any such information, documents or reports required to be filed with the Commission pursuant to Section 13 or 15(d) of the Exchange Act shall be filed with the Trustee within 15 days after the same is so required to be filed with the Commission.</w:t>
      </w:r>
    </w:p>
    <w:p>
      <w:pPr>
        <w:spacing w:after="0" w:line="18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EIGHT</w:t>
      </w:r>
    </w:p>
    <w:p>
      <w:pPr>
        <w:spacing w:after="0" w:line="188"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CONSOLIDATION, MERGER, CONVEYANCE, TRANSFER OR LEASE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801. Company May Consolidate, Etc., Only on Certain Terms.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Company shall not consolidate with or merge into any other Person (in a transaction in which the Company is not the surviving corporation) or convey, transfer or lease its properties and assets substantially as an entirety to any Person, unless:</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71" w:right="1440" w:bottom="1440" w:gutter="0" w:footer="0" w:header="0"/>
        </w:sectPr>
      </w:pPr>
    </w:p>
    <w:bookmarkStart w:id="150" w:name="page151"/>
    <w:bookmarkEnd w:id="150"/>
    <w:p>
      <w:pPr>
        <w:ind w:right="2539" w:firstLine="479"/>
        <w:spacing w:after="0" w:line="244" w:lineRule="auto"/>
        <w:tabs>
          <w:tab w:leader="none" w:pos="865"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consolidate with or merge into another Person (in a transaction in which the Company is not the surviving corporation)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limited liability company,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and the conversion rights shall be provided for in accordance with Article Fourteen, if applicable, or as otherwise specified pursuant to Section 301, by supplemental indenture satisfactory in form to the Trustee, executed and delivered to the Trustee, by the Person (if other than the Company) formed by such consolidation or into which the Company shall have been merged or by the Person which shall have acquired the Company's assets;</w:t>
      </w:r>
    </w:p>
    <w:p>
      <w:pPr>
        <w:spacing w:after="0" w:line="194"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and</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802. Successor Substituted.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NINE</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SUPPLEMENTAL INDENTURES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901. Supplemental Indentures Without Consent of Holders.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90" w:lineRule="exact"/>
        <w:rPr>
          <w:sz w:val="20"/>
          <w:szCs w:val="20"/>
          <w:color w:val="auto"/>
        </w:rPr>
      </w:pPr>
    </w:p>
    <w:p>
      <w:pPr>
        <w:ind w:right="3299" w:firstLine="479"/>
        <w:spacing w:after="0" w:line="243" w:lineRule="auto"/>
        <w:tabs>
          <w:tab w:leader="none" w:pos="865"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the succession of another Person to the Company, or successive successions, and the assumption by any such successor of the covenants of the Company herein and in the Securities; or</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71" w:right="1440" w:bottom="1440" w:gutter="0" w:footer="0" w:header="0"/>
        </w:sectPr>
      </w:pPr>
    </w:p>
    <w:bookmarkStart w:id="151" w:name="page152"/>
    <w:bookmarkEnd w:id="151"/>
    <w:p>
      <w:pPr>
        <w:ind w:right="2639" w:firstLine="479"/>
        <w:spacing w:after="0" w:line="244" w:lineRule="auto"/>
        <w:tabs>
          <w:tab w:leader="none" w:pos="865"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87"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86" w:lineRule="exact"/>
        <w:rPr>
          <w:rFonts w:ascii="Courier New" w:cs="Courier New" w:eastAsia="Courier New" w:hAnsi="Courier New"/>
          <w:sz w:val="16"/>
          <w:szCs w:val="16"/>
          <w:color w:val="auto"/>
        </w:rPr>
      </w:pPr>
    </w:p>
    <w:p>
      <w:pPr>
        <w:ind w:left="860" w:hanging="381"/>
        <w:spacing w:after="0"/>
        <w:tabs>
          <w:tab w:leader="none" w:pos="8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secure the Securities; or</w:t>
      </w:r>
    </w:p>
    <w:p>
      <w:pPr>
        <w:spacing w:after="0" w:line="190" w:lineRule="exact"/>
        <w:rPr>
          <w:rFonts w:ascii="Courier New" w:cs="Courier New" w:eastAsia="Courier New" w:hAnsi="Courier New"/>
          <w:sz w:val="16"/>
          <w:szCs w:val="16"/>
          <w:color w:val="auto"/>
        </w:rPr>
      </w:pPr>
    </w:p>
    <w:p>
      <w:pPr>
        <w:ind w:right="2539" w:firstLine="479"/>
        <w:spacing w:after="0" w:line="242" w:lineRule="auto"/>
        <w:tabs>
          <w:tab w:leader="none" w:pos="865"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the form or terms of Securities of any series as permitted by Sections 201 and 301; or</w:t>
      </w:r>
    </w:p>
    <w:p>
      <w:pPr>
        <w:spacing w:after="0" w:line="188" w:lineRule="exact"/>
        <w:rPr>
          <w:rFonts w:ascii="Courier New" w:cs="Courier New" w:eastAsia="Courier New" w:hAnsi="Courier New"/>
          <w:sz w:val="16"/>
          <w:szCs w:val="16"/>
          <w:color w:val="auto"/>
        </w:rPr>
      </w:pPr>
    </w:p>
    <w:p>
      <w:pPr>
        <w:ind w:right="2639" w:firstLine="479"/>
        <w:spacing w:after="0" w:line="264" w:lineRule="auto"/>
        <w:tabs>
          <w:tab w:leader="none" w:pos="865"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74" w:lineRule="exact"/>
        <w:rPr>
          <w:rFonts w:ascii="Courier New" w:cs="Courier New" w:eastAsia="Courier New" w:hAnsi="Courier New"/>
          <w:sz w:val="15"/>
          <w:szCs w:val="15"/>
          <w:color w:val="auto"/>
        </w:rPr>
      </w:pPr>
    </w:p>
    <w:p>
      <w:pPr>
        <w:ind w:right="2719" w:firstLine="479"/>
        <w:spacing w:after="0" w:line="243" w:lineRule="auto"/>
        <w:tabs>
          <w:tab w:leader="none" w:pos="865"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provision with respect to the conversion rights of Holders pursuant to the requirements of Article Fourteen, including providing for the conversion of the securities into any security (other than the Common Stock of the Company) or property of the Company; or</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to correct or supplement any provision herein which may be defective or inconsistent with any other provision herein, or to make any other provisions with respect to matters or questions arising under this Indenture, provided that such action pursuant to this Clause (10) shall not adversely affect the interests of the Holders of Securities of any series in any material respect; or</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supplement any of the provisions of the Indenture to such extent as shall be necessary to permit or facilitate the defeasance and discharge of any series of Securities pursuant to Articles Four and Thirteen, provided that any such action shall not adversely affect the interests of the Holders of Securities of such series or any other series of Securities in any material respect.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902. Supplemental Indentures With Consent of Holders.</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71" w:right="1440" w:bottom="1440" w:gutter="0" w:footer="0" w:header="0"/>
        </w:sectPr>
      </w:pPr>
    </w:p>
    <w:bookmarkStart w:id="152" w:name="page153"/>
    <w:bookmarkEnd w:id="152"/>
    <w:p>
      <w:pPr>
        <w:ind w:right="2639"/>
        <w:spacing w:after="0" w:line="243" w:lineRule="auto"/>
        <w:rPr>
          <w:sz w:val="20"/>
          <w:szCs w:val="20"/>
          <w:color w:val="auto"/>
        </w:rPr>
      </w:pPr>
      <w:r>
        <w:rPr>
          <w:rFonts w:ascii="Courier New" w:cs="Courier New" w:eastAsia="Courier New" w:hAnsi="Courier New"/>
          <w:sz w:val="16"/>
          <w:szCs w:val="16"/>
          <w:color w:val="auto"/>
        </w:rPr>
        <w:t>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190" w:lineRule="exact"/>
        <w:rPr>
          <w:sz w:val="20"/>
          <w:szCs w:val="20"/>
          <w:color w:val="auto"/>
        </w:rPr>
      </w:pPr>
    </w:p>
    <w:p>
      <w:pPr>
        <w:ind w:right="2639" w:firstLine="479"/>
        <w:spacing w:after="0" w:line="244" w:lineRule="auto"/>
        <w:tabs>
          <w:tab w:leader="none" w:pos="865"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w:t>
      </w:r>
    </w:p>
    <w:p>
      <w:pPr>
        <w:spacing w:after="0" w:line="190"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of the provisions of this Section, Section 513 or Section 1010,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1010, or the deletion of this proviso, in accordance with the requirements of Sections 611 and 901(8), or</w:t>
      </w:r>
    </w:p>
    <w:p>
      <w:pPr>
        <w:spacing w:after="0" w:line="188" w:lineRule="exact"/>
        <w:rPr>
          <w:rFonts w:ascii="Courier New" w:cs="Courier New" w:eastAsia="Courier New" w:hAnsi="Courier New"/>
          <w:sz w:val="16"/>
          <w:szCs w:val="16"/>
          <w:color w:val="auto"/>
        </w:rPr>
      </w:pPr>
    </w:p>
    <w:p>
      <w:pPr>
        <w:ind w:right="2639" w:firstLine="479"/>
        <w:spacing w:after="0" w:line="243" w:lineRule="auto"/>
        <w:tabs>
          <w:tab w:leader="none" w:pos="865"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make any change that adversely affects the right to convert any security as provided in Article Fourteen or pursuant to Section 301 (except as permitted by Section 901(9)) or decrease the conversion rate or increase the conversion price of any such security.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88"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It shall not be necessary for any Act of Holders under this Section to approve the particular form of any proposed supplemental indenture, but it shall be sufficient if such Act shall approve the substance thereof.</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903. Execution of Supplemental Indentures.</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In executing, or accepting the additional trusts created by, any supplemental indenture permitted by this Article or the modifications thereby of the trusts created by this Indenture, the Trustee shall be entitled to receive, and (subject to Sections 601 and 603)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200" w:lineRule="exact"/>
        <w:rPr>
          <w:sz w:val="20"/>
          <w:szCs w:val="20"/>
          <w:color w:val="auto"/>
        </w:rPr>
      </w:pPr>
    </w:p>
    <w:p>
      <w:pPr>
        <w:spacing w:after="0" w:line="34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72"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6"/>
          <w:szCs w:val="16"/>
          <w:color w:val="auto"/>
        </w:rPr>
        <w:t>SECTION 904. Effect of Supplemental Indentures.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905. Conformity with Trust Indenture Act.</w:t>
      </w:r>
    </w:p>
    <w:p>
      <w:pPr>
        <w:spacing w:after="0" w:line="190" w:lineRule="exact"/>
        <w:rPr>
          <w:sz w:val="20"/>
          <w:szCs w:val="20"/>
          <w:color w:val="auto"/>
        </w:rPr>
      </w:pPr>
    </w:p>
    <w:p>
      <w:pPr>
        <w:ind w:right="3199" w:firstLine="480"/>
        <w:spacing w:after="0" w:line="242" w:lineRule="auto"/>
        <w:rPr>
          <w:sz w:val="20"/>
          <w:szCs w:val="20"/>
          <w:color w:val="auto"/>
        </w:rPr>
      </w:pPr>
      <w:r>
        <w:rPr>
          <w:rFonts w:ascii="Courier New" w:cs="Courier New" w:eastAsia="Courier New" w:hAnsi="Courier New"/>
          <w:sz w:val="16"/>
          <w:szCs w:val="16"/>
          <w:color w:val="auto"/>
        </w:rPr>
        <w:t>Every supplemental indenture executed pursuant to this Article shall conform to the requirements of the Trust Indenture Act.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906. Reference in Securities to Supplemental Indentures.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8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TEN</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COVENANTS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1001. Payment of Principal, Premium and Interest.</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1002. Maintenance of Office or Agency.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69"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6"/>
          <w:szCs w:val="16"/>
          <w:color w:val="auto"/>
        </w:rPr>
        <w:t>SECTION 1003. Money for Securities Payments to Be Held in Trust.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89"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Any money deposited with the Trustee or any Paying Agent, or then held by the Company, in trust for the payment of the principal of or any premium or interest on any Security of any series and remaining unclaimed for a period ending on the earlier of the date that is ten Business Days prior to the date such money would escheat to the State 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1004. Statement by Officers as to Default.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0"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6"/>
          <w:szCs w:val="16"/>
          <w:color w:val="auto"/>
        </w:rPr>
        <w:t>SECTION 1005. Existence.</w:t>
      </w:r>
    </w:p>
    <w:p>
      <w:pPr>
        <w:spacing w:after="0" w:line="190"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Subject to Article Eight, the Company will do or cause to be done all things necessary to preserve and keep in full force and effect its existence.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1006. Maintenance of Properties.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will cause all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1007. Payment of Taxes and Other Claims.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will pay or discharge or cause to be paid or discharged, before the same shall become delinquent, (1) all taxes, assessments and governmental charges levied or imposed upon the Company upon the income, profits or property of the Company, and (2) all lawful claims for labor, materials and supplies which, if unpaid, might by law become a lien upon the property of the Company; provided, however, that the Company shall not be required to pay or 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1008. Limitation on Liens.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will not issue, incur, create, assume or guarantee, and will not permit any Restricted Subsidiary to issue, incur, create, assume or guarantee, any debt for borrowed money secured by a mortgage, security interest, pledge, lien, charge or other encumbrance ("mortgages") upon any Principal Property of the Company or any Restricted Subsidiary or upon any shares of stock or indebtedness of any Restricted Subsidiary (whether such Principal Property, shares or indebtedness are now existing or owned or hereafter created or acquired) without in any such case effectively providing concurrently with issuance, incurrence, creation, assumption or guarantee of any such secured debt, or the grant of a mortgage with respect to any such indebtedness, that the Securities (together with, if the Company shall so determine, any other indebtedness of or guarantee by the Company or such Restricted Subsidiary ranking equally with the Securities) shall be secured equally and ratably with (or, at the option of the Company, prior to) such secured debt. The foregoing restriction, however, will not apply to:</w:t>
      </w:r>
    </w:p>
    <w:p>
      <w:pPr>
        <w:spacing w:after="0" w:line="192" w:lineRule="exact"/>
        <w:rPr>
          <w:sz w:val="20"/>
          <w:szCs w:val="20"/>
          <w:color w:val="auto"/>
        </w:rPr>
      </w:pPr>
    </w:p>
    <w:p>
      <w:pPr>
        <w:jc w:val="both"/>
        <w:ind w:right="2819" w:firstLine="479"/>
        <w:spacing w:after="0" w:line="243" w:lineRule="auto"/>
        <w:tabs>
          <w:tab w:leader="none" w:pos="865"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property existing at the time of acquisition thereof by the Company or any Subsidiary, provided that such mortgages were in existence prior to the contemplation of such acquisitions;</w:t>
      </w:r>
    </w:p>
    <w:p>
      <w:pPr>
        <w:spacing w:after="0" w:line="188" w:lineRule="exact"/>
        <w:rPr>
          <w:rFonts w:ascii="Courier New" w:cs="Courier New" w:eastAsia="Courier New" w:hAnsi="Courier New"/>
          <w:sz w:val="16"/>
          <w:szCs w:val="16"/>
          <w:color w:val="auto"/>
        </w:rPr>
      </w:pPr>
    </w:p>
    <w:p>
      <w:pPr>
        <w:ind w:right="2639" w:firstLine="479"/>
        <w:spacing w:after="0" w:line="243" w:lineRule="auto"/>
        <w:tabs>
          <w:tab w:leader="none" w:pos="865"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property, shares of stock or indebtedness or other assets of any corporation existing at the time such corporation becomes a Restricted Subsidiary, provided that such mortgages are not incurred in anticipation of such corporation becoming a Restricted Subsidiary;</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70" w:right="1440" w:bottom="1440" w:gutter="0" w:footer="0" w:header="0"/>
        </w:sectPr>
      </w:pPr>
    </w:p>
    <w:bookmarkStart w:id="156" w:name="page157"/>
    <w:bookmarkEnd w:id="156"/>
    <w:p>
      <w:pPr>
        <w:ind w:right="2539" w:firstLine="479"/>
        <w:spacing w:after="0" w:line="244" w:lineRule="auto"/>
        <w:tabs>
          <w:tab w:leader="none" w:pos="865"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property, shares of stock or indebtedness existing at the time of acquisition thereof by the Company or a Restricted Subsidiary or mortgages thereon to secure the payment of all or any part of the purchase price thereof, or mortgages on property, shares of stock or indebtedness to secure any indebtedness for borrowed money incurred prior to, at the time of or within 270 days after, the latest of the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w:t>
      </w:r>
    </w:p>
    <w:p>
      <w:pPr>
        <w:spacing w:after="0" w:line="189" w:lineRule="exact"/>
        <w:rPr>
          <w:rFonts w:ascii="Courier New" w:cs="Courier New" w:eastAsia="Courier New" w:hAnsi="Courier New"/>
          <w:sz w:val="16"/>
          <w:szCs w:val="16"/>
          <w:color w:val="auto"/>
        </w:rPr>
      </w:pPr>
    </w:p>
    <w:p>
      <w:pPr>
        <w:ind w:right="2539" w:firstLine="479"/>
        <w:spacing w:after="0" w:line="242" w:lineRule="auto"/>
        <w:tabs>
          <w:tab w:leader="none" w:pos="961"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to secure indebtedness owing to the Company or to a Restricted Subsidiary:</w:t>
      </w:r>
    </w:p>
    <w:p>
      <w:pPr>
        <w:spacing w:after="0" w:line="186" w:lineRule="exact"/>
        <w:rPr>
          <w:rFonts w:ascii="Courier New" w:cs="Courier New" w:eastAsia="Courier New" w:hAnsi="Courier New"/>
          <w:sz w:val="16"/>
          <w:szCs w:val="16"/>
          <w:color w:val="auto"/>
        </w:rPr>
      </w:pPr>
    </w:p>
    <w:p>
      <w:pPr>
        <w:ind w:left="860" w:hanging="381"/>
        <w:spacing w:after="0"/>
        <w:tabs>
          <w:tab w:leader="none" w:pos="860"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existing at the date of this Indenture;</w:t>
      </w:r>
    </w:p>
    <w:p>
      <w:pPr>
        <w:spacing w:after="0" w:line="190"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property of a corporation existing at the time such corporation is merged into or consolidated with the Company or a Restricted Subsidiary or at the time of a sale, lease or other disposition of the properties of a corporation as an entirety or substantially as an entirety to the Company or a Restricted Subsidiary, provided that such mortgage was not incurred in anticipation of such merger or consolidation or sale, lease or other disposition;</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of the cost of constructing or improving the property subject to such mortgages;</w:t>
      </w:r>
    </w:p>
    <w:p>
      <w:pPr>
        <w:spacing w:after="0" w:line="188" w:lineRule="exact"/>
        <w:rPr>
          <w:rFonts w:ascii="Courier New" w:cs="Courier New" w:eastAsia="Courier New" w:hAnsi="Courier New"/>
          <w:sz w:val="16"/>
          <w:szCs w:val="16"/>
          <w:color w:val="auto"/>
        </w:rPr>
      </w:pPr>
    </w:p>
    <w:p>
      <w:pPr>
        <w:ind w:right="2919" w:firstLine="479"/>
        <w:spacing w:after="0" w:line="242" w:lineRule="auto"/>
        <w:tabs>
          <w:tab w:leader="none" w:pos="865"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created in connection with the acquisition of assets or a project financed with, and created to secure, a Nonrecourse Obligation;</w:t>
      </w:r>
    </w:p>
    <w:p>
      <w:pPr>
        <w:spacing w:after="0" w:line="188" w:lineRule="exact"/>
        <w:rPr>
          <w:rFonts w:ascii="Courier New" w:cs="Courier New" w:eastAsia="Courier New" w:hAnsi="Courier New"/>
          <w:sz w:val="16"/>
          <w:szCs w:val="16"/>
          <w:color w:val="auto"/>
        </w:rPr>
      </w:pPr>
    </w:p>
    <w:p>
      <w:pPr>
        <w:ind w:right="2639" w:firstLine="479"/>
        <w:spacing w:after="0" w:line="260" w:lineRule="auto"/>
        <w:tabs>
          <w:tab w:leader="none" w:pos="86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extensions, renewals, refinancings or replacements of any mortgage referred to in the foregoing clauses (1), (2), (3), (4), (5), (6), (7) and (8) provided, however, that any mortgages permitted by any of the foregoing clauses</w:t>
      </w:r>
    </w:p>
    <w:p>
      <w:pPr>
        <w:spacing w:after="0" w:line="2" w:lineRule="exact"/>
        <w:rPr>
          <w:rFonts w:ascii="Courier New" w:cs="Courier New" w:eastAsia="Courier New" w:hAnsi="Courier New"/>
          <w:sz w:val="15"/>
          <w:szCs w:val="15"/>
          <w:color w:val="auto"/>
        </w:rPr>
      </w:pPr>
    </w:p>
    <w:p>
      <w:pPr>
        <w:ind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(1), (2), (3), (4), (5), (6), (7) and (8) shall not extend to or cover any property of the Company or such Restricted Subsidiary, as the case may be, other than the property, if any, specified in such clauses and improvements thereto, and provided further that any refinancing or replacement of any mortgages permitted by the foregoing clauses (7) and (8) shall be of the type referred to in such clauses (7) or (8), as the case may be.</w:t>
      </w:r>
    </w:p>
    <w:p>
      <w:pPr>
        <w:spacing w:after="0" w:line="188"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Notwithstanding the restrictions set forth in the preceding paragraph, the Company or any Restricted Subsidiary will be permitted to issue, incur, create, assume or guarantee debt secured by a mortgage which would otherwise be subject to such restrictions, without equally and ratably securing the Securities, provided that after giving effect thereto, the aggregate amount of all debt so secured by mortgages (not including mortgages permitted under clauses (1) through (10) above) does not exceed 15% of the Consolidated Net Tangible Assets of the Company as most recently determine on or prior to such 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1009. Limitations on Sale and Leaseback Transactions.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Company will not, nor will it permit any Restricted Subsidiary to, enter into any Sale and Lease-Back Transaction with respect to any Principal Property, other than any such transaction involving a lease for a term of not more than three years of any such transaction between the Company and a Restricted Subsidiary or between Restricted Subsidiaries, unless: (1) the Company or such Restricted Subsidiary would be entitled to incurs indebtedness secured by a mortgage on the Principal Property involved in such transaction at least equal in amount to the Attributable Debt</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71" w:right="1440" w:bottom="1440" w:gutter="0" w:footer="0" w:header="0"/>
        </w:sectPr>
      </w:pPr>
    </w:p>
    <w:bookmarkStart w:id="157" w:name="page158"/>
    <w:bookmarkEnd w:id="157"/>
    <w:p>
      <w:pPr>
        <w:ind w:right="2719"/>
        <w:spacing w:after="0" w:line="244" w:lineRule="auto"/>
        <w:rPr>
          <w:sz w:val="20"/>
          <w:szCs w:val="20"/>
          <w:color w:val="auto"/>
        </w:rPr>
      </w:pPr>
      <w:r>
        <w:rPr>
          <w:rFonts w:ascii="Courier New" w:cs="Courier New" w:eastAsia="Courier New" w:hAnsi="Courier New"/>
          <w:sz w:val="16"/>
          <w:szCs w:val="16"/>
          <w:color w:val="auto"/>
        </w:rPr>
        <w:t>with respect to such Sale and Lease-Back Transaction, without equally and ratably securing the Securities, pursuant to Section 1008; or (2) the Company shall apply an amount equal to the greater of the net proceeds of such sale or the Attributable Debt with respect to such Sale and Lease-Back Transaction within 180 days of such sale to either (or a combination of) the retirement (other than mandatory retirement, mandatory prepayment or sinking fund payment or by a payment at maturity) of debt for borrowed money of the Company or a Restricted Subsidiary that matures more than 12 months after the creation of such indebtedness or the purchase, construction or development of other comparable property.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1010. Waiver of Certain Covenants.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Except as otherwise specified as contemplated by Section 301 for Securities of such series, the Company may, with respect to the Securities of any series, omit in any particular instance to comply with any term, provision or condition set forth in any covenant provided pursuant to Section 301(19), 901(2), 901(7), 1006, 1007, 1008 or 1009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9"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ELEVEN</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REDEMPTION OF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1101. Applicability of Article.</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Securities of any series which are redeemable before their Stated Maturity shall be redeemable in accordance with their terms and (except as otherwise specified as contemplated by Section 301 for such Securities) in accordance with this Article.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1102. Election to Redeem; Notice to Trustee.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at least 60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1103. Selection by Trustee of Securities to Be Redeemed.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60 days prior to the Redemption Date by the Trustee, from the Outstanding Securities of such series not previously called for redemption, by such method as the Trustee shall deem</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71" w:right="1440" w:bottom="1440" w:gutter="0" w:footer="0" w:header="0"/>
        </w:sectPr>
      </w:pPr>
    </w:p>
    <w:bookmarkStart w:id="158" w:name="page159"/>
    <w:bookmarkEnd w:id="158"/>
    <w:p>
      <w:pPr>
        <w:ind w:right="2539"/>
        <w:spacing w:after="0" w:line="244" w:lineRule="auto"/>
        <w:rPr>
          <w:sz w:val="20"/>
          <w:szCs w:val="20"/>
          <w:color w:val="auto"/>
        </w:rPr>
      </w:pPr>
      <w:r>
        <w:rPr>
          <w:rFonts w:ascii="Courier New" w:cs="Courier New" w:eastAsia="Courier New" w:hAnsi="Courier New"/>
          <w:sz w:val="16"/>
          <w:szCs w:val="16"/>
          <w:color w:val="auto"/>
        </w:rPr>
        <w:t>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60 days prior to the Redemption Date by the Trustee, from the Outstanding Securities of such series and specified tenor not previously called for redemption in accordance with the preceding sentence.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for the purpose of such selection.</w:t>
      </w:r>
    </w:p>
    <w:p>
      <w:pPr>
        <w:spacing w:after="0" w:line="188" w:lineRule="exact"/>
        <w:rPr>
          <w:sz w:val="20"/>
          <w:szCs w:val="20"/>
          <w:color w:val="auto"/>
        </w:rPr>
      </w:pPr>
    </w:p>
    <w:p>
      <w:pPr>
        <w:jc w:val="both"/>
        <w:ind w:right="2539" w:firstLine="480"/>
        <w:spacing w:after="0" w:line="267" w:lineRule="auto"/>
        <w:rPr>
          <w:sz w:val="20"/>
          <w:szCs w:val="20"/>
          <w:color w:val="auto"/>
        </w:rPr>
      </w:pPr>
      <w:r>
        <w:rPr>
          <w:rFonts w:ascii="Courier New" w:cs="Courier New" w:eastAsia="Courier New" w:hAnsi="Courier New"/>
          <w:sz w:val="15"/>
          <w:szCs w:val="15"/>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88" w:lineRule="exact"/>
        <w:rPr>
          <w:sz w:val="20"/>
          <w:szCs w:val="20"/>
          <w:color w:val="auto"/>
        </w:rPr>
      </w:pPr>
    </w:p>
    <w:p>
      <w:pPr>
        <w:ind w:right="2639" w:firstLine="480"/>
        <w:spacing w:after="0" w:line="265" w:lineRule="auto"/>
        <w:rPr>
          <w:sz w:val="20"/>
          <w:szCs w:val="20"/>
          <w:color w:val="auto"/>
        </w:rPr>
      </w:pPr>
      <w:r>
        <w:rPr>
          <w:rFonts w:ascii="Courier New" w:cs="Courier New" w:eastAsia="Courier New" w:hAnsi="Courier New"/>
          <w:sz w:val="15"/>
          <w:szCs w:val="15"/>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1104. Notice of Redemption.</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Notice of redemption shall be given by first-class mail, postage prepaid, mailed not less than 30 nor more than 60 days prior to the Redemption Date, to each Holder of Securities to be redeemed, at its address appearing in the Security Register.</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All notices of redemption shall state:</w:t>
      </w:r>
    </w:p>
    <w:p>
      <w:pPr>
        <w:spacing w:after="0" w:line="188" w:lineRule="exact"/>
        <w:rPr>
          <w:sz w:val="20"/>
          <w:szCs w:val="20"/>
          <w:color w:val="auto"/>
        </w:rPr>
      </w:pPr>
    </w:p>
    <w:p>
      <w:pPr>
        <w:ind w:left="860" w:hanging="381"/>
        <w:spacing w:after="0"/>
        <w:tabs>
          <w:tab w:leader="none" w:pos="86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Date,</w:t>
      </w:r>
    </w:p>
    <w:p>
      <w:pPr>
        <w:spacing w:after="0" w:line="188" w:lineRule="exact"/>
        <w:rPr>
          <w:rFonts w:ascii="Courier New" w:cs="Courier New" w:eastAsia="Courier New" w:hAnsi="Courier New"/>
          <w:sz w:val="16"/>
          <w:szCs w:val="16"/>
          <w:color w:val="auto"/>
        </w:rPr>
      </w:pPr>
    </w:p>
    <w:p>
      <w:pPr>
        <w:ind w:left="860" w:hanging="381"/>
        <w:spacing w:after="0"/>
        <w:tabs>
          <w:tab w:leader="none" w:pos="86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Price (including accrued interest, if any),</w:t>
      </w:r>
    </w:p>
    <w:p>
      <w:pPr>
        <w:spacing w:after="0" w:line="190"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87"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 the Redemption Date the Redemption Price will become due and payable upon each such Security to be redeemed and, if applicable, that interest thereon will cease to accrue on and after said date,</w:t>
      </w:r>
    </w:p>
    <w:p>
      <w:pPr>
        <w:spacing w:after="0" w:line="188" w:lineRule="exact"/>
        <w:rPr>
          <w:rFonts w:ascii="Courier New" w:cs="Courier New" w:eastAsia="Courier New" w:hAnsi="Courier New"/>
          <w:sz w:val="16"/>
          <w:szCs w:val="16"/>
          <w:color w:val="auto"/>
        </w:rPr>
      </w:pPr>
    </w:p>
    <w:p>
      <w:pPr>
        <w:ind w:right="2539" w:firstLine="479"/>
        <w:spacing w:after="0" w:line="242" w:lineRule="auto"/>
        <w:tabs>
          <w:tab w:leader="none" w:pos="865"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each such Security is to be surrendered for payment of the Redemption Price,</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72" w:right="1440" w:bottom="1440" w:gutter="0" w:footer="0" w:header="0"/>
        </w:sectPr>
      </w:pPr>
    </w:p>
    <w:bookmarkStart w:id="159" w:name="page160"/>
    <w:bookmarkEnd w:id="159"/>
    <w:p>
      <w:pPr>
        <w:ind w:left="1" w:right="2719" w:firstLine="479"/>
        <w:spacing w:after="0" w:line="243" w:lineRule="auto"/>
        <w:tabs>
          <w:tab w:leader="none" w:pos="866"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the conversion price, that the date on which the right to convert the principal of the Securities or the portions thereof to be redeemed will terminate will be the Redemption Date and the place or places where such Securities may be surrendered for conversion, and</w:t>
      </w:r>
    </w:p>
    <w:p>
      <w:pPr>
        <w:spacing w:after="0" w:line="187" w:lineRule="exact"/>
        <w:rPr>
          <w:rFonts w:ascii="Courier New" w:cs="Courier New" w:eastAsia="Courier New" w:hAnsi="Courier New"/>
          <w:sz w:val="16"/>
          <w:szCs w:val="16"/>
          <w:color w:val="auto"/>
        </w:rPr>
      </w:pPr>
    </w:p>
    <w:p>
      <w:pPr>
        <w:ind w:left="861" w:hanging="381"/>
        <w:spacing w:after="0"/>
        <w:tabs>
          <w:tab w:leader="none" w:pos="861"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redemption is for a sinking fund, if such is the case.</w:t>
      </w:r>
    </w:p>
    <w:p>
      <w:pPr>
        <w:spacing w:after="0" w:line="190" w:lineRule="exact"/>
        <w:rPr>
          <w:sz w:val="20"/>
          <w:szCs w:val="20"/>
          <w:color w:val="auto"/>
        </w:rPr>
      </w:pPr>
    </w:p>
    <w:p>
      <w:pPr>
        <w:ind w:left="1" w:right="2639" w:firstLine="480"/>
        <w:spacing w:after="0" w:line="267" w:lineRule="auto"/>
        <w:rPr>
          <w:sz w:val="20"/>
          <w:szCs w:val="20"/>
          <w:color w:val="auto"/>
        </w:rPr>
      </w:pPr>
      <w:r>
        <w:rPr>
          <w:rFonts w:ascii="Courier New" w:cs="Courier New" w:eastAsia="Courier New" w:hAnsi="Courier New"/>
          <w:sz w:val="15"/>
          <w:szCs w:val="15"/>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7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1105. Deposit of Redemption Price.</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On or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188"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If any Security called for redemption is converted, any money deposited with the Trustee or with a Paying Agent or so segregated and held in trust for the redemption of such Security shall (subject to the right of any Holder of such Security to receive interest as provided in the last paragraph of Section</w:t>
      </w:r>
    </w:p>
    <w:p>
      <w:pPr>
        <w:spacing w:after="0" w:line="5" w:lineRule="exact"/>
        <w:rPr>
          <w:sz w:val="20"/>
          <w:szCs w:val="20"/>
          <w:color w:val="auto"/>
        </w:rPr>
      </w:pPr>
    </w:p>
    <w:p>
      <w:pPr>
        <w:ind w:left="1" w:right="2639" w:hanging="1"/>
        <w:spacing w:after="0" w:line="242" w:lineRule="auto"/>
        <w:tabs>
          <w:tab w:leader="none" w:pos="482"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paid to the Company on Company Request, or if then held by the Company, shall be discharged from such trust.</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1106. Securities Payable on Redemption Date.</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191"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1107. Securities Redeemed in Part.</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200" w:lineRule="exact"/>
        <w:rPr>
          <w:sz w:val="20"/>
          <w:szCs w:val="20"/>
          <w:color w:val="auto"/>
        </w:rPr>
      </w:pPr>
    </w:p>
    <w:p>
      <w:pPr>
        <w:spacing w:after="0" w:line="35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21"/>
          </w:cols>
          <w:pgMar w:left="239" w:top="671" w:right="1440" w:bottom="1440" w:gutter="0" w:footer="0" w:header="0"/>
        </w:sectPr>
      </w:pPr>
    </w:p>
    <w:bookmarkStart w:id="160" w:name="page161"/>
    <w:bookmarkEnd w:id="160"/>
    <w:p>
      <w:pPr>
        <w:ind w:left="3160"/>
        <w:spacing w:after="0"/>
        <w:rPr>
          <w:sz w:val="20"/>
          <w:szCs w:val="20"/>
          <w:color w:val="auto"/>
        </w:rPr>
      </w:pPr>
      <w:r>
        <w:rPr>
          <w:rFonts w:ascii="Courier New" w:cs="Courier New" w:eastAsia="Courier New" w:hAnsi="Courier New"/>
          <w:sz w:val="16"/>
          <w:szCs w:val="16"/>
          <w:color w:val="auto"/>
        </w:rPr>
        <w:t>ARTICLE TWELVE</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SINKING FUNDS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1201. Applicability of Article.</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The provisions of this Article shall be applicable to any sinking fund for the retirement of Securities of any series except as otherwise specified as contemplated by Section 301 for such Securities.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1202. Each sinking fund payment shall be applied to the redemption of Securities as provided for by the terms of such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1202. Satisfaction of Sinking Fund Payments with Securities.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1203. Redemption of Securities for Sinking Fund.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Not less than 60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1202 and will also deliver to the Trustee any Securities to be so delivered. Not less than 30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200" w:lineRule="exact"/>
        <w:rPr>
          <w:sz w:val="20"/>
          <w:szCs w:val="20"/>
          <w:color w:val="auto"/>
        </w:rPr>
      </w:pPr>
    </w:p>
    <w:p>
      <w:pPr>
        <w:spacing w:after="0" w:line="35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70" w:right="1440" w:bottom="1440" w:gutter="0" w:footer="0" w:header="0"/>
        </w:sectPr>
      </w:pPr>
    </w:p>
    <w:bookmarkStart w:id="161" w:name="page162"/>
    <w:bookmarkEnd w:id="161"/>
    <w:p>
      <w:pPr>
        <w:jc w:val="center"/>
        <w:ind w:right="2539"/>
        <w:spacing w:after="0"/>
        <w:rPr>
          <w:sz w:val="20"/>
          <w:szCs w:val="20"/>
          <w:color w:val="auto"/>
        </w:rPr>
      </w:pPr>
      <w:r>
        <w:rPr>
          <w:rFonts w:ascii="Courier New" w:cs="Courier New" w:eastAsia="Courier New" w:hAnsi="Courier New"/>
          <w:sz w:val="16"/>
          <w:szCs w:val="16"/>
          <w:color w:val="auto"/>
        </w:rPr>
        <w:t>ARTICLE THIRTEEN</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DEFEASANCE AND COVENANT DEFEASANCE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1301. Company's Option to Effect Defeasance or Covenant Defeasance.</w:t>
      </w:r>
    </w:p>
    <w:p>
      <w:pPr>
        <w:spacing w:after="0" w:line="190" w:lineRule="exact"/>
        <w:rPr>
          <w:sz w:val="20"/>
          <w:szCs w:val="20"/>
          <w:color w:val="auto"/>
        </w:rPr>
      </w:pPr>
    </w:p>
    <w:p>
      <w:pPr>
        <w:ind w:right="2639" w:firstLine="480"/>
        <w:spacing w:after="0" w:line="263" w:lineRule="auto"/>
        <w:rPr>
          <w:sz w:val="20"/>
          <w:szCs w:val="20"/>
          <w:color w:val="auto"/>
        </w:rPr>
      </w:pPr>
      <w:r>
        <w:rPr>
          <w:rFonts w:ascii="Courier New" w:cs="Courier New" w:eastAsia="Courier New" w:hAnsi="Courier New"/>
          <w:sz w:val="15"/>
          <w:szCs w:val="15"/>
          <w:color w:val="auto"/>
        </w:rPr>
        <w:t>The Company may elect, at its option at any time, to have Section 1302 or Section 1303 applied to any Securities or any series of Securities, as the case may be, designated pursuant to Section 301 as being defeasible pursuant to such Section 1302 or 1303, in accordance with any applicable requirements provided pursuant to Section 301 and upon compliance with the conditions set forth below in this Article. Any such election shall be evidenced by a Board Resolution or in another manner specified as contemplated by Section 301 for such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1302. Defeasance and Discharge.</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Upon the Company's exercise of its option (if any) to have this Section applied to any Securities or any series of Securities, as the case may be, the Company shall be deemed to have been discharged from its obligations with respect to such Securities as provided in this Section on and after the date the conditions set forth in Section 1304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1304 and as more fully set forth in such Section, payments in respect of the principal of and any premium and interest on such Securities when payments are due, (2) the Company's obligations with respect to such Securities under Sections 304, 305, 306, 1002 and 1003, and, if applicable, Article Fourteen,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1303 applied to such Securities.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1303. Covenant Defeasance.</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Upon the Company's exercise of its option (if any) to have this Section applied to any Securities or any series of Securities, as the case may be, (1) the Company shall be released from its obligations under Sections 1006 through 1009, inclusive, and any covenants provided pursuant to Section 301(19), 901(2) or 901(7) for the benefit of the Holders of such Securities and (2) the occurrence of any event specified in Sections 501(4), Sections 1006 through 1009, inclusive, and any such covenants provided pursuant to Section 301(19), 901(2) or 901(7)) shall be deemed not to be or result in an Event of Default, in each case with respect to such Securities as provided in this Section on and after the date the conditions set forth in Section 1304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501(4)),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70" w:right="1440" w:bottom="1440" w:gutter="0" w:footer="0" w:header="0"/>
        </w:sectPr>
      </w:pPr>
    </w:p>
    <w:bookmarkStart w:id="162" w:name="page163"/>
    <w:bookmarkEnd w:id="162"/>
    <w:p>
      <w:pPr>
        <w:ind w:left="1"/>
        <w:spacing w:after="0"/>
        <w:rPr>
          <w:sz w:val="20"/>
          <w:szCs w:val="20"/>
          <w:color w:val="auto"/>
        </w:rPr>
      </w:pPr>
      <w:r>
        <w:rPr>
          <w:rFonts w:ascii="Courier New" w:cs="Courier New" w:eastAsia="Courier New" w:hAnsi="Courier New"/>
          <w:sz w:val="16"/>
          <w:szCs w:val="16"/>
          <w:color w:val="auto"/>
        </w:rPr>
        <w:t>SECTION 1304. Conditions to Defeasance or Covenant Defeasance.</w:t>
      </w:r>
    </w:p>
    <w:p>
      <w:pPr>
        <w:spacing w:after="0" w:line="190" w:lineRule="exact"/>
        <w:rPr>
          <w:sz w:val="20"/>
          <w:szCs w:val="20"/>
          <w:color w:val="auto"/>
        </w:rPr>
      </w:pPr>
    </w:p>
    <w:p>
      <w:pPr>
        <w:ind w:left="481"/>
        <w:spacing w:after="0"/>
        <w:rPr>
          <w:sz w:val="20"/>
          <w:szCs w:val="20"/>
          <w:color w:val="auto"/>
        </w:rPr>
      </w:pPr>
      <w:r>
        <w:rPr>
          <w:rFonts w:ascii="Courier New" w:cs="Courier New" w:eastAsia="Courier New" w:hAnsi="Courier New"/>
          <w:sz w:val="15"/>
          <w:szCs w:val="15"/>
          <w:color w:val="auto"/>
        </w:rPr>
        <w:t>The following shall be the conditions to the application of Section 1302 or</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1303 to any Securities or any series of Securities, as the case may be:</w:t>
      </w:r>
    </w:p>
    <w:p>
      <w:pPr>
        <w:spacing w:after="0" w:line="190" w:lineRule="exact"/>
        <w:rPr>
          <w:sz w:val="20"/>
          <w:szCs w:val="20"/>
          <w:color w:val="auto"/>
        </w:rPr>
      </w:pPr>
    </w:p>
    <w:p>
      <w:pPr>
        <w:ind w:left="1" w:right="2639" w:firstLine="479"/>
        <w:spacing w:after="0" w:line="260" w:lineRule="auto"/>
        <w:tabs>
          <w:tab w:leader="none" w:pos="866"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w:t>
      </w:r>
    </w:p>
    <w:p>
      <w:pPr>
        <w:spacing w:after="0" w:line="4" w:lineRule="exact"/>
        <w:rPr>
          <w:rFonts w:ascii="Courier New" w:cs="Courier New" w:eastAsia="Courier New" w:hAnsi="Courier New"/>
          <w:sz w:val="15"/>
          <w:szCs w:val="15"/>
          <w:color w:val="auto"/>
        </w:rPr>
      </w:pPr>
    </w:p>
    <w:p>
      <w:pPr>
        <w:jc w:val="both"/>
        <w:ind w:left="1" w:right="2539" w:hanging="1"/>
        <w:spacing w:after="0" w:line="260" w:lineRule="auto"/>
        <w:tabs>
          <w:tab w:leader="none" w:pos="386"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Government Obligations which through the scheduled payment of principal and interest in respect thereof in accordance with their terms will provide, not later than one day before the due date of any payment, money in an amount, or</w:t>
      </w:r>
    </w:p>
    <w:p>
      <w:pPr>
        <w:ind w:left="381" w:hanging="381"/>
        <w:spacing w:after="0"/>
        <w:tabs>
          <w:tab w:leader="none" w:pos="381"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combination thereof, in each case sufficient, in the opinion of a</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96" w:lineRule="exact"/>
        <w:rPr>
          <w:rFonts w:ascii="Courier New" w:cs="Courier New" w:eastAsia="Courier New" w:hAnsi="Courier New"/>
          <w:sz w:val="16"/>
          <w:szCs w:val="16"/>
          <w:color w:val="auto"/>
        </w:rPr>
      </w:pPr>
    </w:p>
    <w:p>
      <w:pPr>
        <w:ind w:left="1" w:right="2539" w:firstLine="479"/>
        <w:spacing w:after="0" w:line="244" w:lineRule="auto"/>
        <w:tabs>
          <w:tab w:leader="none" w:pos="866"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 election to have Section 1302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90" w:lineRule="exact"/>
        <w:rPr>
          <w:rFonts w:ascii="Courier New" w:cs="Courier New" w:eastAsia="Courier New" w:hAnsi="Courier New"/>
          <w:sz w:val="16"/>
          <w:szCs w:val="16"/>
          <w:color w:val="auto"/>
        </w:rPr>
      </w:pPr>
    </w:p>
    <w:p>
      <w:pPr>
        <w:ind w:left="1" w:right="2539" w:firstLine="479"/>
        <w:spacing w:after="0" w:line="244" w:lineRule="auto"/>
        <w:tabs>
          <w:tab w:leader="none" w:pos="866"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 election to have Section 1303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88" w:lineRule="exact"/>
        <w:rPr>
          <w:rFonts w:ascii="Courier New" w:cs="Courier New" w:eastAsia="Courier New" w:hAnsi="Courier New"/>
          <w:sz w:val="16"/>
          <w:szCs w:val="16"/>
          <w:color w:val="auto"/>
        </w:rPr>
      </w:pPr>
    </w:p>
    <w:p>
      <w:pPr>
        <w:ind w:left="1" w:right="2639" w:firstLine="479"/>
        <w:spacing w:after="0" w:line="243" w:lineRule="auto"/>
        <w:tabs>
          <w:tab w:leader="none" w:pos="866"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200" w:lineRule="exact"/>
        <w:rPr>
          <w:sz w:val="20"/>
          <w:szCs w:val="20"/>
          <w:color w:val="auto"/>
        </w:rPr>
      </w:pPr>
    </w:p>
    <w:p>
      <w:pPr>
        <w:spacing w:after="0" w:line="35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21"/>
          </w:cols>
          <w:pgMar w:left="239" w:top="669" w:right="1440" w:bottom="1440" w:gutter="0" w:footer="0" w:header="0"/>
        </w:sectPr>
      </w:pPr>
    </w:p>
    <w:bookmarkStart w:id="163" w:name="page164"/>
    <w:bookmarkEnd w:id="163"/>
    <w:p>
      <w:pPr>
        <w:ind w:right="2539" w:firstLine="479"/>
        <w:spacing w:after="0" w:line="263" w:lineRule="auto"/>
        <w:tabs>
          <w:tab w:leader="none" w:pos="865"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501(5) and (6), at any time on or prior to the 90th day after the date of such deposit (it being understood that this condition shall not be deemed satisfied until after such 90th day).</w:t>
      </w:r>
    </w:p>
    <w:p>
      <w:pPr>
        <w:spacing w:after="0" w:line="176" w:lineRule="exact"/>
        <w:rPr>
          <w:rFonts w:ascii="Courier New" w:cs="Courier New" w:eastAsia="Courier New" w:hAnsi="Courier New"/>
          <w:sz w:val="15"/>
          <w:szCs w:val="15"/>
          <w:color w:val="auto"/>
        </w:rPr>
      </w:pPr>
    </w:p>
    <w:p>
      <w:pPr>
        <w:ind w:right="2719" w:firstLine="479"/>
        <w:spacing w:after="0" w:line="243" w:lineRule="auto"/>
        <w:tabs>
          <w:tab w:leader="none" w:pos="865"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cause the Trustee to have a conflicting interest within the meaning of the Trust Indenture Act (assuming all Securities are in default within the meaning of such Act).</w:t>
      </w:r>
    </w:p>
    <w:p>
      <w:pPr>
        <w:spacing w:after="0" w:line="188" w:lineRule="exact"/>
        <w:rPr>
          <w:rFonts w:ascii="Courier New" w:cs="Courier New" w:eastAsia="Courier New" w:hAnsi="Courier New"/>
          <w:sz w:val="16"/>
          <w:szCs w:val="16"/>
          <w:color w:val="auto"/>
        </w:rPr>
      </w:pPr>
    </w:p>
    <w:p>
      <w:pPr>
        <w:ind w:right="2639" w:firstLine="479"/>
        <w:spacing w:after="0" w:line="243" w:lineRule="auto"/>
        <w:tabs>
          <w:tab w:leader="none" w:pos="865"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a breach or violation of, or constitute a default under, any other agreement or instrument to which the Company is a party or by which it is bound.</w:t>
      </w:r>
    </w:p>
    <w:p>
      <w:pPr>
        <w:spacing w:after="0" w:line="188" w:lineRule="exact"/>
        <w:rPr>
          <w:rFonts w:ascii="Courier New" w:cs="Courier New" w:eastAsia="Courier New" w:hAnsi="Courier New"/>
          <w:sz w:val="16"/>
          <w:szCs w:val="16"/>
          <w:color w:val="auto"/>
        </w:rPr>
      </w:pPr>
    </w:p>
    <w:p>
      <w:pPr>
        <w:ind w:right="2639" w:firstLine="479"/>
        <w:spacing w:after="0" w:line="243" w:lineRule="auto"/>
        <w:tabs>
          <w:tab w:leader="none" w:pos="865"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189" w:lineRule="exact"/>
        <w:rPr>
          <w:rFonts w:ascii="Courier New" w:cs="Courier New" w:eastAsia="Courier New" w:hAnsi="Courier New"/>
          <w:sz w:val="16"/>
          <w:szCs w:val="16"/>
          <w:color w:val="auto"/>
        </w:rPr>
      </w:pPr>
    </w:p>
    <w:p>
      <w:pPr>
        <w:ind w:right="3119" w:firstLine="479"/>
        <w:spacing w:after="0" w:line="243" w:lineRule="auto"/>
        <w:tabs>
          <w:tab w:leader="none" w:pos="865"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90" w:lineRule="exact"/>
        <w:rPr>
          <w:sz w:val="20"/>
          <w:szCs w:val="20"/>
          <w:color w:val="auto"/>
        </w:rPr>
      </w:pPr>
    </w:p>
    <w:p>
      <w:pPr>
        <w:ind w:left="1340" w:right="3019" w:hanging="1344"/>
        <w:spacing w:after="0" w:line="242" w:lineRule="auto"/>
        <w:rPr>
          <w:sz w:val="20"/>
          <w:szCs w:val="20"/>
          <w:color w:val="auto"/>
        </w:rPr>
      </w:pPr>
      <w:r>
        <w:rPr>
          <w:rFonts w:ascii="Courier New" w:cs="Courier New" w:eastAsia="Courier New" w:hAnsi="Courier New"/>
          <w:sz w:val="16"/>
          <w:szCs w:val="16"/>
          <w:color w:val="auto"/>
        </w:rPr>
        <w:t>SECTION 1305. Deposited Money and U.S. Government Obligations to Be Held in Trust; Miscellaneous Provisions.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Subject to the provisions of the last paragraph of Section 1003, all money and U.S. Government Obligations (including the proceeds thereof) deposited with the Trustee or other qualifying trustee (solely for purposes of this Section and Section 1306, the Trustee and any such other trustee are referred to collectively as the "Trustee") pursuant to Section 1304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Securities.</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Anything in this Article to the contrary notwithstanding, the Trustee shall deliver or pay to the Company from time to time upon Company Request any money or U.S. Government Obligations held by it as provided in Section 1304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1306. Reinstatement.</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If the Trustee or the Paying Agent is unable to apply any money in accordance with this Article with respect to any Securities by reason of any order or judgment of any court or governmental authority enjoining, restraining or</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71" w:right="1440" w:bottom="1440" w:gutter="0" w:footer="0" w:header="0"/>
        </w:sectPr>
      </w:pPr>
    </w:p>
    <w:bookmarkStart w:id="164" w:name="page165"/>
    <w:bookmarkEnd w:id="164"/>
    <w:p>
      <w:pPr>
        <w:ind w:right="2539"/>
        <w:spacing w:after="0" w:line="244" w:lineRule="auto"/>
        <w:rPr>
          <w:sz w:val="20"/>
          <w:szCs w:val="20"/>
          <w:color w:val="auto"/>
        </w:rPr>
      </w:pPr>
      <w:r>
        <w:rPr>
          <w:rFonts w:ascii="Courier New" w:cs="Courier New" w:eastAsia="Courier New" w:hAnsi="Courier New"/>
          <w:sz w:val="16"/>
          <w:szCs w:val="16"/>
          <w:color w:val="auto"/>
        </w:rPr>
        <w:t>otherwise prohibiting such application, then the obligations under this Indenture and such Securities from which the Company has been discharged or released pursuant to Section 1302 or 1303 shall be revived and reinstated as though no deposit had occurred pursuant to this Article with respect to such Securities, until such time as the Trustee or Paying Agent is permitted to apply all money held in trust pursuant to Section 1305 with respect to such Securities in accordance with this Article; provided, however,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FOURTEEN</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CONVERSION OF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1401. Applicability of Article.</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The provisions of this Article shall be applicable to the Securities of any series which are convertible into shares of Common Stock of the Company, and the issuance of such shares of Common Stock upon the conversion of such Securities, except as otherwise specified as contemplated by Section 301 for the Securities of such series.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1402. Exercise of Conversion Privilege.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order to exercise a conversion privilege, the Holder of a Security of a series with such a privilege shall surrender such Security to the Company at the office or agency maintained for that purpose pursuant to Section 1002, accompanied by a duly executed conversion notice to the Company substantially in the form set forth in Section 206 stating that the Holder elects to convert such Security or a specified portion thereof. Such notice shall also state, if different from the name and address of such Holder, the name or names (with address) in which the certificate or certificates for shares of Common Stock which shall be issuable on such conversion shall be issued. Securities surrendered for conversion shall (if so required by the Company or the Trustee) be duly endorsed by or accompanied by instruments of transfer in forms satisfactory to the Company and the Trustee duly executed by the registered Holder or its attorney duly authorized in writing; and Securities so surrendered for conversion (in whole or in part) during the period from the close of business on any Regular Record Date to the opening of business on the next succeeding Interest Payment Date (excluding Securities or portions thereof called for redemption during the period beginning at the close of business on a Regular Record Date and ending at the opening of business on the first Business Day after the next succeeding Interest Payment Date, or if such Interest Payment Date is not a Business Day, the second such Business Day) shall also be accompanied by payment in funds acceptable to the Company of an amount equal to the interest payable on such Interest Payment Date on the principal amount of such Security then being converted, and such interest shall be payable to such registered Holder notwithstanding the conversion of such Security, subject to the provisions of Section 307 relating to the payment of Defaulted Interest by the Company. As promptly as practicable after the receipt of such notice and of any payment required pursuant to a Board Resolution and, subject to Section 303, set forth, or determined in the manner provided, in an Officers' Certificate, or established in one or more indentures supplemental hereto setting forth the terms of such series of Security, and the surrender of such Security in accordance with such reasonable regulations as the Company may prescribe, the Company shall issue and shall deliver, at the office or agency at which such Security is surrendered, to such Holder or on its written order, a certificate or certificates for the number of full shares of Common Stock issuable upon the conversion of such Security (or specified portion thereof), in accordance with the provisions of such Board Resolution, Officers' Certificate or supplemental indenture, and cash as provided therein in respect of any fractional share of such Common Stock otherwise issuable upon such conversion. Such conversion shall be deemed to have been effected immediately prior to the close of business on the date on which such notice and such payment, if required, shall have been received in proper order for conversion by the Company and such Security shall have been surrendered as aforesaid (unless such Holder shall have so surrendered such Security and shall have instructed the Company to effect the conversion on a particular date</w:t>
      </w:r>
    </w:p>
    <w:p>
      <w:pPr>
        <w:spacing w:after="0" w:line="2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71" w:right="1440" w:bottom="1440" w:gutter="0" w:footer="0" w:header="0"/>
        </w:sectPr>
      </w:pPr>
    </w:p>
    <w:bookmarkStart w:id="165" w:name="page166"/>
    <w:bookmarkEnd w:id="165"/>
    <w:p>
      <w:pPr>
        <w:ind w:right="2539"/>
        <w:spacing w:after="0" w:line="244" w:lineRule="auto"/>
        <w:rPr>
          <w:sz w:val="20"/>
          <w:szCs w:val="20"/>
          <w:color w:val="auto"/>
        </w:rPr>
      </w:pPr>
      <w:r>
        <w:rPr>
          <w:rFonts w:ascii="Courier New" w:cs="Courier New" w:eastAsia="Courier New" w:hAnsi="Courier New"/>
          <w:sz w:val="16"/>
          <w:szCs w:val="16"/>
          <w:color w:val="auto"/>
        </w:rPr>
        <w:t>following such surrender and such Holder shall be entitled to convert such Security on such date, in which case such conversion shall be deemed to be effected immediately prior to the close of business on such date) and at such time the rights of the Holder of such Security as such Security Holder shall cease and the person or persons in whose name or names any certificate or certificates for shares of Common Stock of the Company shall be issuable upon such conversion shall be deemed to have become the Holder or Holders of record of the shares represented thereby. Except as set forth above and subject to the final paragraph of Section 307, no payment or adjustment shall be made upon any conversion on account of any interest accrued on the Securities (or any part thereof) surrendered for conversion or on account of any dividends on the Common Stock of the Company issued upon such conversion.</w:t>
      </w:r>
    </w:p>
    <w:p>
      <w:pPr>
        <w:spacing w:after="0" w:line="191" w:lineRule="exact"/>
        <w:rPr>
          <w:sz w:val="20"/>
          <w:szCs w:val="20"/>
          <w:color w:val="auto"/>
        </w:rPr>
      </w:pPr>
    </w:p>
    <w:p>
      <w:pPr>
        <w:ind w:right="2539" w:firstLine="480"/>
        <w:spacing w:after="0" w:line="264" w:lineRule="auto"/>
        <w:rPr>
          <w:sz w:val="20"/>
          <w:szCs w:val="20"/>
          <w:color w:val="auto"/>
        </w:rPr>
      </w:pPr>
      <w:r>
        <w:rPr>
          <w:rFonts w:ascii="Courier New" w:cs="Courier New" w:eastAsia="Courier New" w:hAnsi="Courier New"/>
          <w:sz w:val="15"/>
          <w:szCs w:val="15"/>
          <w:color w:val="auto"/>
        </w:rPr>
        <w:t>In the case of any Security which is converted in part only, upon such conversion the Company shall execute and the Trustee shall authenticate and deliver to or on the order of the Holder thereof, at the expense of the Company, a new Security or Securities of the same series, of authorized denominations, in aggregate principal amount equal to the unconverted portion of such Security.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1403. No Fractional Shares.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 fractional share of Common Stock of the Company shall be issued upon conversions of Securities of any series. If more than one Security shall be surrendered for conversion at one time by the same Holder, the number of full shares which shall be issuable upon conversion shall be computed on the basis of the aggregate principal amount of the Securities (or specified portions thereof to the extent permitted hereby) so surrendered. If, except for the provisions of this Section 1403, any Holder of a Security or Securities would be entitled to a fractional share of Common Stock of the Company upon the conversion of such Security or Securities, or specified portions thereof, the Company shall pay to such Holder an amount in cash equal to the current market value of such fractional share computed, (i) if such Common Stock is listed or admitted to unlisted trading privileges on a national securities exchange or market, on the basis of the last reported sale price regular way on such exchange or market on the last trading day prior to the date of conversion upon which such a sale shall have been effected, or (ii) if such Common Stock is not at the time so listed or admitted to unlisted trading privileges on a national securities exchange or market, on the basis of the average of the bid and asked prices of such Common Stock in the over-the-counter market, on the last trading day prior to the date of conversion, as reported by the National Quotation Bureau, Incorporated or similar organization if the National Quotation Bureau, Incorporated is no longer reporting such information, or if not so available, the fair market price as determined by the Board of Directors. For purposes of this Section, "trading day" shall mean each Monday, Tuesday, Wednesday, Thursday and Friday other than any day on which the Common Stock is not traded on the Nasdaq National Market, or if the Common Stock is not traded on the Nasdaq National Market, on the principal exchange or market on which the Common Stock is traded or quoted.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1404. Adjustment of Conversion Price.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conversion price of Securities of any series that is convertible into Common Stock of the Company shall be adjusted for any stock dividends, stock splits, reclassifications, combinations or similar transactions in accordance with the terms of the supplemental indenture or Board Resolutions setting forth the terms of the Securities of such series.</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Whenever the conversion price is adjusted, the Company shall compute the adjusted conversion price in accordance with terms of the applicable Board Resolution or supplemental indenture and shall prepare an Officers' Certificate setting forth the adjusted conversion price and showing in reasonable detail the facts upon which such adjustment is based, and such certificate shall forthwith be filed at each office or agency maintained for the purpose of conversion of Securities pursuant to Section 1002 and, if different, with the Trustee. The Company shall forthwith cause a notice setting forth the adjusted conversion price to be mailed, first class postage prepaid, to each Holder of</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71" w:right="1440" w:bottom="1440" w:gutter="0" w:footer="0" w:header="0"/>
        </w:sectPr>
      </w:pPr>
    </w:p>
    <w:bookmarkStart w:id="166" w:name="page167"/>
    <w:bookmarkEnd w:id="166"/>
    <w:p>
      <w:pPr>
        <w:ind w:right="2639"/>
        <w:spacing w:after="0" w:line="242" w:lineRule="auto"/>
        <w:rPr>
          <w:sz w:val="20"/>
          <w:szCs w:val="20"/>
          <w:color w:val="auto"/>
        </w:rPr>
      </w:pPr>
      <w:r>
        <w:rPr>
          <w:rFonts w:ascii="Courier New" w:cs="Courier New" w:eastAsia="Courier New" w:hAnsi="Courier New"/>
          <w:sz w:val="16"/>
          <w:szCs w:val="16"/>
          <w:color w:val="auto"/>
        </w:rPr>
        <w:t>Securities of such series at its address appearing on the Security Register and to any conversion agent other than the Trustee.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1405. Notice of Certain Corporate Actions.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case:</w:t>
      </w:r>
    </w:p>
    <w:p>
      <w:pPr>
        <w:spacing w:after="0" w:line="190" w:lineRule="exact"/>
        <w:rPr>
          <w:sz w:val="20"/>
          <w:szCs w:val="20"/>
          <w:color w:val="auto"/>
        </w:rPr>
      </w:pPr>
    </w:p>
    <w:p>
      <w:pPr>
        <w:ind w:right="2539" w:firstLine="479"/>
        <w:spacing w:after="0" w:line="243" w:lineRule="auto"/>
        <w:tabs>
          <w:tab w:leader="none" w:pos="865"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declare a dividend (or any other distribution) on its Common Stock payable otherwise than in cash out of its retained earnings (other than a dividend for which approval of any shareholders of the Company is required) that would require an adjustment pursuant to Section 1404; or</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authorize the granting to all or substantially all of the holders of its Common Stock of rights, options or warrants to subscribe for or purchase any shares of capital stock of any class or of any other rights (other than any such grant for which approval of any shareholders of the Company is required); or</w:t>
      </w:r>
    </w:p>
    <w:p>
      <w:pPr>
        <w:spacing w:after="0" w:line="187"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reclassification of the Common Stock of the Company (other than a subdivision or combination of its outstanding shares of Common Stock, or of any consolidation, merger or share exchange to which the Company is a party and for which approval of any shareholders of the Company is required), or of the sale of all or substantially all of the assets of the Company; or</w:t>
      </w:r>
    </w:p>
    <w:p>
      <w:pPr>
        <w:spacing w:after="0" w:line="187" w:lineRule="exact"/>
        <w:rPr>
          <w:rFonts w:ascii="Courier New" w:cs="Courier New" w:eastAsia="Courier New" w:hAnsi="Courier New"/>
          <w:sz w:val="16"/>
          <w:szCs w:val="16"/>
          <w:color w:val="auto"/>
        </w:rPr>
      </w:pPr>
    </w:p>
    <w:p>
      <w:pPr>
        <w:ind w:right="2539" w:firstLine="479"/>
        <w:spacing w:after="0" w:line="242" w:lineRule="auto"/>
        <w:tabs>
          <w:tab w:leader="none" w:pos="865"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voluntary or involuntary dissolution, liquidation or winding up of the Company;</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then the Company shall cause to be filed with the Trustee, and shall cause to be mailed to all Holders at their last addresses as they shall appear in the Security Register, at least 20 days (or 10 days in any case specified in Clause (1) or (2) above) prior to the applicable record date hereinafter specified, a notice stating (i) 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(ii) the date on which such reclassification, consolidation, merger, share exchange, sale,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share exchange, sale, dissolution, liquidation or winding up. If at any time the Trustee shall not be the conversion agent, a copy of such notice shall also forthwith be filed by the Company with the Trustee.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1406. Reservation of Shares of Common Stock.</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shall at all times reserve and keep available, free from preemptive rights, out of its authorized but unissued Common Stock, for the purpose of effecting the conversion of Securities, the full number of shares of Common Stock of the Company then issuable upon the conversion of all outstanding Securities of any series that has conversion rights.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1407. Payment of Certain Taxes Upon Conversion.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Except as provided in the next sentence, the Company will pay any and all taxes that may be payable in respect of the issue or delivery of shares of its Common Stock on conversion of Securities pursuant hereto. The Company shall not, however, be required to pay any tax which may be payable in respect of any transfer involved in the issue and delivery of shares of its Common Stock in a name other than that of the Holder of the Security or Securities to be converted, and no such issue or delivery shall be made unless and until the person requesting such</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71" w:right="1440" w:bottom="1440" w:gutter="0" w:footer="0" w:header="0"/>
        </w:sectPr>
      </w:pPr>
    </w:p>
    <w:bookmarkStart w:id="167" w:name="page168"/>
    <w:bookmarkEnd w:id="167"/>
    <w:p>
      <w:pPr>
        <w:ind w:right="2539"/>
        <w:spacing w:after="0" w:line="242" w:lineRule="auto"/>
        <w:rPr>
          <w:sz w:val="20"/>
          <w:szCs w:val="20"/>
          <w:color w:val="auto"/>
        </w:rPr>
      </w:pPr>
      <w:r>
        <w:rPr>
          <w:rFonts w:ascii="Courier New" w:cs="Courier New" w:eastAsia="Courier New" w:hAnsi="Courier New"/>
          <w:sz w:val="16"/>
          <w:szCs w:val="16"/>
          <w:color w:val="auto"/>
        </w:rPr>
        <w:t>issue has paid to the Company the amount of any such tax, or has established, to the satisfaction of the Company, that such tax has been paid.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1408. Nonassessability.</w:t>
      </w:r>
    </w:p>
    <w:p>
      <w:pPr>
        <w:spacing w:after="0" w:line="190" w:lineRule="exact"/>
        <w:rPr>
          <w:sz w:val="20"/>
          <w:szCs w:val="20"/>
          <w:color w:val="auto"/>
        </w:rPr>
      </w:pPr>
    </w:p>
    <w:p>
      <w:pPr>
        <w:jc w:val="both"/>
        <w:ind w:right="3019" w:firstLine="480"/>
        <w:spacing w:after="0" w:line="267" w:lineRule="auto"/>
        <w:rPr>
          <w:sz w:val="20"/>
          <w:szCs w:val="20"/>
          <w:color w:val="auto"/>
        </w:rPr>
      </w:pPr>
      <w:r>
        <w:rPr>
          <w:rFonts w:ascii="Courier New" w:cs="Courier New" w:eastAsia="Courier New" w:hAnsi="Courier New"/>
          <w:sz w:val="15"/>
          <w:szCs w:val="15"/>
          <w:color w:val="auto"/>
        </w:rPr>
        <w:t>The Company covenants that all shares of its Common Stock which may be issued upon conversion of Securities will upon issue in accordance with the terms hereof be duly and validly issued and fully paid and nonassessable.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1409. Provision in Case of Consolidation, Merger or Sale of Assets.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case of any consolidation or merger of the Company with or into any other Person, any merger of another Person with or into the Company (other than a merger which does not result in any reclassification, conversion, exchange or cancellation of outstanding shares of Common Stock of the Company) or any conveyance, sale, transfer or lease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of a series then Outstanding that is convertible into Common Stock of the Company shall have the right thereafter (which right shall be the exclusive conversion right thereafter available to said Holder), during the period such Security shall be convertible, to convert such Security only into the kind and amount of securities, cash and other property receivable upon such consolidation, merger, conveyance, sale, transfer or lease by a holder of the number of shares of Common Stock of the Company into which such Security might have been converted immediately prior to such consolidation, merger, conveyance, sale, transfer or lease, assuming such holder of Common Stock of the Company (i) is not a Person with which the Company consolidated or merged with or into or which merged into or with the Company or to which such conveyance, sale, transfer or lease was made, as the case may be (a "Constituent Person"), or an Affiliate of a Constituent Person and (ii) failed to exercise his rights of election, if any, as to the kind or amount of securities, cash and other property receivable upon such consolidation, merger, conveyance, sale, transfer or lease (provided that if the kind or amount of securities, cash and other property receivable upon such consolidation, merger, conveyance, sale, transfer, or lease is not the same for each share of Common Stock of the Company held immediately prior to such consolidation, merger, conveyance, sale, transfer or lease by others than a Constituent Person or an Affiliate thereof and in respect of which such rights of election shall not have been exercised ("Non-electing Share"), then for the purpose of this Section 1409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or in accordance with the terms of the supplemental indenture or Board Resolutions setting forth the terms of such adjustments. The above provisions of this Section 1409 shall similarly apply to successive consolidations, mergers, conveyances, sales, transfers or leases. Notice of the execution of such a supplemental indenture shall be given by the Company to the Holder of each Security of a series that is convertible into Common Stock of the Company as provided in Section 106 promptly upon such execution.</w:t>
      </w:r>
    </w:p>
    <w:p>
      <w:pPr>
        <w:spacing w:after="0" w:line="20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Neither the Trustee nor any conversion agent, if any, shall be under any responsibility to determine the correctness of any provisions contained in any such supplemental indenture relating either to the kind or amount of shares of stock or other securities or property or cash receivable by Holders of Securities of a series convertible into Common Stock of the Company upon the conversion of their Securities after any such consolidation, merger, conveyance, transfer, sale or lease or to any such adjustment, but may accept as conclusive evidence of the correctness</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72" w:right="1440" w:bottom="1440" w:gutter="0" w:footer="0" w:header="0"/>
        </w:sectPr>
      </w:pPr>
    </w:p>
    <w:bookmarkStart w:id="168" w:name="page169"/>
    <w:bookmarkEnd w:id="168"/>
    <w:p>
      <w:pPr>
        <w:jc w:val="both"/>
        <w:ind w:right="2719"/>
        <w:spacing w:after="0" w:line="243" w:lineRule="auto"/>
        <w:rPr>
          <w:sz w:val="20"/>
          <w:szCs w:val="20"/>
          <w:color w:val="auto"/>
        </w:rPr>
      </w:pPr>
      <w:r>
        <w:rPr>
          <w:rFonts w:ascii="Courier New" w:cs="Courier New" w:eastAsia="Courier New" w:hAnsi="Courier New"/>
          <w:sz w:val="16"/>
          <w:szCs w:val="16"/>
          <w:color w:val="auto"/>
        </w:rPr>
        <w:t>of any such provisions, and shall be protected in relying upon, an Opinion of Counsel with respect thereto, which the Company shall cause to be furnished to the Trustee upon request.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1410. Duties of Trustee Regarding Conversion.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Neither the Trustee nor any conversion agent shall at any time be under any duty or responsibility to any Holder of Securities of any series that is convertible into Common Stock of the Company to determine whether any facts exist which may require any adjustment of the conversion price, or with respect to the nature or extent of any such adjustment when made, or with respect to the method employed, whether herein or in any supplemental indenture, any resolutions of the Board of Directors or written instrument executed by one or more officers of the Company provided to be employed in making the same. Neither the Trustee nor any conversion agent shall be accountable with respect to the validity or value (or the kind or amount) of any shares of Common Stock of the Company, or of any securities or property, which may at any time be issued or delivered upon the conversion of any Securities and neither the Trustee nor any conversion agent makes any representation with respect thereto. Subject to the provisions of Section 601, neither the Trustee nor any conversion agent shall be responsible for any failure of the Company to issue, transfer or deliver any shares of its Common Stock or stock certificates or other securities or property upon the surrender of any Security for the purpose of conversion or to comply with any of the covenants of the Company contained in this Article Fourteen or in the applicable supplemental indenture, resolutions of the Board of Directors or written instrument executed by one or more duly authorized officers of the Company.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1411. Repayment of Certain Funds Upon Conversion.</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Any funds which at any time shall have been deposited by the Company or on its behalf with the Trustee or any other paying agent for the purpose of paying the principal of, and premium, if any, and interest, if any, on any of the Securities (including, but not limited to, funds deposited for the sinking fund referred to in Article Twelve and funds deposited pursuant to Article Thirteen hereof) and which shall not be required for such purposes because of the conversion of such Securities as provided in this Article Fourteen shall after such conversion be repaid to the Company by the Trustee upon the Company's written request.</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This instrument may be executed in any number of counterparts, each of which so executed shall be deemed to be an original, but all such counterparts shall together constitute but one and the same instrument.</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71" w:right="1440" w:bottom="1440" w:gutter="0" w:footer="0" w:header="0"/>
        </w:sectPr>
      </w:pPr>
    </w:p>
    <w:bookmarkStart w:id="169" w:name="page170"/>
    <w:bookmarkEnd w:id="169"/>
    <w:p>
      <w:pPr>
        <w:ind w:right="2919" w:firstLine="480"/>
        <w:spacing w:after="0" w:line="242" w:lineRule="auto"/>
        <w:rPr>
          <w:sz w:val="20"/>
          <w:szCs w:val="20"/>
          <w:color w:val="auto"/>
        </w:rPr>
      </w:pPr>
      <w:r>
        <w:rPr>
          <w:rFonts w:ascii="Courier New" w:cs="Courier New" w:eastAsia="Courier New" w:hAnsi="Courier New"/>
          <w:sz w:val="16"/>
          <w:szCs w:val="16"/>
          <w:color w:val="auto"/>
        </w:rPr>
        <w:t>IN WITNESS WHEREOF, the parties hereto have caused this Indenture to be duly executed all as of the day and year first above written.</w:t>
      </w:r>
    </w:p>
    <w:p>
      <w:pPr>
        <w:spacing w:after="0" w:line="187"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MICRON TECHNOLOGY, INC.</w:t>
      </w:r>
    </w:p>
    <w:p>
      <w:pPr>
        <w:spacing w:after="0" w:line="373"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By:_____________________________________________________</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Title:_____________________________________________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NORWEST BANK MINNESOTA, NATIONAL ASSOCIATION, as Trustee</w:t>
      </w:r>
    </w:p>
    <w:p>
      <w:pPr>
        <w:spacing w:after="0" w:line="200" w:lineRule="exact"/>
        <w:rPr>
          <w:sz w:val="20"/>
          <w:szCs w:val="20"/>
          <w:color w:val="auto"/>
        </w:rPr>
      </w:pPr>
    </w:p>
    <w:p>
      <w:pPr>
        <w:spacing w:after="0" w:line="35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By:_____________________________________________________</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71" w:right="1440" w:bottom="1440" w:gutter="0" w:footer="0" w:header="0"/>
        </w:sectPr>
      </w:pPr>
    </w:p>
    <w:bookmarkStart w:id="170" w:name="page171"/>
    <w:bookmarkEnd w:id="170"/>
    <w:p>
      <w:pPr>
        <w:ind w:left="6620"/>
        <w:spacing w:after="0"/>
        <w:rPr>
          <w:sz w:val="20"/>
          <w:szCs w:val="20"/>
          <w:color w:val="auto"/>
        </w:rPr>
      </w:pPr>
      <w:r>
        <w:rPr>
          <w:rFonts w:ascii="Courier New" w:cs="Courier New" w:eastAsia="Courier New" w:hAnsi="Courier New"/>
          <w:sz w:val="16"/>
          <w:szCs w:val="16"/>
          <w:color w:val="auto"/>
        </w:rPr>
        <w:t>EXHIBIT 4.2</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Micron Technology, Inc.</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TO</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Norwest Bank Minnesota, National Association,</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as Trustee</w:t>
      </w:r>
    </w:p>
    <w:p>
      <w:pPr>
        <w:spacing w:after="0" w:line="37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Indenture</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Dated as of _________________, 1997</w:t>
      </w:r>
    </w:p>
    <w:p>
      <w:pPr>
        <w:spacing w:after="0" w:line="37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Subordinated Debt Securities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0" w:right="1440" w:bottom="1440" w:gutter="0" w:footer="0" w:header="0"/>
        </w:sectPr>
      </w:pPr>
    </w:p>
    <w:bookmarkStart w:id="171" w:name="page172"/>
    <w:bookmarkEnd w:id="171"/>
    <w:p>
      <w:pPr>
        <w:ind w:left="490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tabs>
          <w:tab w:leader="dot" w:pos="11320" w:val="left"/>
        </w:tabs>
        <w:rPr>
          <w:sz w:val="20"/>
          <w:szCs w:val="20"/>
          <w:color w:val="auto"/>
        </w:rPr>
      </w:pPr>
      <w:r>
        <w:rPr>
          <w:rFonts w:ascii="Courier New" w:cs="Courier New" w:eastAsia="Courier New" w:hAnsi="Courier New"/>
          <w:sz w:val="16"/>
          <w:szCs w:val="16"/>
          <w:color w:val="auto"/>
        </w:rPr>
        <w:t>ARTICLE ONE - DEFINITIONS AND OTHER PROVISIONS OF GENERAL APPLICATION</w:t>
      </w:r>
      <w:r>
        <w:rPr>
          <w:sz w:val="20"/>
          <w:szCs w:val="20"/>
          <w:color w:val="auto"/>
        </w:rPr>
        <w:tab/>
      </w:r>
      <w:r>
        <w:rPr>
          <w:rFonts w:ascii="Courier New" w:cs="Courier New" w:eastAsia="Courier New" w:hAnsi="Courier New"/>
          <w:sz w:val="16"/>
          <w:szCs w:val="16"/>
          <w:color w:val="auto"/>
        </w:rPr>
        <w:t>1</w:t>
      </w:r>
    </w:p>
    <w:p>
      <w:pPr>
        <w:spacing w:after="0" w:line="188" w:lineRule="exact"/>
        <w:rPr>
          <w:sz w:val="20"/>
          <w:szCs w:val="20"/>
          <w:color w:val="auto"/>
        </w:rPr>
      </w:pPr>
    </w:p>
    <w:p>
      <w:pPr>
        <w:ind w:left="860"/>
        <w:spacing w:after="0"/>
        <w:tabs>
          <w:tab w:leader="none" w:pos="2960" w:val="left"/>
          <w:tab w:leader="dot" w:pos="1132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6"/>
          <w:szCs w:val="16"/>
          <w:color w:val="auto"/>
        </w:rPr>
        <w:t>1</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Act</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Affiliate</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Authenticating Agent</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Board of Directors</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Board Resolution</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Business Day</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Commission</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Company</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Company Request</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Company Order</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Corporate Trust Office</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corporation</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Covenant Defeasance</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Defaulted Interest</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Defeasance</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Depositary</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Designated Senior Debt</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Event of Default</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Exchange Act</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Expiration Date</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Global Security</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Holder</w:t>
      </w:r>
      <w:r>
        <w:rPr>
          <w:sz w:val="20"/>
          <w:szCs w:val="20"/>
          <w:color w:val="auto"/>
        </w:rPr>
        <w:tab/>
      </w:r>
      <w:r>
        <w:rPr>
          <w:rFonts w:ascii="Courier New" w:cs="Courier New" w:eastAsia="Courier New" w:hAnsi="Courier New"/>
          <w:sz w:val="16"/>
          <w:szCs w:val="16"/>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Indenture</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interest</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Interest Payment Date</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Investment Company Act</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Maturity</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Notice of Default</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Officers' Certificate</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Opinion of Counsel</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Original Issue Discount Security</w:t>
      </w:r>
      <w:r>
        <w:rPr>
          <w:sz w:val="20"/>
          <w:szCs w:val="20"/>
          <w:color w:val="auto"/>
        </w:rPr>
        <w:tab/>
      </w:r>
      <w:r>
        <w:rPr>
          <w:rFonts w:ascii="Courier New" w:cs="Courier New" w:eastAsia="Courier New" w:hAnsi="Courier New"/>
          <w:sz w:val="16"/>
          <w:szCs w:val="16"/>
          <w:color w:val="auto"/>
        </w:rPr>
        <w:t>5</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Outstanding</w:t>
      </w:r>
      <w:r>
        <w:rPr>
          <w:sz w:val="20"/>
          <w:szCs w:val="20"/>
          <w:color w:val="auto"/>
        </w:rPr>
        <w:tab/>
      </w:r>
      <w:r>
        <w:rPr>
          <w:rFonts w:ascii="Courier New" w:cs="Courier New" w:eastAsia="Courier New" w:hAnsi="Courier New"/>
          <w:sz w:val="16"/>
          <w:szCs w:val="16"/>
          <w:color w:val="auto"/>
        </w:rPr>
        <w:t>5</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Paying Agent</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Payment Blockage Notice</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Person</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Place of Payment</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Predecessor Security</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Redemption Date</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Redemption Price</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Regular Record Date</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Representative</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Revolving Credit Agreement</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Securities</w:t>
      </w:r>
      <w:r>
        <w:rPr>
          <w:sz w:val="20"/>
          <w:szCs w:val="20"/>
          <w:color w:val="auto"/>
        </w:rPr>
        <w:tab/>
      </w:r>
      <w:r>
        <w:rPr>
          <w:rFonts w:ascii="Courier New" w:cs="Courier New" w:eastAsia="Courier New" w:hAnsi="Courier New"/>
          <w:sz w:val="16"/>
          <w:szCs w:val="16"/>
          <w:color w:val="auto"/>
        </w:rPr>
        <w:t>6</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Securities Act</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Security Register</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Security Registrar</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Senior Debt</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Special Record Date</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Stated Maturity</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Subsidiary</w:t>
      </w:r>
      <w:r>
        <w:rPr>
          <w:sz w:val="20"/>
          <w:szCs w:val="20"/>
          <w:color w:val="auto"/>
        </w:rPr>
        <w:tab/>
      </w:r>
      <w:r>
        <w:rPr>
          <w:rFonts w:ascii="Courier New" w:cs="Courier New" w:eastAsia="Courier New" w:hAnsi="Courier New"/>
          <w:sz w:val="16"/>
          <w:szCs w:val="16"/>
          <w:color w:val="auto"/>
        </w:rPr>
        <w:t>7</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Trust Indenture Act</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Trustee</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U.S. Government Obligation</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Vice President</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ind w:left="860"/>
        <w:spacing w:after="0"/>
        <w:tabs>
          <w:tab w:leader="none" w:pos="2960" w:val="left"/>
          <w:tab w:leader="dot" w:pos="1132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6"/>
          <w:szCs w:val="16"/>
          <w:color w:val="auto"/>
        </w:rPr>
        <w:t>Compliance Certificates and Opinions</w:t>
      </w:r>
      <w:r>
        <w:rPr>
          <w:sz w:val="20"/>
          <w:szCs w:val="20"/>
          <w:color w:val="auto"/>
        </w:rPr>
        <w:tab/>
      </w:r>
      <w:r>
        <w:rPr>
          <w:rFonts w:ascii="Courier New" w:cs="Courier New" w:eastAsia="Courier New" w:hAnsi="Courier New"/>
          <w:sz w:val="16"/>
          <w:szCs w:val="16"/>
          <w:color w:val="auto"/>
        </w:rPr>
        <w:t>8</w:t>
      </w:r>
    </w:p>
    <w:p>
      <w:pPr>
        <w:spacing w:after="0" w:line="4" w:lineRule="exact"/>
        <w:rPr>
          <w:sz w:val="20"/>
          <w:szCs w:val="20"/>
          <w:color w:val="auto"/>
        </w:rPr>
      </w:pPr>
    </w:p>
    <w:p>
      <w:pPr>
        <w:ind w:left="860"/>
        <w:spacing w:after="0"/>
        <w:tabs>
          <w:tab w:leader="none" w:pos="2960" w:val="left"/>
          <w:tab w:leader="dot" w:pos="11320" w:val="left"/>
        </w:tabs>
        <w:rPr>
          <w:sz w:val="20"/>
          <w:szCs w:val="20"/>
          <w:color w:val="auto"/>
        </w:rPr>
      </w:pPr>
      <w:r>
        <w:rPr>
          <w:rFonts w:ascii="Courier New" w:cs="Courier New" w:eastAsia="Courier New" w:hAnsi="Courier New"/>
          <w:sz w:val="16"/>
          <w:szCs w:val="16"/>
          <w:color w:val="auto"/>
        </w:rPr>
        <w:t>SECTION 103.</w:t>
      </w:r>
      <w:r>
        <w:rPr>
          <w:sz w:val="20"/>
          <w:szCs w:val="20"/>
          <w:color w:val="auto"/>
        </w:rPr>
        <w:tab/>
      </w:r>
      <w:r>
        <w:rPr>
          <w:rFonts w:ascii="Courier New" w:cs="Courier New" w:eastAsia="Courier New" w:hAnsi="Courier New"/>
          <w:sz w:val="16"/>
          <w:szCs w:val="16"/>
          <w:color w:val="auto"/>
        </w:rPr>
        <w:t>Form of Documents Delivered to Trustee</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ind w:left="860"/>
        <w:spacing w:after="0"/>
        <w:tabs>
          <w:tab w:leader="none" w:pos="2960" w:val="left"/>
          <w:tab w:leader="dot" w:pos="11320" w:val="left"/>
        </w:tabs>
        <w:rPr>
          <w:sz w:val="20"/>
          <w:szCs w:val="20"/>
          <w:color w:val="auto"/>
        </w:rPr>
      </w:pPr>
      <w:r>
        <w:rPr>
          <w:rFonts w:ascii="Courier New" w:cs="Courier New" w:eastAsia="Courier New" w:hAnsi="Courier New"/>
          <w:sz w:val="16"/>
          <w:szCs w:val="16"/>
          <w:color w:val="auto"/>
        </w:rPr>
        <w:t>SECTION 104.</w:t>
      </w:r>
      <w:r>
        <w:rPr>
          <w:sz w:val="20"/>
          <w:szCs w:val="20"/>
          <w:color w:val="auto"/>
        </w:rPr>
        <w:tab/>
      </w:r>
      <w:r>
        <w:rPr>
          <w:rFonts w:ascii="Courier New" w:cs="Courier New" w:eastAsia="Courier New" w:hAnsi="Courier New"/>
          <w:sz w:val="16"/>
          <w:szCs w:val="16"/>
          <w:color w:val="auto"/>
        </w:rPr>
        <w:t>Acts of Holders; Record Dates</w:t>
      </w:r>
      <w:r>
        <w:rPr>
          <w:sz w:val="20"/>
          <w:szCs w:val="20"/>
          <w:color w:val="auto"/>
        </w:rPr>
        <w:tab/>
      </w:r>
      <w:r>
        <w:rPr>
          <w:rFonts w:ascii="Courier New" w:cs="Courier New" w:eastAsia="Courier New" w:hAnsi="Courier New"/>
          <w:sz w:val="16"/>
          <w:szCs w:val="16"/>
          <w:color w:val="auto"/>
        </w:rPr>
        <w:t>9</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105.</w:t>
      </w:r>
      <w:r>
        <w:rPr>
          <w:sz w:val="20"/>
          <w:szCs w:val="20"/>
          <w:color w:val="auto"/>
        </w:rPr>
        <w:tab/>
      </w:r>
      <w:r>
        <w:rPr>
          <w:rFonts w:ascii="Courier New" w:cs="Courier New" w:eastAsia="Courier New" w:hAnsi="Courier New"/>
          <w:sz w:val="16"/>
          <w:szCs w:val="16"/>
          <w:color w:val="auto"/>
        </w:rPr>
        <w:t>Notices, Etc., to Trustee and Company</w:t>
      </w:r>
      <w:r>
        <w:rPr>
          <w:sz w:val="20"/>
          <w:szCs w:val="20"/>
          <w:color w:val="auto"/>
        </w:rPr>
        <w:tab/>
      </w:r>
      <w:r>
        <w:rPr>
          <w:rFonts w:ascii="Courier New" w:cs="Courier New" w:eastAsia="Courier New" w:hAnsi="Courier New"/>
          <w:sz w:val="16"/>
          <w:szCs w:val="16"/>
          <w:color w:val="auto"/>
        </w:rPr>
        <w:t>11</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106.</w:t>
      </w:r>
      <w:r>
        <w:rPr>
          <w:sz w:val="20"/>
          <w:szCs w:val="20"/>
          <w:color w:val="auto"/>
        </w:rPr>
        <w:tab/>
      </w:r>
      <w:r>
        <w:rPr>
          <w:rFonts w:ascii="Courier New" w:cs="Courier New" w:eastAsia="Courier New" w:hAnsi="Courier New"/>
          <w:sz w:val="16"/>
          <w:szCs w:val="16"/>
          <w:color w:val="auto"/>
        </w:rPr>
        <w:t>Notice to Holders; Waiver</w:t>
      </w:r>
      <w:r>
        <w:rPr>
          <w:sz w:val="20"/>
          <w:szCs w:val="20"/>
          <w:color w:val="auto"/>
        </w:rPr>
        <w:tab/>
      </w:r>
      <w:r>
        <w:rPr>
          <w:rFonts w:ascii="Courier New" w:cs="Courier New" w:eastAsia="Courier New" w:hAnsi="Courier New"/>
          <w:sz w:val="16"/>
          <w:szCs w:val="16"/>
          <w:color w:val="auto"/>
        </w:rPr>
        <w:t>11</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107.</w:t>
      </w:r>
      <w:r>
        <w:rPr>
          <w:sz w:val="20"/>
          <w:szCs w:val="20"/>
          <w:color w:val="auto"/>
        </w:rPr>
        <w:tab/>
      </w:r>
      <w:r>
        <w:rPr>
          <w:rFonts w:ascii="Courier New" w:cs="Courier New" w:eastAsia="Courier New" w:hAnsi="Courier New"/>
          <w:sz w:val="16"/>
          <w:szCs w:val="16"/>
          <w:color w:val="auto"/>
        </w:rPr>
        <w:t>Conflict with Trust Indenture Act</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108.</w:t>
      </w:r>
      <w:r>
        <w:rPr>
          <w:sz w:val="20"/>
          <w:szCs w:val="20"/>
          <w:color w:val="auto"/>
        </w:rPr>
        <w:tab/>
      </w:r>
      <w:r>
        <w:rPr>
          <w:rFonts w:ascii="Courier New" w:cs="Courier New" w:eastAsia="Courier New" w:hAnsi="Courier New"/>
          <w:sz w:val="16"/>
          <w:szCs w:val="16"/>
          <w:color w:val="auto"/>
        </w:rPr>
        <w:t>Effect of Headings and Table of Contents</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109.</w:t>
      </w:r>
      <w:r>
        <w:rPr>
          <w:sz w:val="20"/>
          <w:szCs w:val="20"/>
          <w:color w:val="auto"/>
        </w:rPr>
        <w:tab/>
      </w:r>
      <w:r>
        <w:rPr>
          <w:rFonts w:ascii="Courier New" w:cs="Courier New" w:eastAsia="Courier New" w:hAnsi="Courier New"/>
          <w:sz w:val="16"/>
          <w:szCs w:val="16"/>
          <w:color w:val="auto"/>
        </w:rPr>
        <w:t>Successors and Assigns</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110.</w:t>
      </w:r>
      <w:r>
        <w:rPr>
          <w:sz w:val="20"/>
          <w:szCs w:val="20"/>
          <w:color w:val="auto"/>
        </w:rPr>
        <w:tab/>
      </w:r>
      <w:r>
        <w:rPr>
          <w:rFonts w:ascii="Courier New" w:cs="Courier New" w:eastAsia="Courier New" w:hAnsi="Courier New"/>
          <w:sz w:val="16"/>
          <w:szCs w:val="16"/>
          <w:color w:val="auto"/>
        </w:rPr>
        <w:t>Separability Clause</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111.</w:t>
      </w:r>
      <w:r>
        <w:rPr>
          <w:sz w:val="20"/>
          <w:szCs w:val="20"/>
          <w:color w:val="auto"/>
        </w:rPr>
        <w:tab/>
      </w:r>
      <w:r>
        <w:rPr>
          <w:rFonts w:ascii="Courier New" w:cs="Courier New" w:eastAsia="Courier New" w:hAnsi="Courier New"/>
          <w:sz w:val="16"/>
          <w:szCs w:val="16"/>
          <w:color w:val="auto"/>
        </w:rPr>
        <w:t>Benefits of Indenture</w:t>
      </w:r>
      <w:r>
        <w:rPr>
          <w:sz w:val="20"/>
          <w:szCs w:val="20"/>
          <w:color w:val="auto"/>
        </w:rPr>
        <w:tab/>
      </w:r>
      <w:r>
        <w:rPr>
          <w:rFonts w:ascii="Courier New" w:cs="Courier New" w:eastAsia="Courier New" w:hAnsi="Courier New"/>
          <w:sz w:val="16"/>
          <w:szCs w:val="16"/>
          <w:color w:val="auto"/>
        </w:rPr>
        <w:t>12</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112.</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113.</w:t>
      </w:r>
      <w:r>
        <w:rPr>
          <w:sz w:val="20"/>
          <w:szCs w:val="20"/>
          <w:color w:val="auto"/>
        </w:rPr>
        <w:tab/>
      </w:r>
      <w:r>
        <w:rPr>
          <w:rFonts w:ascii="Courier New" w:cs="Courier New" w:eastAsia="Courier New" w:hAnsi="Courier New"/>
          <w:sz w:val="16"/>
          <w:szCs w:val="16"/>
          <w:color w:val="auto"/>
        </w:rPr>
        <w:t>Legal Holidays</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114.</w:t>
      </w:r>
      <w:r>
        <w:rPr>
          <w:sz w:val="20"/>
          <w:szCs w:val="20"/>
          <w:color w:val="auto"/>
        </w:rPr>
        <w:tab/>
      </w:r>
      <w:r>
        <w:rPr>
          <w:rFonts w:ascii="Courier New" w:cs="Courier New" w:eastAsia="Courier New" w:hAnsi="Courier New"/>
          <w:sz w:val="16"/>
          <w:szCs w:val="16"/>
          <w:color w:val="auto"/>
        </w:rPr>
        <w:t>Indenture and Securities Solely Corporate Obligations</w:t>
      </w:r>
      <w:r>
        <w:rPr>
          <w:sz w:val="20"/>
          <w:szCs w:val="20"/>
          <w:color w:val="auto"/>
        </w:rPr>
        <w:tab/>
      </w:r>
      <w:r>
        <w:rPr>
          <w:rFonts w:ascii="Courier New" w:cs="Courier New" w:eastAsia="Courier New" w:hAnsi="Courier New"/>
          <w:sz w:val="16"/>
          <w:szCs w:val="16"/>
          <w:color w:val="auto"/>
        </w:rPr>
        <w:t>13</w:t>
      </w:r>
    </w:p>
    <w:p>
      <w:pPr>
        <w:spacing w:after="0" w:line="188" w:lineRule="exact"/>
        <w:rPr>
          <w:sz w:val="20"/>
          <w:szCs w:val="20"/>
          <w:color w:val="auto"/>
        </w:rPr>
      </w:pPr>
    </w:p>
    <w:p>
      <w:pPr>
        <w:spacing w:after="0"/>
        <w:tabs>
          <w:tab w:leader="dot" w:pos="11220" w:val="left"/>
        </w:tabs>
        <w:rPr>
          <w:sz w:val="20"/>
          <w:szCs w:val="20"/>
          <w:color w:val="auto"/>
        </w:rPr>
      </w:pPr>
      <w:r>
        <w:rPr>
          <w:rFonts w:ascii="Courier New" w:cs="Courier New" w:eastAsia="Courier New" w:hAnsi="Courier New"/>
          <w:sz w:val="16"/>
          <w:szCs w:val="16"/>
          <w:color w:val="auto"/>
        </w:rPr>
        <w:t>ARTICLE TWO - SECURITY FORMS</w:t>
      </w:r>
      <w:r>
        <w:rPr>
          <w:sz w:val="20"/>
          <w:szCs w:val="20"/>
          <w:color w:val="auto"/>
        </w:rPr>
        <w:tab/>
      </w:r>
      <w:r>
        <w:rPr>
          <w:rFonts w:ascii="Courier New" w:cs="Courier New" w:eastAsia="Courier New" w:hAnsi="Courier New"/>
          <w:sz w:val="16"/>
          <w:szCs w:val="16"/>
          <w:color w:val="auto"/>
        </w:rPr>
        <w:t>13</w:t>
      </w:r>
    </w:p>
    <w:p>
      <w:pPr>
        <w:spacing w:after="0" w:line="188"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6"/>
          <w:szCs w:val="16"/>
          <w:color w:val="auto"/>
        </w:rPr>
        <w:t>Forms Generally</w:t>
      </w:r>
      <w:r>
        <w:rPr>
          <w:sz w:val="20"/>
          <w:szCs w:val="20"/>
          <w:color w:val="auto"/>
        </w:rPr>
        <w:tab/>
      </w:r>
      <w:r>
        <w:rPr>
          <w:rFonts w:ascii="Courier New" w:cs="Courier New" w:eastAsia="Courier New" w:hAnsi="Courier New"/>
          <w:sz w:val="16"/>
          <w:szCs w:val="16"/>
          <w:color w:val="auto"/>
        </w:rPr>
        <w:t>13</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6"/>
          <w:szCs w:val="16"/>
          <w:color w:val="auto"/>
        </w:rPr>
        <w:t>Form of Face of Security</w:t>
      </w:r>
      <w:r>
        <w:rPr>
          <w:sz w:val="20"/>
          <w:szCs w:val="20"/>
          <w:color w:val="auto"/>
        </w:rPr>
        <w:tab/>
      </w:r>
      <w:r>
        <w:rPr>
          <w:rFonts w:ascii="Courier New" w:cs="Courier New" w:eastAsia="Courier New" w:hAnsi="Courier New"/>
          <w:sz w:val="16"/>
          <w:szCs w:val="16"/>
          <w:color w:val="auto"/>
        </w:rPr>
        <w:t>14</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6"/>
          <w:szCs w:val="16"/>
          <w:color w:val="auto"/>
        </w:rPr>
        <w:t>Form of Reverse of Security</w:t>
      </w:r>
      <w:r>
        <w:rPr>
          <w:sz w:val="20"/>
          <w:szCs w:val="20"/>
          <w:color w:val="auto"/>
        </w:rPr>
        <w:tab/>
      </w:r>
      <w:r>
        <w:rPr>
          <w:rFonts w:ascii="Courier New" w:cs="Courier New" w:eastAsia="Courier New" w:hAnsi="Courier New"/>
          <w:sz w:val="16"/>
          <w:szCs w:val="16"/>
          <w:color w:val="auto"/>
        </w:rPr>
        <w:t>16</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204.</w:t>
      </w:r>
      <w:r>
        <w:rPr>
          <w:sz w:val="20"/>
          <w:szCs w:val="20"/>
          <w:color w:val="auto"/>
        </w:rPr>
        <w:tab/>
      </w:r>
      <w:r>
        <w:rPr>
          <w:rFonts w:ascii="Courier New" w:cs="Courier New" w:eastAsia="Courier New" w:hAnsi="Courier New"/>
          <w:sz w:val="16"/>
          <w:szCs w:val="16"/>
          <w:color w:val="auto"/>
        </w:rPr>
        <w:t>Form of Legend for Global Securities</w:t>
      </w:r>
      <w:r>
        <w:rPr>
          <w:sz w:val="20"/>
          <w:szCs w:val="20"/>
          <w:color w:val="auto"/>
        </w:rPr>
        <w:tab/>
      </w:r>
      <w:r>
        <w:rPr>
          <w:rFonts w:ascii="Courier New" w:cs="Courier New" w:eastAsia="Courier New" w:hAnsi="Courier New"/>
          <w:sz w:val="16"/>
          <w:szCs w:val="16"/>
          <w:color w:val="auto"/>
        </w:rPr>
        <w:t>20</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205.</w:t>
      </w:r>
      <w:r>
        <w:rPr>
          <w:sz w:val="20"/>
          <w:szCs w:val="20"/>
          <w:color w:val="auto"/>
        </w:rPr>
        <w:tab/>
      </w:r>
      <w:r>
        <w:rPr>
          <w:rFonts w:ascii="Courier New" w:cs="Courier New" w:eastAsia="Courier New" w:hAnsi="Courier New"/>
          <w:sz w:val="16"/>
          <w:szCs w:val="16"/>
          <w:color w:val="auto"/>
        </w:rPr>
        <w:t>Form of Trustee's Certificate of Authentication</w:t>
      </w:r>
      <w:r>
        <w:rPr>
          <w:sz w:val="20"/>
          <w:szCs w:val="20"/>
          <w:color w:val="auto"/>
        </w:rPr>
        <w:tab/>
      </w:r>
      <w:r>
        <w:rPr>
          <w:rFonts w:ascii="Courier New" w:cs="Courier New" w:eastAsia="Courier New" w:hAnsi="Courier New"/>
          <w:sz w:val="16"/>
          <w:szCs w:val="16"/>
          <w:color w:val="auto"/>
        </w:rPr>
        <w:t>21</w:t>
      </w:r>
    </w:p>
    <w:p>
      <w:pPr>
        <w:sectPr>
          <w:pgSz w:w="11900" w:h="16838" w:orient="portrait"/>
          <w:cols w:equalWidth="0" w:num="1">
            <w:col w:w="11440"/>
          </w:cols>
          <w:pgMar w:left="240" w:top="669" w:right="219" w:bottom="0" w:gutter="0" w:footer="0" w:header="0"/>
        </w:sectPr>
      </w:pPr>
    </w:p>
    <w:bookmarkStart w:id="172" w:name="page173"/>
    <w:bookmarkEnd w:id="172"/>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206.</w:t>
      </w:r>
      <w:r>
        <w:rPr>
          <w:sz w:val="20"/>
          <w:szCs w:val="20"/>
          <w:color w:val="auto"/>
        </w:rPr>
        <w:tab/>
      </w:r>
      <w:r>
        <w:rPr>
          <w:rFonts w:ascii="Courier New" w:cs="Courier New" w:eastAsia="Courier New" w:hAnsi="Courier New"/>
          <w:sz w:val="16"/>
          <w:szCs w:val="16"/>
          <w:color w:val="auto"/>
        </w:rPr>
        <w:t>Form of Conversion Notice</w:t>
      </w:r>
      <w:r>
        <w:rPr>
          <w:sz w:val="20"/>
          <w:szCs w:val="20"/>
          <w:color w:val="auto"/>
        </w:rPr>
        <w:tab/>
      </w:r>
      <w:r>
        <w:rPr>
          <w:rFonts w:ascii="Courier New" w:cs="Courier New" w:eastAsia="Courier New" w:hAnsi="Courier New"/>
          <w:sz w:val="16"/>
          <w:szCs w:val="16"/>
          <w:color w:val="auto"/>
        </w:rPr>
        <w:t>21</w:t>
      </w:r>
    </w:p>
    <w:p>
      <w:pPr>
        <w:spacing w:after="0" w:line="188" w:lineRule="exact"/>
        <w:rPr>
          <w:sz w:val="20"/>
          <w:szCs w:val="20"/>
          <w:color w:val="auto"/>
        </w:rPr>
      </w:pPr>
    </w:p>
    <w:p>
      <w:pPr>
        <w:spacing w:after="0"/>
        <w:tabs>
          <w:tab w:leader="dot" w:pos="11220" w:val="left"/>
        </w:tabs>
        <w:rPr>
          <w:sz w:val="20"/>
          <w:szCs w:val="20"/>
          <w:color w:val="auto"/>
        </w:rPr>
      </w:pPr>
      <w:r>
        <w:rPr>
          <w:rFonts w:ascii="Courier New" w:cs="Courier New" w:eastAsia="Courier New" w:hAnsi="Courier New"/>
          <w:sz w:val="16"/>
          <w:szCs w:val="16"/>
          <w:color w:val="auto"/>
        </w:rPr>
        <w:t>ARTICLE THREE - THE SECURITIES</w:t>
      </w:r>
      <w:r>
        <w:rPr>
          <w:sz w:val="20"/>
          <w:szCs w:val="20"/>
          <w:color w:val="auto"/>
        </w:rPr>
        <w:tab/>
      </w:r>
      <w:r>
        <w:rPr>
          <w:rFonts w:ascii="Courier New" w:cs="Courier New" w:eastAsia="Courier New" w:hAnsi="Courier New"/>
          <w:sz w:val="16"/>
          <w:szCs w:val="16"/>
          <w:color w:val="auto"/>
        </w:rPr>
        <w:t>22</w:t>
      </w:r>
    </w:p>
    <w:p>
      <w:pPr>
        <w:spacing w:after="0" w:line="188"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6"/>
          <w:szCs w:val="16"/>
          <w:color w:val="auto"/>
        </w:rPr>
        <w:t>Amount Unlimited; Issuable in Series</w:t>
      </w:r>
      <w:r>
        <w:rPr>
          <w:sz w:val="20"/>
          <w:szCs w:val="20"/>
          <w:color w:val="auto"/>
        </w:rPr>
        <w:tab/>
      </w:r>
      <w:r>
        <w:rPr>
          <w:rFonts w:ascii="Courier New" w:cs="Courier New" w:eastAsia="Courier New" w:hAnsi="Courier New"/>
          <w:sz w:val="16"/>
          <w:szCs w:val="16"/>
          <w:color w:val="auto"/>
        </w:rPr>
        <w:t>22</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6"/>
          <w:szCs w:val="16"/>
          <w:color w:val="auto"/>
        </w:rPr>
        <w:t>Denominations</w:t>
      </w:r>
      <w:r>
        <w:rPr>
          <w:sz w:val="20"/>
          <w:szCs w:val="20"/>
          <w:color w:val="auto"/>
        </w:rPr>
        <w:tab/>
      </w:r>
      <w:r>
        <w:rPr>
          <w:rFonts w:ascii="Courier New" w:cs="Courier New" w:eastAsia="Courier New" w:hAnsi="Courier New"/>
          <w:sz w:val="16"/>
          <w:szCs w:val="16"/>
          <w:color w:val="auto"/>
        </w:rPr>
        <w:t>25</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6"/>
          <w:szCs w:val="16"/>
          <w:color w:val="auto"/>
        </w:rPr>
        <w:t>Execution, Authentication, Delivery and Dating</w:t>
      </w:r>
      <w:r>
        <w:rPr>
          <w:sz w:val="20"/>
          <w:szCs w:val="20"/>
          <w:color w:val="auto"/>
        </w:rPr>
        <w:tab/>
      </w:r>
      <w:r>
        <w:rPr>
          <w:rFonts w:ascii="Courier New" w:cs="Courier New" w:eastAsia="Courier New" w:hAnsi="Courier New"/>
          <w:sz w:val="16"/>
          <w:szCs w:val="16"/>
          <w:color w:val="auto"/>
        </w:rPr>
        <w:t>25</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304.</w:t>
      </w:r>
      <w:r>
        <w:rPr>
          <w:sz w:val="20"/>
          <w:szCs w:val="20"/>
          <w:color w:val="auto"/>
        </w:rPr>
        <w:tab/>
      </w:r>
      <w:r>
        <w:rPr>
          <w:rFonts w:ascii="Courier New" w:cs="Courier New" w:eastAsia="Courier New" w:hAnsi="Courier New"/>
          <w:sz w:val="16"/>
          <w:szCs w:val="16"/>
          <w:color w:val="auto"/>
        </w:rPr>
        <w:t>Temporary Securities</w:t>
      </w:r>
      <w:r>
        <w:rPr>
          <w:sz w:val="20"/>
          <w:szCs w:val="20"/>
          <w:color w:val="auto"/>
        </w:rPr>
        <w:tab/>
      </w:r>
      <w:r>
        <w:rPr>
          <w:rFonts w:ascii="Courier New" w:cs="Courier New" w:eastAsia="Courier New" w:hAnsi="Courier New"/>
          <w:sz w:val="16"/>
          <w:szCs w:val="16"/>
          <w:color w:val="auto"/>
        </w:rPr>
        <w:t>26</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305.</w:t>
      </w:r>
      <w:r>
        <w:rPr>
          <w:sz w:val="20"/>
          <w:szCs w:val="20"/>
          <w:color w:val="auto"/>
        </w:rPr>
        <w:tab/>
      </w:r>
      <w:r>
        <w:rPr>
          <w:rFonts w:ascii="Courier New" w:cs="Courier New" w:eastAsia="Courier New" w:hAnsi="Courier New"/>
          <w:sz w:val="16"/>
          <w:szCs w:val="16"/>
          <w:color w:val="auto"/>
        </w:rPr>
        <w:t>Registration; Registration of Transfer and Exchange</w:t>
      </w:r>
      <w:r>
        <w:rPr>
          <w:sz w:val="20"/>
          <w:szCs w:val="20"/>
          <w:color w:val="auto"/>
        </w:rPr>
        <w:tab/>
      </w:r>
      <w:r>
        <w:rPr>
          <w:rFonts w:ascii="Courier New" w:cs="Courier New" w:eastAsia="Courier New" w:hAnsi="Courier New"/>
          <w:sz w:val="16"/>
          <w:szCs w:val="16"/>
          <w:color w:val="auto"/>
        </w:rPr>
        <w:t>27</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306.</w:t>
      </w:r>
      <w:r>
        <w:rPr>
          <w:sz w:val="20"/>
          <w:szCs w:val="20"/>
          <w:color w:val="auto"/>
        </w:rPr>
        <w:tab/>
      </w:r>
      <w:r>
        <w:rPr>
          <w:rFonts w:ascii="Courier New" w:cs="Courier New" w:eastAsia="Courier New" w:hAnsi="Courier New"/>
          <w:sz w:val="16"/>
          <w:szCs w:val="16"/>
          <w:color w:val="auto"/>
        </w:rPr>
        <w:t>Mutilated, Destroyed, Lost and Stolen Securities</w:t>
      </w:r>
      <w:r>
        <w:rPr>
          <w:sz w:val="20"/>
          <w:szCs w:val="20"/>
          <w:color w:val="auto"/>
        </w:rPr>
        <w:tab/>
      </w:r>
      <w:r>
        <w:rPr>
          <w:rFonts w:ascii="Courier New" w:cs="Courier New" w:eastAsia="Courier New" w:hAnsi="Courier New"/>
          <w:sz w:val="16"/>
          <w:szCs w:val="16"/>
          <w:color w:val="auto"/>
        </w:rPr>
        <w:t>28</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307.</w:t>
      </w:r>
      <w:r>
        <w:rPr>
          <w:sz w:val="20"/>
          <w:szCs w:val="20"/>
          <w:color w:val="auto"/>
        </w:rPr>
        <w:tab/>
      </w:r>
      <w:r>
        <w:rPr>
          <w:rFonts w:ascii="Courier New" w:cs="Courier New" w:eastAsia="Courier New" w:hAnsi="Courier New"/>
          <w:sz w:val="16"/>
          <w:szCs w:val="16"/>
          <w:color w:val="auto"/>
        </w:rPr>
        <w:t>Payment of Interest; Interest Rights Preserved</w:t>
      </w:r>
      <w:r>
        <w:rPr>
          <w:sz w:val="20"/>
          <w:szCs w:val="20"/>
          <w:color w:val="auto"/>
        </w:rPr>
        <w:tab/>
      </w:r>
      <w:r>
        <w:rPr>
          <w:rFonts w:ascii="Courier New" w:cs="Courier New" w:eastAsia="Courier New" w:hAnsi="Courier New"/>
          <w:sz w:val="16"/>
          <w:szCs w:val="16"/>
          <w:color w:val="auto"/>
        </w:rPr>
        <w:t>29</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308.</w:t>
      </w:r>
      <w:r>
        <w:rPr>
          <w:sz w:val="20"/>
          <w:szCs w:val="20"/>
          <w:color w:val="auto"/>
        </w:rPr>
        <w:tab/>
      </w:r>
      <w:r>
        <w:rPr>
          <w:rFonts w:ascii="Courier New" w:cs="Courier New" w:eastAsia="Courier New" w:hAnsi="Courier New"/>
          <w:sz w:val="16"/>
          <w:szCs w:val="16"/>
          <w:color w:val="auto"/>
        </w:rPr>
        <w:t>Persons Deemed Owners</w:t>
      </w:r>
      <w:r>
        <w:rPr>
          <w:sz w:val="20"/>
          <w:szCs w:val="20"/>
          <w:color w:val="auto"/>
        </w:rPr>
        <w:tab/>
      </w:r>
      <w:r>
        <w:rPr>
          <w:rFonts w:ascii="Courier New" w:cs="Courier New" w:eastAsia="Courier New" w:hAnsi="Courier New"/>
          <w:sz w:val="16"/>
          <w:szCs w:val="16"/>
          <w:color w:val="auto"/>
        </w:rPr>
        <w:t>30</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309.</w:t>
      </w:r>
      <w:r>
        <w:rPr>
          <w:sz w:val="20"/>
          <w:szCs w:val="20"/>
          <w:color w:val="auto"/>
        </w:rPr>
        <w:tab/>
      </w:r>
      <w:r>
        <w:rPr>
          <w:rFonts w:ascii="Courier New" w:cs="Courier New" w:eastAsia="Courier New" w:hAnsi="Courier New"/>
          <w:sz w:val="16"/>
          <w:szCs w:val="16"/>
          <w:color w:val="auto"/>
        </w:rPr>
        <w:t>Cancellation</w:t>
      </w:r>
      <w:r>
        <w:rPr>
          <w:sz w:val="20"/>
          <w:szCs w:val="20"/>
          <w:color w:val="auto"/>
        </w:rPr>
        <w:tab/>
      </w:r>
      <w:r>
        <w:rPr>
          <w:rFonts w:ascii="Courier New" w:cs="Courier New" w:eastAsia="Courier New" w:hAnsi="Courier New"/>
          <w:sz w:val="16"/>
          <w:szCs w:val="16"/>
          <w:color w:val="auto"/>
        </w:rPr>
        <w:t>30</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310.</w:t>
      </w:r>
      <w:r>
        <w:rPr>
          <w:sz w:val="20"/>
          <w:szCs w:val="20"/>
          <w:color w:val="auto"/>
        </w:rPr>
        <w:tab/>
      </w:r>
      <w:r>
        <w:rPr>
          <w:rFonts w:ascii="Courier New" w:cs="Courier New" w:eastAsia="Courier New" w:hAnsi="Courier New"/>
          <w:sz w:val="16"/>
          <w:szCs w:val="16"/>
          <w:color w:val="auto"/>
        </w:rPr>
        <w:t>Computation of Interest</w:t>
      </w:r>
      <w:r>
        <w:rPr>
          <w:sz w:val="20"/>
          <w:szCs w:val="20"/>
          <w:color w:val="auto"/>
        </w:rPr>
        <w:tab/>
      </w:r>
      <w:r>
        <w:rPr>
          <w:rFonts w:ascii="Courier New" w:cs="Courier New" w:eastAsia="Courier New" w:hAnsi="Courier New"/>
          <w:sz w:val="16"/>
          <w:szCs w:val="16"/>
          <w:color w:val="auto"/>
        </w:rPr>
        <w:t>31</w:t>
      </w:r>
    </w:p>
    <w:p>
      <w:pPr>
        <w:spacing w:after="0" w:line="188" w:lineRule="exact"/>
        <w:rPr>
          <w:sz w:val="20"/>
          <w:szCs w:val="20"/>
          <w:color w:val="auto"/>
        </w:rPr>
      </w:pPr>
    </w:p>
    <w:p>
      <w:pPr>
        <w:spacing w:after="0"/>
        <w:tabs>
          <w:tab w:leader="dot" w:pos="11220" w:val="left"/>
        </w:tabs>
        <w:rPr>
          <w:sz w:val="20"/>
          <w:szCs w:val="20"/>
          <w:color w:val="auto"/>
        </w:rPr>
      </w:pPr>
      <w:r>
        <w:rPr>
          <w:rFonts w:ascii="Courier New" w:cs="Courier New" w:eastAsia="Courier New" w:hAnsi="Courier New"/>
          <w:sz w:val="16"/>
          <w:szCs w:val="16"/>
          <w:color w:val="auto"/>
        </w:rPr>
        <w:t>ARTICLE FOUR - SATISFACTION AND DISCHARGE</w:t>
      </w:r>
      <w:r>
        <w:rPr>
          <w:sz w:val="20"/>
          <w:szCs w:val="20"/>
          <w:color w:val="auto"/>
        </w:rPr>
        <w:tab/>
      </w:r>
      <w:r>
        <w:rPr>
          <w:rFonts w:ascii="Courier New" w:cs="Courier New" w:eastAsia="Courier New" w:hAnsi="Courier New"/>
          <w:sz w:val="16"/>
          <w:szCs w:val="16"/>
          <w:color w:val="auto"/>
        </w:rPr>
        <w:t>31</w:t>
      </w:r>
    </w:p>
    <w:p>
      <w:pPr>
        <w:spacing w:after="0" w:line="200" w:lineRule="exact"/>
        <w:rPr>
          <w:sz w:val="20"/>
          <w:szCs w:val="20"/>
          <w:color w:val="auto"/>
        </w:rPr>
      </w:pPr>
    </w:p>
    <w:p>
      <w:pPr>
        <w:spacing w:after="0" w:line="358"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1440"/>
          </w:cols>
          <w:pgMar w:left="240" w:top="140" w:right="219" w:bottom="1440" w:gutter="0" w:footer="0" w:header="0"/>
        </w:sectPr>
      </w:pPr>
    </w:p>
    <w:bookmarkStart w:id="173" w:name="page174"/>
    <w:bookmarkEnd w:id="173"/>
    <w:p>
      <w:pPr>
        <w:ind w:left="4900"/>
        <w:spacing w:after="0"/>
        <w:rPr>
          <w:sz w:val="20"/>
          <w:szCs w:val="20"/>
          <w:color w:val="auto"/>
        </w:rPr>
      </w:pPr>
      <w:r>
        <w:rPr>
          <w:rFonts w:ascii="Courier New" w:cs="Courier New" w:eastAsia="Courier New" w:hAnsi="Courier New"/>
          <w:sz w:val="16"/>
          <w:szCs w:val="16"/>
          <w:color w:val="auto"/>
        </w:rPr>
        <w:t>TABLE OF CONTENTS</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6"/>
          <w:szCs w:val="16"/>
          <w:color w:val="auto"/>
        </w:rPr>
        <w:t>Satisfaction and Discharge of Indenture</w:t>
      </w:r>
      <w:r>
        <w:rPr>
          <w:sz w:val="20"/>
          <w:szCs w:val="20"/>
          <w:color w:val="auto"/>
        </w:rPr>
        <w:tab/>
      </w:r>
      <w:r>
        <w:rPr>
          <w:rFonts w:ascii="Courier New" w:cs="Courier New" w:eastAsia="Courier New" w:hAnsi="Courier New"/>
          <w:sz w:val="16"/>
          <w:szCs w:val="16"/>
          <w:color w:val="auto"/>
        </w:rPr>
        <w:t>31</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402.</w:t>
      </w:r>
      <w:r>
        <w:rPr>
          <w:sz w:val="20"/>
          <w:szCs w:val="20"/>
          <w:color w:val="auto"/>
        </w:rPr>
        <w:tab/>
      </w:r>
      <w:r>
        <w:rPr>
          <w:rFonts w:ascii="Courier New" w:cs="Courier New" w:eastAsia="Courier New" w:hAnsi="Courier New"/>
          <w:sz w:val="16"/>
          <w:szCs w:val="16"/>
          <w:color w:val="auto"/>
        </w:rPr>
        <w:t>Application of Trust Money</w:t>
      </w:r>
      <w:r>
        <w:rPr>
          <w:sz w:val="20"/>
          <w:szCs w:val="20"/>
          <w:color w:val="auto"/>
        </w:rPr>
        <w:tab/>
      </w:r>
      <w:r>
        <w:rPr>
          <w:rFonts w:ascii="Courier New" w:cs="Courier New" w:eastAsia="Courier New" w:hAnsi="Courier New"/>
          <w:sz w:val="16"/>
          <w:szCs w:val="16"/>
          <w:color w:val="auto"/>
        </w:rPr>
        <w:t>32</w:t>
      </w:r>
    </w:p>
    <w:p>
      <w:pPr>
        <w:spacing w:after="0" w:line="188" w:lineRule="exact"/>
        <w:rPr>
          <w:sz w:val="20"/>
          <w:szCs w:val="20"/>
          <w:color w:val="auto"/>
        </w:rPr>
      </w:pPr>
    </w:p>
    <w:p>
      <w:pPr>
        <w:spacing w:after="0"/>
        <w:tabs>
          <w:tab w:leader="dot" w:pos="11220" w:val="left"/>
        </w:tabs>
        <w:rPr>
          <w:sz w:val="20"/>
          <w:szCs w:val="20"/>
          <w:color w:val="auto"/>
        </w:rPr>
      </w:pPr>
      <w:r>
        <w:rPr>
          <w:rFonts w:ascii="Courier New" w:cs="Courier New" w:eastAsia="Courier New" w:hAnsi="Courier New"/>
          <w:sz w:val="16"/>
          <w:szCs w:val="16"/>
          <w:color w:val="auto"/>
        </w:rPr>
        <w:t>ARTICLE FIVE - REMEDIES</w:t>
      </w:r>
      <w:r>
        <w:rPr>
          <w:sz w:val="20"/>
          <w:szCs w:val="20"/>
          <w:color w:val="auto"/>
        </w:rPr>
        <w:tab/>
      </w:r>
      <w:r>
        <w:rPr>
          <w:rFonts w:ascii="Courier New" w:cs="Courier New" w:eastAsia="Courier New" w:hAnsi="Courier New"/>
          <w:sz w:val="16"/>
          <w:szCs w:val="16"/>
          <w:color w:val="auto"/>
        </w:rPr>
        <w:t>32</w:t>
      </w:r>
    </w:p>
    <w:p>
      <w:pPr>
        <w:spacing w:after="0" w:line="188"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501.</w:t>
      </w:r>
      <w:r>
        <w:rPr>
          <w:sz w:val="20"/>
          <w:szCs w:val="20"/>
          <w:color w:val="auto"/>
        </w:rPr>
        <w:tab/>
      </w:r>
      <w:r>
        <w:rPr>
          <w:rFonts w:ascii="Courier New" w:cs="Courier New" w:eastAsia="Courier New" w:hAnsi="Courier New"/>
          <w:sz w:val="16"/>
          <w:szCs w:val="16"/>
          <w:color w:val="auto"/>
        </w:rPr>
        <w:t>Events of Default</w:t>
      </w:r>
      <w:r>
        <w:rPr>
          <w:sz w:val="20"/>
          <w:szCs w:val="20"/>
          <w:color w:val="auto"/>
        </w:rPr>
        <w:tab/>
      </w:r>
      <w:r>
        <w:rPr>
          <w:rFonts w:ascii="Courier New" w:cs="Courier New" w:eastAsia="Courier New" w:hAnsi="Courier New"/>
          <w:sz w:val="16"/>
          <w:szCs w:val="16"/>
          <w:color w:val="auto"/>
        </w:rPr>
        <w:t>32</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502.</w:t>
      </w:r>
      <w:r>
        <w:rPr>
          <w:sz w:val="20"/>
          <w:szCs w:val="20"/>
          <w:color w:val="auto"/>
        </w:rPr>
        <w:tab/>
      </w:r>
      <w:r>
        <w:rPr>
          <w:rFonts w:ascii="Courier New" w:cs="Courier New" w:eastAsia="Courier New" w:hAnsi="Courier New"/>
          <w:sz w:val="16"/>
          <w:szCs w:val="16"/>
          <w:color w:val="auto"/>
        </w:rPr>
        <w:t>Acceleration of Maturity; Rescission and Annulment</w:t>
      </w:r>
      <w:r>
        <w:rPr>
          <w:sz w:val="20"/>
          <w:szCs w:val="20"/>
          <w:color w:val="auto"/>
        </w:rPr>
        <w:tab/>
      </w:r>
      <w:r>
        <w:rPr>
          <w:rFonts w:ascii="Courier New" w:cs="Courier New" w:eastAsia="Courier New" w:hAnsi="Courier New"/>
          <w:sz w:val="16"/>
          <w:szCs w:val="16"/>
          <w:color w:val="auto"/>
        </w:rPr>
        <w:t>33</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503.</w:t>
      </w:r>
      <w:r>
        <w:rPr>
          <w:sz w:val="20"/>
          <w:szCs w:val="20"/>
          <w:color w:val="auto"/>
        </w:rPr>
        <w:tab/>
      </w:r>
      <w:r>
        <w:rPr>
          <w:rFonts w:ascii="Courier New" w:cs="Courier New" w:eastAsia="Courier New" w:hAnsi="Courier New"/>
          <w:sz w:val="16"/>
          <w:szCs w:val="16"/>
          <w:color w:val="auto"/>
        </w:rPr>
        <w:t>Collection of Indebtedness and Suits for Enforcement by Trustee</w:t>
      </w:r>
      <w:r>
        <w:rPr>
          <w:sz w:val="20"/>
          <w:szCs w:val="20"/>
          <w:color w:val="auto"/>
        </w:rPr>
        <w:tab/>
      </w:r>
      <w:r>
        <w:rPr>
          <w:rFonts w:ascii="Courier New" w:cs="Courier New" w:eastAsia="Courier New" w:hAnsi="Courier New"/>
          <w:sz w:val="16"/>
          <w:szCs w:val="16"/>
          <w:color w:val="auto"/>
        </w:rPr>
        <w:t>34</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504.</w:t>
      </w:r>
      <w:r>
        <w:rPr>
          <w:sz w:val="20"/>
          <w:szCs w:val="20"/>
          <w:color w:val="auto"/>
        </w:rPr>
        <w:tab/>
      </w:r>
      <w:r>
        <w:rPr>
          <w:rFonts w:ascii="Courier New" w:cs="Courier New" w:eastAsia="Courier New" w:hAnsi="Courier New"/>
          <w:sz w:val="16"/>
          <w:szCs w:val="16"/>
          <w:color w:val="auto"/>
        </w:rPr>
        <w:t>Trustee May File Proofs of Claim</w:t>
      </w:r>
      <w:r>
        <w:rPr>
          <w:sz w:val="20"/>
          <w:szCs w:val="20"/>
          <w:color w:val="auto"/>
        </w:rPr>
        <w:tab/>
      </w:r>
      <w:r>
        <w:rPr>
          <w:rFonts w:ascii="Courier New" w:cs="Courier New" w:eastAsia="Courier New" w:hAnsi="Courier New"/>
          <w:sz w:val="16"/>
          <w:szCs w:val="16"/>
          <w:color w:val="auto"/>
        </w:rPr>
        <w:t>35</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505.</w:t>
      </w:r>
      <w:r>
        <w:rPr>
          <w:sz w:val="20"/>
          <w:szCs w:val="20"/>
          <w:color w:val="auto"/>
        </w:rPr>
        <w:tab/>
      </w:r>
      <w:r>
        <w:rPr>
          <w:rFonts w:ascii="Courier New" w:cs="Courier New" w:eastAsia="Courier New" w:hAnsi="Courier New"/>
          <w:sz w:val="16"/>
          <w:szCs w:val="16"/>
          <w:color w:val="auto"/>
        </w:rPr>
        <w:t>Trustee May Enforce Claims Without Possession of Securities</w:t>
      </w:r>
      <w:r>
        <w:rPr>
          <w:sz w:val="20"/>
          <w:szCs w:val="20"/>
          <w:color w:val="auto"/>
        </w:rPr>
        <w:tab/>
      </w:r>
      <w:r>
        <w:rPr>
          <w:rFonts w:ascii="Courier New" w:cs="Courier New" w:eastAsia="Courier New" w:hAnsi="Courier New"/>
          <w:sz w:val="16"/>
          <w:szCs w:val="16"/>
          <w:color w:val="auto"/>
        </w:rPr>
        <w:t>35</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506.</w:t>
      </w:r>
      <w:r>
        <w:rPr>
          <w:sz w:val="20"/>
          <w:szCs w:val="20"/>
          <w:color w:val="auto"/>
        </w:rPr>
        <w:tab/>
      </w:r>
      <w:r>
        <w:rPr>
          <w:rFonts w:ascii="Courier New" w:cs="Courier New" w:eastAsia="Courier New" w:hAnsi="Courier New"/>
          <w:sz w:val="16"/>
          <w:szCs w:val="16"/>
          <w:color w:val="auto"/>
        </w:rPr>
        <w:t>Application of Money Collected</w:t>
      </w:r>
      <w:r>
        <w:rPr>
          <w:sz w:val="20"/>
          <w:szCs w:val="20"/>
          <w:color w:val="auto"/>
        </w:rPr>
        <w:tab/>
      </w:r>
      <w:r>
        <w:rPr>
          <w:rFonts w:ascii="Courier New" w:cs="Courier New" w:eastAsia="Courier New" w:hAnsi="Courier New"/>
          <w:sz w:val="16"/>
          <w:szCs w:val="16"/>
          <w:color w:val="auto"/>
        </w:rPr>
        <w:t>36</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507.</w:t>
      </w:r>
      <w:r>
        <w:rPr>
          <w:sz w:val="20"/>
          <w:szCs w:val="20"/>
          <w:color w:val="auto"/>
        </w:rPr>
        <w:tab/>
      </w:r>
      <w:r>
        <w:rPr>
          <w:rFonts w:ascii="Courier New" w:cs="Courier New" w:eastAsia="Courier New" w:hAnsi="Courier New"/>
          <w:sz w:val="16"/>
          <w:szCs w:val="16"/>
          <w:color w:val="auto"/>
        </w:rPr>
        <w:t>Limitation on Suits</w:t>
      </w:r>
      <w:r>
        <w:rPr>
          <w:sz w:val="20"/>
          <w:szCs w:val="20"/>
          <w:color w:val="auto"/>
        </w:rPr>
        <w:tab/>
      </w:r>
      <w:r>
        <w:rPr>
          <w:rFonts w:ascii="Courier New" w:cs="Courier New" w:eastAsia="Courier New" w:hAnsi="Courier New"/>
          <w:sz w:val="16"/>
          <w:szCs w:val="16"/>
          <w:color w:val="auto"/>
        </w:rPr>
        <w:t>36</w:t>
      </w:r>
    </w:p>
    <w:p>
      <w:pPr>
        <w:spacing w:after="0" w:line="4" w:lineRule="exact"/>
        <w:rPr>
          <w:sz w:val="20"/>
          <w:szCs w:val="20"/>
          <w:color w:val="auto"/>
        </w:rPr>
      </w:pPr>
    </w:p>
    <w:p>
      <w:pPr>
        <w:ind w:left="860"/>
        <w:spacing w:after="0"/>
        <w:tabs>
          <w:tab w:leader="none" w:pos="2960" w:val="left"/>
        </w:tabs>
        <w:rPr>
          <w:sz w:val="20"/>
          <w:szCs w:val="20"/>
          <w:color w:val="auto"/>
        </w:rPr>
      </w:pPr>
      <w:r>
        <w:rPr>
          <w:rFonts w:ascii="Courier New" w:cs="Courier New" w:eastAsia="Courier New" w:hAnsi="Courier New"/>
          <w:sz w:val="16"/>
          <w:szCs w:val="16"/>
          <w:color w:val="auto"/>
        </w:rPr>
        <w:t>SECTION 508.</w:t>
      </w:r>
      <w:r>
        <w:rPr>
          <w:sz w:val="20"/>
          <w:szCs w:val="20"/>
          <w:color w:val="auto"/>
        </w:rPr>
        <w:tab/>
      </w:r>
      <w:r>
        <w:rPr>
          <w:rFonts w:ascii="Courier New" w:cs="Courier New" w:eastAsia="Courier New" w:hAnsi="Courier New"/>
          <w:sz w:val="16"/>
          <w:szCs w:val="16"/>
          <w:color w:val="auto"/>
        </w:rPr>
        <w:t>Unconditional Right of Holders to Receive Principal, Premium and Interest</w:t>
      </w:r>
    </w:p>
    <w:p>
      <w:pPr>
        <w:spacing w:after="0" w:line="4" w:lineRule="exact"/>
        <w:rPr>
          <w:sz w:val="20"/>
          <w:szCs w:val="20"/>
          <w:color w:val="auto"/>
        </w:rPr>
      </w:pPr>
    </w:p>
    <w:p>
      <w:pPr>
        <w:jc w:val="right"/>
        <w:spacing w:after="0"/>
        <w:tabs>
          <w:tab w:leader="dot" w:pos="180" w:val="left"/>
        </w:tabs>
        <w:rPr>
          <w:sz w:val="20"/>
          <w:szCs w:val="20"/>
          <w:color w:val="auto"/>
        </w:rPr>
      </w:pPr>
      <w:r>
        <w:rPr>
          <w:rFonts w:ascii="Courier New" w:cs="Courier New" w:eastAsia="Courier New" w:hAnsi="Courier New"/>
          <w:sz w:val="16"/>
          <w:szCs w:val="16"/>
          <w:color w:val="auto"/>
        </w:rPr>
        <w:t>and to Convert</w:t>
      </w:r>
      <w:r>
        <w:rPr>
          <w:sz w:val="20"/>
          <w:szCs w:val="20"/>
          <w:color w:val="auto"/>
        </w:rPr>
        <w:tab/>
      </w:r>
      <w:r>
        <w:rPr>
          <w:rFonts w:ascii="Courier New" w:cs="Courier New" w:eastAsia="Courier New" w:hAnsi="Courier New"/>
          <w:sz w:val="16"/>
          <w:szCs w:val="16"/>
          <w:color w:val="auto"/>
        </w:rPr>
        <w:t>37</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509.</w:t>
      </w:r>
      <w:r>
        <w:rPr>
          <w:sz w:val="20"/>
          <w:szCs w:val="20"/>
          <w:color w:val="auto"/>
        </w:rPr>
        <w:tab/>
      </w:r>
      <w:r>
        <w:rPr>
          <w:rFonts w:ascii="Courier New" w:cs="Courier New" w:eastAsia="Courier New" w:hAnsi="Courier New"/>
          <w:sz w:val="16"/>
          <w:szCs w:val="16"/>
          <w:color w:val="auto"/>
        </w:rPr>
        <w:t>Restoration of Rights and Remedies</w:t>
      </w:r>
      <w:r>
        <w:rPr>
          <w:sz w:val="20"/>
          <w:szCs w:val="20"/>
          <w:color w:val="auto"/>
        </w:rPr>
        <w:tab/>
      </w:r>
      <w:r>
        <w:rPr>
          <w:rFonts w:ascii="Courier New" w:cs="Courier New" w:eastAsia="Courier New" w:hAnsi="Courier New"/>
          <w:sz w:val="16"/>
          <w:szCs w:val="16"/>
          <w:color w:val="auto"/>
        </w:rPr>
        <w:t>37</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510.</w:t>
      </w:r>
      <w:r>
        <w:rPr>
          <w:sz w:val="20"/>
          <w:szCs w:val="20"/>
          <w:color w:val="auto"/>
        </w:rPr>
        <w:tab/>
      </w:r>
      <w:r>
        <w:rPr>
          <w:rFonts w:ascii="Courier New" w:cs="Courier New" w:eastAsia="Courier New" w:hAnsi="Courier New"/>
          <w:sz w:val="16"/>
          <w:szCs w:val="16"/>
          <w:color w:val="auto"/>
        </w:rPr>
        <w:t>Rights and Remedies Cumulative</w:t>
      </w:r>
      <w:r>
        <w:rPr>
          <w:sz w:val="20"/>
          <w:szCs w:val="20"/>
          <w:color w:val="auto"/>
        </w:rPr>
        <w:tab/>
      </w:r>
      <w:r>
        <w:rPr>
          <w:rFonts w:ascii="Courier New" w:cs="Courier New" w:eastAsia="Courier New" w:hAnsi="Courier New"/>
          <w:sz w:val="16"/>
          <w:szCs w:val="16"/>
          <w:color w:val="auto"/>
        </w:rPr>
        <w:t>37</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511.</w:t>
      </w:r>
      <w:r>
        <w:rPr>
          <w:sz w:val="20"/>
          <w:szCs w:val="20"/>
          <w:color w:val="auto"/>
        </w:rPr>
        <w:tab/>
      </w:r>
      <w:r>
        <w:rPr>
          <w:rFonts w:ascii="Courier New" w:cs="Courier New" w:eastAsia="Courier New" w:hAnsi="Courier New"/>
          <w:sz w:val="16"/>
          <w:szCs w:val="16"/>
          <w:color w:val="auto"/>
        </w:rPr>
        <w:t>Delay or Omission Not Waiver</w:t>
      </w:r>
      <w:r>
        <w:rPr>
          <w:sz w:val="20"/>
          <w:szCs w:val="20"/>
          <w:color w:val="auto"/>
        </w:rPr>
        <w:tab/>
      </w:r>
      <w:r>
        <w:rPr>
          <w:rFonts w:ascii="Courier New" w:cs="Courier New" w:eastAsia="Courier New" w:hAnsi="Courier New"/>
          <w:sz w:val="16"/>
          <w:szCs w:val="16"/>
          <w:color w:val="auto"/>
        </w:rPr>
        <w:t>37</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512.</w:t>
      </w:r>
      <w:r>
        <w:rPr>
          <w:sz w:val="20"/>
          <w:szCs w:val="20"/>
          <w:color w:val="auto"/>
        </w:rPr>
        <w:tab/>
      </w:r>
      <w:r>
        <w:rPr>
          <w:rFonts w:ascii="Courier New" w:cs="Courier New" w:eastAsia="Courier New" w:hAnsi="Courier New"/>
          <w:sz w:val="16"/>
          <w:szCs w:val="16"/>
          <w:color w:val="auto"/>
        </w:rPr>
        <w:t>Control by Holders</w:t>
      </w:r>
      <w:r>
        <w:rPr>
          <w:sz w:val="20"/>
          <w:szCs w:val="20"/>
          <w:color w:val="auto"/>
        </w:rPr>
        <w:tab/>
      </w:r>
      <w:r>
        <w:rPr>
          <w:rFonts w:ascii="Courier New" w:cs="Courier New" w:eastAsia="Courier New" w:hAnsi="Courier New"/>
          <w:sz w:val="16"/>
          <w:szCs w:val="16"/>
          <w:color w:val="auto"/>
        </w:rPr>
        <w:t>38</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513.</w:t>
      </w:r>
      <w:r>
        <w:rPr>
          <w:sz w:val="20"/>
          <w:szCs w:val="20"/>
          <w:color w:val="auto"/>
        </w:rPr>
        <w:tab/>
      </w:r>
      <w:r>
        <w:rPr>
          <w:rFonts w:ascii="Courier New" w:cs="Courier New" w:eastAsia="Courier New" w:hAnsi="Courier New"/>
          <w:sz w:val="16"/>
          <w:szCs w:val="16"/>
          <w:color w:val="auto"/>
        </w:rPr>
        <w:t>Waiver of Past Defaults</w:t>
      </w:r>
      <w:r>
        <w:rPr>
          <w:sz w:val="20"/>
          <w:szCs w:val="20"/>
          <w:color w:val="auto"/>
        </w:rPr>
        <w:tab/>
      </w:r>
      <w:r>
        <w:rPr>
          <w:rFonts w:ascii="Courier New" w:cs="Courier New" w:eastAsia="Courier New" w:hAnsi="Courier New"/>
          <w:sz w:val="16"/>
          <w:szCs w:val="16"/>
          <w:color w:val="auto"/>
        </w:rPr>
        <w:t>38</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514.</w:t>
      </w:r>
      <w:r>
        <w:rPr>
          <w:sz w:val="20"/>
          <w:szCs w:val="20"/>
          <w:color w:val="auto"/>
        </w:rPr>
        <w:tab/>
      </w:r>
      <w:r>
        <w:rPr>
          <w:rFonts w:ascii="Courier New" w:cs="Courier New" w:eastAsia="Courier New" w:hAnsi="Courier New"/>
          <w:sz w:val="16"/>
          <w:szCs w:val="16"/>
          <w:color w:val="auto"/>
        </w:rPr>
        <w:t>Undertaking for Costs</w:t>
      </w:r>
      <w:r>
        <w:rPr>
          <w:sz w:val="20"/>
          <w:szCs w:val="20"/>
          <w:color w:val="auto"/>
        </w:rPr>
        <w:tab/>
      </w:r>
      <w:r>
        <w:rPr>
          <w:rFonts w:ascii="Courier New" w:cs="Courier New" w:eastAsia="Courier New" w:hAnsi="Courier New"/>
          <w:sz w:val="16"/>
          <w:szCs w:val="16"/>
          <w:color w:val="auto"/>
        </w:rPr>
        <w:t>38</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515.</w:t>
      </w:r>
      <w:r>
        <w:rPr>
          <w:sz w:val="20"/>
          <w:szCs w:val="20"/>
          <w:color w:val="auto"/>
        </w:rPr>
        <w:tab/>
      </w:r>
      <w:r>
        <w:rPr>
          <w:rFonts w:ascii="Courier New" w:cs="Courier New" w:eastAsia="Courier New" w:hAnsi="Courier New"/>
          <w:sz w:val="16"/>
          <w:szCs w:val="16"/>
          <w:color w:val="auto"/>
        </w:rPr>
        <w:t>Waiver of Usury, Stay or Extension Laws</w:t>
      </w:r>
      <w:r>
        <w:rPr>
          <w:sz w:val="20"/>
          <w:szCs w:val="20"/>
          <w:color w:val="auto"/>
        </w:rPr>
        <w:tab/>
      </w:r>
      <w:r>
        <w:rPr>
          <w:rFonts w:ascii="Courier New" w:cs="Courier New" w:eastAsia="Courier New" w:hAnsi="Courier New"/>
          <w:sz w:val="16"/>
          <w:szCs w:val="16"/>
          <w:color w:val="auto"/>
        </w:rPr>
        <w:t>38</w:t>
      </w:r>
    </w:p>
    <w:p>
      <w:pPr>
        <w:spacing w:after="0" w:line="188" w:lineRule="exact"/>
        <w:rPr>
          <w:sz w:val="20"/>
          <w:szCs w:val="20"/>
          <w:color w:val="auto"/>
        </w:rPr>
      </w:pPr>
    </w:p>
    <w:p>
      <w:pPr>
        <w:spacing w:after="0"/>
        <w:tabs>
          <w:tab w:leader="dot" w:pos="11220" w:val="left"/>
        </w:tabs>
        <w:rPr>
          <w:sz w:val="20"/>
          <w:szCs w:val="20"/>
          <w:color w:val="auto"/>
        </w:rPr>
      </w:pPr>
      <w:r>
        <w:rPr>
          <w:rFonts w:ascii="Courier New" w:cs="Courier New" w:eastAsia="Courier New" w:hAnsi="Courier New"/>
          <w:sz w:val="16"/>
          <w:szCs w:val="16"/>
          <w:color w:val="auto"/>
        </w:rPr>
        <w:t>ARTICLE SIX - THE TRUSTEE</w:t>
      </w:r>
      <w:r>
        <w:rPr>
          <w:sz w:val="20"/>
          <w:szCs w:val="20"/>
          <w:color w:val="auto"/>
        </w:rPr>
        <w:tab/>
      </w:r>
      <w:r>
        <w:rPr>
          <w:rFonts w:ascii="Courier New" w:cs="Courier New" w:eastAsia="Courier New" w:hAnsi="Courier New"/>
          <w:sz w:val="16"/>
          <w:szCs w:val="16"/>
          <w:color w:val="auto"/>
        </w:rPr>
        <w:t>39</w:t>
      </w:r>
    </w:p>
    <w:p>
      <w:pPr>
        <w:spacing w:after="0" w:line="188"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601.</w:t>
      </w:r>
      <w:r>
        <w:rPr>
          <w:sz w:val="20"/>
          <w:szCs w:val="20"/>
          <w:color w:val="auto"/>
        </w:rPr>
        <w:tab/>
      </w:r>
      <w:r>
        <w:rPr>
          <w:rFonts w:ascii="Courier New" w:cs="Courier New" w:eastAsia="Courier New" w:hAnsi="Courier New"/>
          <w:sz w:val="16"/>
          <w:szCs w:val="16"/>
          <w:color w:val="auto"/>
        </w:rPr>
        <w:t>Certain Duties and Responsibilities</w:t>
      </w:r>
      <w:r>
        <w:rPr>
          <w:sz w:val="20"/>
          <w:szCs w:val="20"/>
          <w:color w:val="auto"/>
        </w:rPr>
        <w:tab/>
      </w:r>
      <w:r>
        <w:rPr>
          <w:rFonts w:ascii="Courier New" w:cs="Courier New" w:eastAsia="Courier New" w:hAnsi="Courier New"/>
          <w:sz w:val="16"/>
          <w:szCs w:val="16"/>
          <w:color w:val="auto"/>
        </w:rPr>
        <w:t>39</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602.</w:t>
      </w:r>
      <w:r>
        <w:rPr>
          <w:sz w:val="20"/>
          <w:szCs w:val="20"/>
          <w:color w:val="auto"/>
        </w:rPr>
        <w:tab/>
      </w:r>
      <w:r>
        <w:rPr>
          <w:rFonts w:ascii="Courier New" w:cs="Courier New" w:eastAsia="Courier New" w:hAnsi="Courier New"/>
          <w:sz w:val="16"/>
          <w:szCs w:val="16"/>
          <w:color w:val="auto"/>
        </w:rPr>
        <w:t>Notice of Defaults</w:t>
      </w:r>
      <w:r>
        <w:rPr>
          <w:sz w:val="20"/>
          <w:szCs w:val="20"/>
          <w:color w:val="auto"/>
        </w:rPr>
        <w:tab/>
      </w:r>
      <w:r>
        <w:rPr>
          <w:rFonts w:ascii="Courier New" w:cs="Courier New" w:eastAsia="Courier New" w:hAnsi="Courier New"/>
          <w:sz w:val="16"/>
          <w:szCs w:val="16"/>
          <w:color w:val="auto"/>
        </w:rPr>
        <w:t>39</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603.</w:t>
      </w:r>
      <w:r>
        <w:rPr>
          <w:sz w:val="20"/>
          <w:szCs w:val="20"/>
          <w:color w:val="auto"/>
        </w:rPr>
        <w:tab/>
      </w:r>
      <w:r>
        <w:rPr>
          <w:rFonts w:ascii="Courier New" w:cs="Courier New" w:eastAsia="Courier New" w:hAnsi="Courier New"/>
          <w:sz w:val="16"/>
          <w:szCs w:val="16"/>
          <w:color w:val="auto"/>
        </w:rPr>
        <w:t>Certain Rights of Trustee</w:t>
      </w:r>
      <w:r>
        <w:rPr>
          <w:sz w:val="20"/>
          <w:szCs w:val="20"/>
          <w:color w:val="auto"/>
        </w:rPr>
        <w:tab/>
      </w:r>
      <w:r>
        <w:rPr>
          <w:rFonts w:ascii="Courier New" w:cs="Courier New" w:eastAsia="Courier New" w:hAnsi="Courier New"/>
          <w:sz w:val="16"/>
          <w:szCs w:val="16"/>
          <w:color w:val="auto"/>
        </w:rPr>
        <w:t>39</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604.</w:t>
      </w:r>
      <w:r>
        <w:rPr>
          <w:sz w:val="20"/>
          <w:szCs w:val="20"/>
          <w:color w:val="auto"/>
        </w:rPr>
        <w:tab/>
      </w:r>
      <w:r>
        <w:rPr>
          <w:rFonts w:ascii="Courier New" w:cs="Courier New" w:eastAsia="Courier New" w:hAnsi="Courier New"/>
          <w:sz w:val="16"/>
          <w:szCs w:val="16"/>
          <w:color w:val="auto"/>
        </w:rPr>
        <w:t>Not Responsible for Recitals or Issuance of Securities</w:t>
      </w:r>
      <w:r>
        <w:rPr>
          <w:sz w:val="20"/>
          <w:szCs w:val="20"/>
          <w:color w:val="auto"/>
        </w:rPr>
        <w:tab/>
      </w:r>
      <w:r>
        <w:rPr>
          <w:rFonts w:ascii="Courier New" w:cs="Courier New" w:eastAsia="Courier New" w:hAnsi="Courier New"/>
          <w:sz w:val="16"/>
          <w:szCs w:val="16"/>
          <w:color w:val="auto"/>
        </w:rPr>
        <w:t>40</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605.</w:t>
      </w:r>
      <w:r>
        <w:rPr>
          <w:sz w:val="20"/>
          <w:szCs w:val="20"/>
          <w:color w:val="auto"/>
        </w:rPr>
        <w:tab/>
      </w:r>
      <w:r>
        <w:rPr>
          <w:rFonts w:ascii="Courier New" w:cs="Courier New" w:eastAsia="Courier New" w:hAnsi="Courier New"/>
          <w:sz w:val="16"/>
          <w:szCs w:val="16"/>
          <w:color w:val="auto"/>
        </w:rPr>
        <w:t>May Hold Securities and Act as Trustee Under Other Indentures</w:t>
      </w:r>
      <w:r>
        <w:rPr>
          <w:sz w:val="20"/>
          <w:szCs w:val="20"/>
          <w:color w:val="auto"/>
        </w:rPr>
        <w:tab/>
      </w:r>
      <w:r>
        <w:rPr>
          <w:rFonts w:ascii="Courier New" w:cs="Courier New" w:eastAsia="Courier New" w:hAnsi="Courier New"/>
          <w:sz w:val="16"/>
          <w:szCs w:val="16"/>
          <w:color w:val="auto"/>
        </w:rPr>
        <w:t>40</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606.</w:t>
      </w:r>
      <w:r>
        <w:rPr>
          <w:sz w:val="20"/>
          <w:szCs w:val="20"/>
          <w:color w:val="auto"/>
        </w:rPr>
        <w:tab/>
      </w:r>
      <w:r>
        <w:rPr>
          <w:rFonts w:ascii="Courier New" w:cs="Courier New" w:eastAsia="Courier New" w:hAnsi="Courier New"/>
          <w:sz w:val="16"/>
          <w:szCs w:val="16"/>
          <w:color w:val="auto"/>
        </w:rPr>
        <w:t>Money Held in Trust</w:t>
      </w:r>
      <w:r>
        <w:rPr>
          <w:sz w:val="20"/>
          <w:szCs w:val="20"/>
          <w:color w:val="auto"/>
        </w:rPr>
        <w:tab/>
      </w:r>
      <w:r>
        <w:rPr>
          <w:rFonts w:ascii="Courier New" w:cs="Courier New" w:eastAsia="Courier New" w:hAnsi="Courier New"/>
          <w:sz w:val="16"/>
          <w:szCs w:val="16"/>
          <w:color w:val="auto"/>
        </w:rPr>
        <w:t>41</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607.</w:t>
      </w:r>
      <w:r>
        <w:rPr>
          <w:sz w:val="20"/>
          <w:szCs w:val="20"/>
          <w:color w:val="auto"/>
        </w:rPr>
        <w:tab/>
      </w:r>
      <w:r>
        <w:rPr>
          <w:rFonts w:ascii="Courier New" w:cs="Courier New" w:eastAsia="Courier New" w:hAnsi="Courier New"/>
          <w:sz w:val="16"/>
          <w:szCs w:val="16"/>
          <w:color w:val="auto"/>
        </w:rPr>
        <w:t>Compensation and Reimbursement</w:t>
      </w:r>
      <w:r>
        <w:rPr>
          <w:sz w:val="20"/>
          <w:szCs w:val="20"/>
          <w:color w:val="auto"/>
        </w:rPr>
        <w:tab/>
      </w:r>
      <w:r>
        <w:rPr>
          <w:rFonts w:ascii="Courier New" w:cs="Courier New" w:eastAsia="Courier New" w:hAnsi="Courier New"/>
          <w:sz w:val="16"/>
          <w:szCs w:val="16"/>
          <w:color w:val="auto"/>
        </w:rPr>
        <w:t>41</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608.</w:t>
      </w:r>
      <w:r>
        <w:rPr>
          <w:sz w:val="20"/>
          <w:szCs w:val="20"/>
          <w:color w:val="auto"/>
        </w:rPr>
        <w:tab/>
      </w:r>
      <w:r>
        <w:rPr>
          <w:rFonts w:ascii="Courier New" w:cs="Courier New" w:eastAsia="Courier New" w:hAnsi="Courier New"/>
          <w:sz w:val="16"/>
          <w:szCs w:val="16"/>
          <w:color w:val="auto"/>
        </w:rPr>
        <w:t>Conflicting Interests</w:t>
      </w:r>
      <w:r>
        <w:rPr>
          <w:sz w:val="20"/>
          <w:szCs w:val="20"/>
          <w:color w:val="auto"/>
        </w:rPr>
        <w:tab/>
      </w:r>
      <w:r>
        <w:rPr>
          <w:rFonts w:ascii="Courier New" w:cs="Courier New" w:eastAsia="Courier New" w:hAnsi="Courier New"/>
          <w:sz w:val="16"/>
          <w:szCs w:val="16"/>
          <w:color w:val="auto"/>
        </w:rPr>
        <w:t>41</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609.</w:t>
      </w:r>
      <w:r>
        <w:rPr>
          <w:sz w:val="20"/>
          <w:szCs w:val="20"/>
          <w:color w:val="auto"/>
        </w:rPr>
        <w:tab/>
      </w:r>
      <w:r>
        <w:rPr>
          <w:rFonts w:ascii="Courier New" w:cs="Courier New" w:eastAsia="Courier New" w:hAnsi="Courier New"/>
          <w:sz w:val="16"/>
          <w:szCs w:val="16"/>
          <w:color w:val="auto"/>
        </w:rPr>
        <w:t>Corporate Trustee Required; Eligibility</w:t>
      </w:r>
      <w:r>
        <w:rPr>
          <w:sz w:val="20"/>
          <w:szCs w:val="20"/>
          <w:color w:val="auto"/>
        </w:rPr>
        <w:tab/>
      </w:r>
      <w:r>
        <w:rPr>
          <w:rFonts w:ascii="Courier New" w:cs="Courier New" w:eastAsia="Courier New" w:hAnsi="Courier New"/>
          <w:sz w:val="16"/>
          <w:szCs w:val="16"/>
          <w:color w:val="auto"/>
        </w:rPr>
        <w:t>41</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610.</w:t>
      </w:r>
      <w:r>
        <w:rPr>
          <w:sz w:val="20"/>
          <w:szCs w:val="20"/>
          <w:color w:val="auto"/>
        </w:rPr>
        <w:tab/>
      </w:r>
      <w:r>
        <w:rPr>
          <w:rFonts w:ascii="Courier New" w:cs="Courier New" w:eastAsia="Courier New" w:hAnsi="Courier New"/>
          <w:sz w:val="16"/>
          <w:szCs w:val="16"/>
          <w:color w:val="auto"/>
        </w:rPr>
        <w:t>Resignation and Removal; Appointment of Successor</w:t>
      </w:r>
      <w:r>
        <w:rPr>
          <w:sz w:val="20"/>
          <w:szCs w:val="20"/>
          <w:color w:val="auto"/>
        </w:rPr>
        <w:tab/>
      </w:r>
      <w:r>
        <w:rPr>
          <w:rFonts w:ascii="Courier New" w:cs="Courier New" w:eastAsia="Courier New" w:hAnsi="Courier New"/>
          <w:sz w:val="16"/>
          <w:szCs w:val="16"/>
          <w:color w:val="auto"/>
        </w:rPr>
        <w:t>42</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611.</w:t>
      </w:r>
      <w:r>
        <w:rPr>
          <w:sz w:val="20"/>
          <w:szCs w:val="20"/>
          <w:color w:val="auto"/>
        </w:rPr>
        <w:tab/>
      </w:r>
      <w:r>
        <w:rPr>
          <w:rFonts w:ascii="Courier New" w:cs="Courier New" w:eastAsia="Courier New" w:hAnsi="Courier New"/>
          <w:sz w:val="16"/>
          <w:szCs w:val="16"/>
          <w:color w:val="auto"/>
        </w:rPr>
        <w:t>Acceptance of Appointment by Successor</w:t>
      </w:r>
      <w:r>
        <w:rPr>
          <w:sz w:val="20"/>
          <w:szCs w:val="20"/>
          <w:color w:val="auto"/>
        </w:rPr>
        <w:tab/>
      </w:r>
      <w:r>
        <w:rPr>
          <w:rFonts w:ascii="Courier New" w:cs="Courier New" w:eastAsia="Courier New" w:hAnsi="Courier New"/>
          <w:sz w:val="16"/>
          <w:szCs w:val="16"/>
          <w:color w:val="auto"/>
        </w:rPr>
        <w:t>43</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612.</w:t>
      </w:r>
      <w:r>
        <w:rPr>
          <w:sz w:val="20"/>
          <w:szCs w:val="20"/>
          <w:color w:val="auto"/>
        </w:rPr>
        <w:tab/>
      </w:r>
      <w:r>
        <w:rPr>
          <w:rFonts w:ascii="Courier New" w:cs="Courier New" w:eastAsia="Courier New" w:hAnsi="Courier New"/>
          <w:sz w:val="16"/>
          <w:szCs w:val="16"/>
          <w:color w:val="auto"/>
        </w:rPr>
        <w:t>Merger, Conversion, Consolidation or Succession to Business</w:t>
      </w:r>
      <w:r>
        <w:rPr>
          <w:sz w:val="20"/>
          <w:szCs w:val="20"/>
          <w:color w:val="auto"/>
        </w:rPr>
        <w:tab/>
      </w:r>
      <w:r>
        <w:rPr>
          <w:rFonts w:ascii="Courier New" w:cs="Courier New" w:eastAsia="Courier New" w:hAnsi="Courier New"/>
          <w:sz w:val="16"/>
          <w:szCs w:val="16"/>
          <w:color w:val="auto"/>
        </w:rPr>
        <w:t>44</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613.</w:t>
      </w:r>
      <w:r>
        <w:rPr>
          <w:sz w:val="20"/>
          <w:szCs w:val="20"/>
          <w:color w:val="auto"/>
        </w:rPr>
        <w:tab/>
      </w:r>
      <w:r>
        <w:rPr>
          <w:rFonts w:ascii="Courier New" w:cs="Courier New" w:eastAsia="Courier New" w:hAnsi="Courier New"/>
          <w:sz w:val="16"/>
          <w:szCs w:val="16"/>
          <w:color w:val="auto"/>
        </w:rPr>
        <w:t>Preferential Collection of Claims Against Company</w:t>
      </w:r>
      <w:r>
        <w:rPr>
          <w:sz w:val="20"/>
          <w:szCs w:val="20"/>
          <w:color w:val="auto"/>
        </w:rPr>
        <w:tab/>
      </w:r>
      <w:r>
        <w:rPr>
          <w:rFonts w:ascii="Courier New" w:cs="Courier New" w:eastAsia="Courier New" w:hAnsi="Courier New"/>
          <w:sz w:val="16"/>
          <w:szCs w:val="16"/>
          <w:color w:val="auto"/>
        </w:rPr>
        <w:t>44</w:t>
      </w:r>
    </w:p>
    <w:p>
      <w:pPr>
        <w:spacing w:after="0" w:line="4" w:lineRule="exact"/>
        <w:rPr>
          <w:sz w:val="20"/>
          <w:szCs w:val="20"/>
          <w:color w:val="auto"/>
        </w:rPr>
      </w:pPr>
    </w:p>
    <w:p>
      <w:pPr>
        <w:ind w:left="860"/>
        <w:spacing w:after="0"/>
        <w:tabs>
          <w:tab w:leader="none" w:pos="2960" w:val="left"/>
          <w:tab w:leader="dot" w:pos="11220" w:val="left"/>
        </w:tabs>
        <w:rPr>
          <w:sz w:val="20"/>
          <w:szCs w:val="20"/>
          <w:color w:val="auto"/>
        </w:rPr>
      </w:pPr>
      <w:r>
        <w:rPr>
          <w:rFonts w:ascii="Courier New" w:cs="Courier New" w:eastAsia="Courier New" w:hAnsi="Courier New"/>
          <w:sz w:val="16"/>
          <w:szCs w:val="16"/>
          <w:color w:val="auto"/>
        </w:rPr>
        <w:t>SECTION 614.</w:t>
      </w:r>
      <w:r>
        <w:rPr>
          <w:sz w:val="20"/>
          <w:szCs w:val="20"/>
          <w:color w:val="auto"/>
        </w:rPr>
        <w:tab/>
      </w:r>
      <w:r>
        <w:rPr>
          <w:rFonts w:ascii="Courier New" w:cs="Courier New" w:eastAsia="Courier New" w:hAnsi="Courier New"/>
          <w:sz w:val="16"/>
          <w:szCs w:val="16"/>
          <w:color w:val="auto"/>
        </w:rPr>
        <w:t>Appointment of Authenticating Agent</w:t>
      </w:r>
      <w:r>
        <w:rPr>
          <w:sz w:val="20"/>
          <w:szCs w:val="20"/>
          <w:color w:val="auto"/>
        </w:rPr>
        <w:tab/>
      </w:r>
      <w:r>
        <w:rPr>
          <w:rFonts w:ascii="Courier New" w:cs="Courier New" w:eastAsia="Courier New" w:hAnsi="Courier New"/>
          <w:sz w:val="16"/>
          <w:szCs w:val="16"/>
          <w:color w:val="auto"/>
        </w:rPr>
        <w:t>44</w:t>
      </w:r>
    </w:p>
    <w:p>
      <w:pPr>
        <w:spacing w:after="0" w:line="200" w:lineRule="exact"/>
        <w:rPr>
          <w:sz w:val="20"/>
          <w:szCs w:val="20"/>
          <w:color w:val="auto"/>
        </w:rPr>
      </w:pPr>
    </w:p>
    <w:p>
      <w:pPr>
        <w:spacing w:after="0" w:line="358"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1440"/>
          </w:cols>
          <w:pgMar w:left="240" w:top="670" w:right="219" w:bottom="1440" w:gutter="0" w:footer="0" w:header="0"/>
        </w:sectPr>
      </w:pPr>
    </w:p>
    <w:bookmarkStart w:id="174" w:name="page175"/>
    <w:bookmarkEnd w:id="174"/>
    <w:p>
      <w:pPr>
        <w:jc w:val="center"/>
        <w:spacing w:after="0"/>
        <w:rPr>
          <w:sz w:val="20"/>
          <w:szCs w:val="20"/>
          <w:color w:val="auto"/>
        </w:rPr>
      </w:pPr>
      <w:r>
        <w:rPr>
          <w:rFonts w:ascii="Courier New" w:cs="Courier New" w:eastAsia="Courier New" w:hAnsi="Courier New"/>
          <w:sz w:val="16"/>
          <w:szCs w:val="16"/>
          <w:color w:val="auto"/>
        </w:rPr>
        <w:t>TABLE OF CONTENTS</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Page</w:t>
            </w:r>
          </w:p>
        </w:tc>
      </w:tr>
      <w:tr>
        <w:trPr>
          <w:trHeight w:val="185"/>
        </w:trPr>
        <w:tc>
          <w:tcPr>
            <w:tcW w:w="1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739"/>
        </w:trPr>
        <w:tc>
          <w:tcPr>
            <w:tcW w:w="110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ARTICLE SEVEN - HOLDERS' LISTS AND REPORTS BY TRUSTEE AND COMPANY....................................................</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370"/>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701.</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Company to Furnish Trustee Names and Addresses of Holders.............................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702.</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Preservation of Information; Communications to Holders................................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703.</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Reports by Trustee....................................................................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704.</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Reports by Company....................................................................</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370"/>
        </w:trPr>
        <w:tc>
          <w:tcPr>
            <w:tcW w:w="29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9"/>
              </w:rPr>
              <w:t>ARTICLE EIGHT - CONSOLIDATION,</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MERGER, CONVEYANCE, TRANSFER OR LEASE.................................................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370"/>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801.</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Company May Consolidate, Etc., Only on Certain Terms..................................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802.</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Successor Substituted.................................................................</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370"/>
        </w:trPr>
        <w:tc>
          <w:tcPr>
            <w:tcW w:w="110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ARTICLE NINE - SUPPLEMENTAL INDENTURES...............................................................................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370"/>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901.</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Supplemental Indentures Without Consent of Holders....................................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902.</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Supplemental Indentures With Consent of Holders.......................................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903.</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Execution of Supplemental Indentures..................................................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904.</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Effect of Supplemental Indentures.....................................................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905.</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Conformity with Trust Indenture Act...................................................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906.</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Reference in Securities to Supplemental Indentures....................................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907.</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Subordination Unimpaired..............................................................</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370"/>
        </w:trPr>
        <w:tc>
          <w:tcPr>
            <w:tcW w:w="110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ARTICLE TEN - COVENANTS..............................................................................................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370"/>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1001.</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Payment of Principal, Premium and Interest............................................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1002.</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Maintenance of Office or Agency.......................................................</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1003.</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Money for Securities Payments to Be Held in Trust.....................................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1004.</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Statement by Officers as to Default...................................................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1005.</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Existence.............................................................................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1006.</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Maintenance of Properties.............................................................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1007.</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Payment of Taxes and Other Claims.....................................................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1008.</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Waiver of Certain Covenants...........................................................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54</w:t>
            </w:r>
          </w:p>
        </w:tc>
      </w:tr>
      <w:tr>
        <w:trPr>
          <w:trHeight w:val="370"/>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w w:val="98"/>
              </w:rPr>
              <w:t>ARTICLE ELEVEN -</w:t>
            </w:r>
          </w:p>
        </w:tc>
        <w:tc>
          <w:tcPr>
            <w:tcW w:w="14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REDEMPTION OF</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SECURITIES............................................................................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370"/>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1101.</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Applicability of Article..............................................................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1102.</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Election to Redeem; Notice to Trustee.................................................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400" w:type="dxa"/>
            <w:vAlign w:val="bottom"/>
          </w:tcPr>
          <w:p>
            <w:pPr>
              <w:ind w:left="60"/>
              <w:spacing w:after="0"/>
              <w:rPr>
                <w:sz w:val="20"/>
                <w:szCs w:val="20"/>
                <w:color w:val="auto"/>
              </w:rPr>
            </w:pPr>
            <w:r>
              <w:rPr>
                <w:rFonts w:ascii="Courier New" w:cs="Courier New" w:eastAsia="Courier New" w:hAnsi="Courier New"/>
                <w:sz w:val="16"/>
                <w:szCs w:val="16"/>
                <w:color w:val="auto"/>
              </w:rPr>
              <w:t>1103.</w:t>
            </w:r>
          </w:p>
        </w:tc>
        <w:tc>
          <w:tcPr>
            <w:tcW w:w="8060" w:type="dxa"/>
            <w:vAlign w:val="bottom"/>
          </w:tcPr>
          <w:p>
            <w:pPr>
              <w:jc w:val="right"/>
              <w:spacing w:after="0"/>
              <w:rPr>
                <w:sz w:val="20"/>
                <w:szCs w:val="20"/>
                <w:color w:val="auto"/>
              </w:rPr>
            </w:pPr>
            <w:r>
              <w:rPr>
                <w:rFonts w:ascii="Courier New" w:cs="Courier New" w:eastAsia="Courier New" w:hAnsi="Courier New"/>
                <w:sz w:val="16"/>
                <w:szCs w:val="16"/>
                <w:color w:val="auto"/>
                <w:w w:val="97"/>
              </w:rPr>
              <w:t>Selection by Trustee of Securities to Be Redeemed.....................................</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1440"/>
          </w:cols>
          <w:pgMar w:left="240" w:top="669" w:right="219" w:bottom="1440" w:gutter="0" w:footer="0" w:header="0"/>
        </w:sectPr>
      </w:pPr>
    </w:p>
    <w:bookmarkStart w:id="175" w:name="page176"/>
    <w:bookmarkEnd w:id="175"/>
    <w:p>
      <w:pPr>
        <w:jc w:val="center"/>
        <w:spacing w:after="0"/>
        <w:rPr>
          <w:sz w:val="20"/>
          <w:szCs w:val="20"/>
          <w:color w:val="auto"/>
        </w:rPr>
      </w:pPr>
      <w:r>
        <w:rPr>
          <w:rFonts w:ascii="Courier New" w:cs="Courier New" w:eastAsia="Courier New" w:hAnsi="Courier New"/>
          <w:sz w:val="16"/>
          <w:szCs w:val="16"/>
          <w:color w:val="auto"/>
        </w:rPr>
        <w:t>TABLE OF CONTENTS</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Page</w:t>
            </w:r>
          </w:p>
        </w:tc>
      </w:tr>
      <w:tr>
        <w:trPr>
          <w:trHeight w:val="185"/>
        </w:trPr>
        <w:tc>
          <w:tcPr>
            <w:tcW w:w="1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554"/>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1104.</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Notice of Redemption..................................................................</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1105.</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Deposit of Redemption Price...........................................................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1106.</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Securities Payable on Redemption Date.................................................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1107.</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Securities Redeemed in Part...........................................................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370"/>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w w:val="98"/>
              </w:rPr>
              <w:t>ARTICLE TWELVE -</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w w:val="97"/>
              </w:rPr>
              <w:t>SINKING FUNDS</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370"/>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1201.</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Applicability of Article..............................................................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1202.</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Satisfaction of Sinking Fund Payments with Securities.................................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1203.</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Redemption of Securities for Sinking Fund.............................................</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554"/>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w w:val="98"/>
              </w:rPr>
              <w:t>ARTICLE THIRTEEN</w:t>
            </w:r>
          </w:p>
        </w:tc>
        <w:tc>
          <w:tcPr>
            <w:tcW w:w="94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 DEFEASANCE AND COVENANT DEFEASANCE................................................................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370"/>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1301.</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Company's Option to Effect Defeasance or Covenant Defeasance..........................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1302.</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Defeasance and Discharge..............................................................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1303.</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Covenant Defeasance...................................................................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1304.</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Conditions to Defeasance or Covenant Defeasance.......................................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1305.</w:t>
            </w:r>
          </w:p>
        </w:tc>
        <w:tc>
          <w:tcPr>
            <w:tcW w:w="8160" w:type="dxa"/>
            <w:vAlign w:val="bottom"/>
          </w:tcPr>
          <w:p>
            <w:pPr>
              <w:jc w:val="right"/>
              <w:ind w:right="1440"/>
              <w:spacing w:after="0"/>
              <w:rPr>
                <w:sz w:val="20"/>
                <w:szCs w:val="20"/>
                <w:color w:val="auto"/>
              </w:rPr>
            </w:pPr>
            <w:r>
              <w:rPr>
                <w:rFonts w:ascii="Courier New" w:cs="Courier New" w:eastAsia="Courier New" w:hAnsi="Courier New"/>
                <w:sz w:val="16"/>
                <w:szCs w:val="16"/>
                <w:color w:val="auto"/>
              </w:rPr>
              <w:t>Deposited Money and U.S. Government Obligations to be Held in Trust;</w:t>
            </w:r>
          </w:p>
        </w:tc>
        <w:tc>
          <w:tcPr>
            <w:tcW w:w="400" w:type="dxa"/>
            <w:vAlign w:val="bottom"/>
          </w:tcPr>
          <w:p>
            <w:pPr>
              <w:spacing w:after="0"/>
              <w:rPr>
                <w:sz w:val="16"/>
                <w:szCs w:val="16"/>
                <w:color w:val="auto"/>
              </w:rPr>
            </w:pPr>
          </w:p>
        </w:tc>
      </w:tr>
      <w:tr>
        <w:trPr>
          <w:trHeight w:val="185"/>
        </w:trPr>
        <w:tc>
          <w:tcPr>
            <w:tcW w:w="1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rPr>
              <w:t>Miscellaneous Provisions............................................................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1306.</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Reinstatement.........................................................................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370"/>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w w:val="98"/>
              </w:rPr>
              <w:t>ARTICLE FOURTEEN</w:t>
            </w:r>
          </w:p>
        </w:tc>
        <w:tc>
          <w:tcPr>
            <w:tcW w:w="94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 CONVERSION OF SECURITIES..........................................................................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370"/>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1401.</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Applicability of Article..............................................................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1402.</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Exercise of Conversion Privilege......................................................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1403.</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No Fractional Shares..................................................................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1404.</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Adjustment of Conversion Price........................................................</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1405.</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Notice of Certain Corporate Actions...................................................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1406.</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Reservation of Shares of Common Stock.................................................</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1407.</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Payment of Certain Taxes Upon Conversion..............................................</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1408.</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Nonassessability......................................................................</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1409.</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Provision in Case of Consolidation, Merger or Sale of Assets..........................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1410.</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Duties of Trustee Regarding Conversion................................................</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1411.</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Repayment of Certain Funds Upon Conversion............................................</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r>
        <w:trPr>
          <w:trHeight w:val="370"/>
        </w:trPr>
        <w:tc>
          <w:tcPr>
            <w:tcW w:w="110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ARTICLE FIFTEEN - SUBORDINATION OF SECURITIES........................................................................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r>
        <w:trPr>
          <w:trHeight w:val="370"/>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1501.</w:t>
            </w:r>
          </w:p>
        </w:tc>
        <w:tc>
          <w:tcPr>
            <w:tcW w:w="8160" w:type="dxa"/>
            <w:vAlign w:val="bottom"/>
          </w:tcPr>
          <w:p>
            <w:pPr>
              <w:jc w:val="right"/>
              <w:spacing w:after="0"/>
              <w:rPr>
                <w:sz w:val="20"/>
                <w:szCs w:val="20"/>
                <w:color w:val="auto"/>
              </w:rPr>
            </w:pPr>
            <w:r>
              <w:rPr>
                <w:rFonts w:ascii="Courier New" w:cs="Courier New" w:eastAsia="Courier New" w:hAnsi="Courier New"/>
                <w:sz w:val="16"/>
                <w:szCs w:val="16"/>
                <w:color w:val="auto"/>
                <w:w w:val="98"/>
              </w:rPr>
              <w:t>Securities Subordinate to Senior Debt.................................................</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bl>
    <w:p>
      <w:pPr>
        <w:spacing w:after="0" w:line="200" w:lineRule="exact"/>
        <w:rPr>
          <w:sz w:val="20"/>
          <w:szCs w:val="20"/>
          <w:color w:val="auto"/>
        </w:rPr>
      </w:pPr>
    </w:p>
    <w:p>
      <w:pPr>
        <w:spacing w:after="0" w:line="35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1440"/>
          </w:cols>
          <w:pgMar w:left="240" w:top="670" w:right="219" w:bottom="1440" w:gutter="0" w:footer="0" w:header="0"/>
        </w:sectPr>
      </w:pPr>
    </w:p>
    <w:bookmarkStart w:id="176" w:name="page177"/>
    <w:bookmarkEnd w:id="176"/>
    <w:p>
      <w:pPr>
        <w:ind w:left="4040"/>
        <w:spacing w:after="0"/>
        <w:rPr>
          <w:sz w:val="20"/>
          <w:szCs w:val="20"/>
          <w:color w:val="auto"/>
        </w:rPr>
      </w:pPr>
      <w:r>
        <w:rPr>
          <w:rFonts w:ascii="Courier New" w:cs="Courier New" w:eastAsia="Courier New" w:hAnsi="Courier New"/>
          <w:sz w:val="16"/>
          <w:szCs w:val="16"/>
          <w:color w:val="auto"/>
        </w:rPr>
        <w:t>TABLE OF CONTENTS</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(continued)</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tabs>
          <w:tab w:leader="none" w:pos="2100" w:val="left"/>
          <w:tab w:leader="dot" w:pos="10360" w:val="left"/>
        </w:tabs>
        <w:rPr>
          <w:sz w:val="20"/>
          <w:szCs w:val="20"/>
          <w:color w:val="auto"/>
        </w:rPr>
      </w:pPr>
      <w:r>
        <w:rPr>
          <w:rFonts w:ascii="Courier New" w:cs="Courier New" w:eastAsia="Courier New" w:hAnsi="Courier New"/>
          <w:sz w:val="16"/>
          <w:szCs w:val="16"/>
          <w:color w:val="auto"/>
        </w:rPr>
        <w:t>SECTION 1502.</w:t>
      </w:r>
      <w:r>
        <w:rPr>
          <w:sz w:val="20"/>
          <w:szCs w:val="20"/>
          <w:color w:val="auto"/>
        </w:rPr>
        <w:tab/>
      </w:r>
      <w:r>
        <w:rPr>
          <w:rFonts w:ascii="Courier New" w:cs="Courier New" w:eastAsia="Courier New" w:hAnsi="Courier New"/>
          <w:sz w:val="16"/>
          <w:szCs w:val="16"/>
          <w:color w:val="auto"/>
        </w:rPr>
        <w:t>Payment Over of Proceeds Upon Dissolution, Etc</w:t>
      </w:r>
      <w:r>
        <w:rPr>
          <w:sz w:val="20"/>
          <w:szCs w:val="20"/>
          <w:color w:val="auto"/>
        </w:rPr>
        <w:tab/>
      </w:r>
      <w:r>
        <w:rPr>
          <w:rFonts w:ascii="Courier New" w:cs="Courier New" w:eastAsia="Courier New" w:hAnsi="Courier New"/>
          <w:sz w:val="16"/>
          <w:szCs w:val="16"/>
          <w:color w:val="auto"/>
        </w:rPr>
        <w:t>68</w:t>
      </w:r>
    </w:p>
    <w:p>
      <w:pPr>
        <w:spacing w:after="0" w:line="4" w:lineRule="exact"/>
        <w:rPr>
          <w:sz w:val="20"/>
          <w:szCs w:val="20"/>
          <w:color w:val="auto"/>
        </w:rPr>
      </w:pPr>
    </w:p>
    <w:p>
      <w:pPr>
        <w:spacing w:after="0"/>
        <w:tabs>
          <w:tab w:leader="none" w:pos="2100" w:val="left"/>
          <w:tab w:leader="dot" w:pos="10360" w:val="left"/>
        </w:tabs>
        <w:rPr>
          <w:sz w:val="20"/>
          <w:szCs w:val="20"/>
          <w:color w:val="auto"/>
        </w:rPr>
      </w:pPr>
      <w:r>
        <w:rPr>
          <w:rFonts w:ascii="Courier New" w:cs="Courier New" w:eastAsia="Courier New" w:hAnsi="Courier New"/>
          <w:sz w:val="16"/>
          <w:szCs w:val="16"/>
          <w:color w:val="auto"/>
        </w:rPr>
        <w:t>SECTION 1503.</w:t>
      </w:r>
      <w:r>
        <w:rPr>
          <w:sz w:val="20"/>
          <w:szCs w:val="20"/>
          <w:color w:val="auto"/>
        </w:rPr>
        <w:tab/>
      </w:r>
      <w:r>
        <w:rPr>
          <w:rFonts w:ascii="Courier New" w:cs="Courier New" w:eastAsia="Courier New" w:hAnsi="Courier New"/>
          <w:sz w:val="16"/>
          <w:szCs w:val="16"/>
          <w:color w:val="auto"/>
        </w:rPr>
        <w:t>Prior Payment to Senior Debt Upon Acceleration of Securities</w:t>
      </w:r>
      <w:r>
        <w:rPr>
          <w:sz w:val="20"/>
          <w:szCs w:val="20"/>
          <w:color w:val="auto"/>
        </w:rPr>
        <w:tab/>
      </w:r>
      <w:r>
        <w:rPr>
          <w:rFonts w:ascii="Courier New" w:cs="Courier New" w:eastAsia="Courier New" w:hAnsi="Courier New"/>
          <w:sz w:val="16"/>
          <w:szCs w:val="16"/>
          <w:color w:val="auto"/>
        </w:rPr>
        <w:t>69</w:t>
      </w:r>
    </w:p>
    <w:p>
      <w:pPr>
        <w:spacing w:after="0" w:line="4" w:lineRule="exact"/>
        <w:rPr>
          <w:sz w:val="20"/>
          <w:szCs w:val="20"/>
          <w:color w:val="auto"/>
        </w:rPr>
      </w:pPr>
    </w:p>
    <w:p>
      <w:pPr>
        <w:spacing w:after="0"/>
        <w:tabs>
          <w:tab w:leader="none" w:pos="2100" w:val="left"/>
          <w:tab w:leader="dot" w:pos="10360" w:val="left"/>
        </w:tabs>
        <w:rPr>
          <w:sz w:val="20"/>
          <w:szCs w:val="20"/>
          <w:color w:val="auto"/>
        </w:rPr>
      </w:pPr>
      <w:r>
        <w:rPr>
          <w:rFonts w:ascii="Courier New" w:cs="Courier New" w:eastAsia="Courier New" w:hAnsi="Courier New"/>
          <w:sz w:val="16"/>
          <w:szCs w:val="16"/>
          <w:color w:val="auto"/>
        </w:rPr>
        <w:t>SECTION 1504.</w:t>
      </w:r>
      <w:r>
        <w:rPr>
          <w:sz w:val="20"/>
          <w:szCs w:val="20"/>
          <w:color w:val="auto"/>
        </w:rPr>
        <w:tab/>
      </w:r>
      <w:r>
        <w:rPr>
          <w:rFonts w:ascii="Courier New" w:cs="Courier New" w:eastAsia="Courier New" w:hAnsi="Courier New"/>
          <w:sz w:val="16"/>
          <w:szCs w:val="16"/>
          <w:color w:val="auto"/>
        </w:rPr>
        <w:t>No Payment in Certain Circumstances</w:t>
      </w:r>
      <w:r>
        <w:rPr>
          <w:sz w:val="20"/>
          <w:szCs w:val="20"/>
          <w:color w:val="auto"/>
        </w:rPr>
        <w:tab/>
      </w:r>
      <w:r>
        <w:rPr>
          <w:rFonts w:ascii="Courier New" w:cs="Courier New" w:eastAsia="Courier New" w:hAnsi="Courier New"/>
          <w:sz w:val="16"/>
          <w:szCs w:val="16"/>
          <w:color w:val="auto"/>
        </w:rPr>
        <w:t>70</w:t>
      </w:r>
    </w:p>
    <w:p>
      <w:pPr>
        <w:spacing w:after="0" w:line="4" w:lineRule="exact"/>
        <w:rPr>
          <w:sz w:val="20"/>
          <w:szCs w:val="20"/>
          <w:color w:val="auto"/>
        </w:rPr>
      </w:pPr>
    </w:p>
    <w:p>
      <w:pPr>
        <w:spacing w:after="0"/>
        <w:tabs>
          <w:tab w:leader="none" w:pos="2100" w:val="left"/>
          <w:tab w:leader="dot" w:pos="10360" w:val="left"/>
        </w:tabs>
        <w:rPr>
          <w:sz w:val="20"/>
          <w:szCs w:val="20"/>
          <w:color w:val="auto"/>
        </w:rPr>
      </w:pPr>
      <w:r>
        <w:rPr>
          <w:rFonts w:ascii="Courier New" w:cs="Courier New" w:eastAsia="Courier New" w:hAnsi="Courier New"/>
          <w:sz w:val="16"/>
          <w:szCs w:val="16"/>
          <w:color w:val="auto"/>
        </w:rPr>
        <w:t>SECTION 1505.</w:t>
      </w:r>
      <w:r>
        <w:rPr>
          <w:sz w:val="20"/>
          <w:szCs w:val="20"/>
          <w:color w:val="auto"/>
        </w:rPr>
        <w:tab/>
      </w:r>
      <w:r>
        <w:rPr>
          <w:rFonts w:ascii="Courier New" w:cs="Courier New" w:eastAsia="Courier New" w:hAnsi="Courier New"/>
          <w:sz w:val="16"/>
          <w:szCs w:val="16"/>
          <w:color w:val="auto"/>
        </w:rPr>
        <w:t>Payment Permitted If No Default</w:t>
      </w:r>
      <w:r>
        <w:rPr>
          <w:sz w:val="20"/>
          <w:szCs w:val="20"/>
          <w:color w:val="auto"/>
        </w:rPr>
        <w:tab/>
      </w:r>
      <w:r>
        <w:rPr>
          <w:rFonts w:ascii="Courier New" w:cs="Courier New" w:eastAsia="Courier New" w:hAnsi="Courier New"/>
          <w:sz w:val="16"/>
          <w:szCs w:val="16"/>
          <w:color w:val="auto"/>
        </w:rPr>
        <w:t>71</w:t>
      </w:r>
    </w:p>
    <w:p>
      <w:pPr>
        <w:spacing w:after="0" w:line="4" w:lineRule="exact"/>
        <w:rPr>
          <w:sz w:val="20"/>
          <w:szCs w:val="20"/>
          <w:color w:val="auto"/>
        </w:rPr>
      </w:pPr>
    </w:p>
    <w:p>
      <w:pPr>
        <w:spacing w:after="0"/>
        <w:tabs>
          <w:tab w:leader="none" w:pos="2100" w:val="left"/>
          <w:tab w:leader="dot" w:pos="10360" w:val="left"/>
        </w:tabs>
        <w:rPr>
          <w:sz w:val="20"/>
          <w:szCs w:val="20"/>
          <w:color w:val="auto"/>
        </w:rPr>
      </w:pPr>
      <w:r>
        <w:rPr>
          <w:rFonts w:ascii="Courier New" w:cs="Courier New" w:eastAsia="Courier New" w:hAnsi="Courier New"/>
          <w:sz w:val="16"/>
          <w:szCs w:val="16"/>
          <w:color w:val="auto"/>
        </w:rPr>
        <w:t>SECTION 1506.</w:t>
      </w:r>
      <w:r>
        <w:rPr>
          <w:sz w:val="20"/>
          <w:szCs w:val="20"/>
          <w:color w:val="auto"/>
        </w:rPr>
        <w:tab/>
      </w:r>
      <w:r>
        <w:rPr>
          <w:rFonts w:ascii="Courier New" w:cs="Courier New" w:eastAsia="Courier New" w:hAnsi="Courier New"/>
          <w:sz w:val="16"/>
          <w:szCs w:val="16"/>
          <w:color w:val="auto"/>
        </w:rPr>
        <w:t>Subrogation to Rights of Holders of Senior Debt</w:t>
      </w:r>
      <w:r>
        <w:rPr>
          <w:sz w:val="20"/>
          <w:szCs w:val="20"/>
          <w:color w:val="auto"/>
        </w:rPr>
        <w:tab/>
      </w:r>
      <w:r>
        <w:rPr>
          <w:rFonts w:ascii="Courier New" w:cs="Courier New" w:eastAsia="Courier New" w:hAnsi="Courier New"/>
          <w:sz w:val="16"/>
          <w:szCs w:val="16"/>
          <w:color w:val="auto"/>
        </w:rPr>
        <w:t>71</w:t>
      </w:r>
    </w:p>
    <w:p>
      <w:pPr>
        <w:spacing w:after="0" w:line="4" w:lineRule="exact"/>
        <w:rPr>
          <w:sz w:val="20"/>
          <w:szCs w:val="20"/>
          <w:color w:val="auto"/>
        </w:rPr>
      </w:pPr>
    </w:p>
    <w:p>
      <w:pPr>
        <w:spacing w:after="0"/>
        <w:tabs>
          <w:tab w:leader="none" w:pos="2100" w:val="left"/>
          <w:tab w:leader="dot" w:pos="10360" w:val="left"/>
        </w:tabs>
        <w:rPr>
          <w:sz w:val="20"/>
          <w:szCs w:val="20"/>
          <w:color w:val="auto"/>
        </w:rPr>
      </w:pPr>
      <w:r>
        <w:rPr>
          <w:rFonts w:ascii="Courier New" w:cs="Courier New" w:eastAsia="Courier New" w:hAnsi="Courier New"/>
          <w:sz w:val="16"/>
          <w:szCs w:val="16"/>
          <w:color w:val="auto"/>
        </w:rPr>
        <w:t>SECTION 1507.</w:t>
      </w:r>
      <w:r>
        <w:rPr>
          <w:sz w:val="20"/>
          <w:szCs w:val="20"/>
          <w:color w:val="auto"/>
        </w:rPr>
        <w:tab/>
      </w:r>
      <w:r>
        <w:rPr>
          <w:rFonts w:ascii="Courier New" w:cs="Courier New" w:eastAsia="Courier New" w:hAnsi="Courier New"/>
          <w:sz w:val="16"/>
          <w:szCs w:val="16"/>
          <w:color w:val="auto"/>
        </w:rPr>
        <w:t>Provisions Solely to Define Relative Rights</w:t>
      </w:r>
      <w:r>
        <w:rPr>
          <w:sz w:val="20"/>
          <w:szCs w:val="20"/>
          <w:color w:val="auto"/>
        </w:rPr>
        <w:tab/>
      </w:r>
      <w:r>
        <w:rPr>
          <w:rFonts w:ascii="Courier New" w:cs="Courier New" w:eastAsia="Courier New" w:hAnsi="Courier New"/>
          <w:sz w:val="16"/>
          <w:szCs w:val="16"/>
          <w:color w:val="auto"/>
        </w:rPr>
        <w:t>71</w:t>
      </w:r>
    </w:p>
    <w:p>
      <w:pPr>
        <w:spacing w:after="0" w:line="4" w:lineRule="exact"/>
        <w:rPr>
          <w:sz w:val="20"/>
          <w:szCs w:val="20"/>
          <w:color w:val="auto"/>
        </w:rPr>
      </w:pPr>
    </w:p>
    <w:p>
      <w:pPr>
        <w:spacing w:after="0"/>
        <w:tabs>
          <w:tab w:leader="none" w:pos="2100" w:val="left"/>
          <w:tab w:leader="dot" w:pos="10360" w:val="left"/>
        </w:tabs>
        <w:rPr>
          <w:sz w:val="20"/>
          <w:szCs w:val="20"/>
          <w:color w:val="auto"/>
        </w:rPr>
      </w:pPr>
      <w:r>
        <w:rPr>
          <w:rFonts w:ascii="Courier New" w:cs="Courier New" w:eastAsia="Courier New" w:hAnsi="Courier New"/>
          <w:sz w:val="16"/>
          <w:szCs w:val="16"/>
          <w:color w:val="auto"/>
        </w:rPr>
        <w:t>SECTION 1508.</w:t>
      </w:r>
      <w:r>
        <w:rPr>
          <w:sz w:val="20"/>
          <w:szCs w:val="20"/>
          <w:color w:val="auto"/>
        </w:rPr>
        <w:tab/>
      </w:r>
      <w:r>
        <w:rPr>
          <w:rFonts w:ascii="Courier New" w:cs="Courier New" w:eastAsia="Courier New" w:hAnsi="Courier New"/>
          <w:sz w:val="16"/>
          <w:szCs w:val="16"/>
          <w:color w:val="auto"/>
        </w:rPr>
        <w:t>Trustee to Effectuate Subordination</w:t>
      </w:r>
      <w:r>
        <w:rPr>
          <w:sz w:val="20"/>
          <w:szCs w:val="20"/>
          <w:color w:val="auto"/>
        </w:rPr>
        <w:tab/>
      </w:r>
      <w:r>
        <w:rPr>
          <w:rFonts w:ascii="Courier New" w:cs="Courier New" w:eastAsia="Courier New" w:hAnsi="Courier New"/>
          <w:sz w:val="16"/>
          <w:szCs w:val="16"/>
          <w:color w:val="auto"/>
        </w:rPr>
        <w:t>72</w:t>
      </w:r>
    </w:p>
    <w:p>
      <w:pPr>
        <w:spacing w:after="0" w:line="4" w:lineRule="exact"/>
        <w:rPr>
          <w:sz w:val="20"/>
          <w:szCs w:val="20"/>
          <w:color w:val="auto"/>
        </w:rPr>
      </w:pPr>
    </w:p>
    <w:p>
      <w:pPr>
        <w:spacing w:after="0"/>
        <w:tabs>
          <w:tab w:leader="none" w:pos="2100" w:val="left"/>
          <w:tab w:leader="dot" w:pos="10360" w:val="left"/>
        </w:tabs>
        <w:rPr>
          <w:sz w:val="20"/>
          <w:szCs w:val="20"/>
          <w:color w:val="auto"/>
        </w:rPr>
      </w:pPr>
      <w:r>
        <w:rPr>
          <w:rFonts w:ascii="Courier New" w:cs="Courier New" w:eastAsia="Courier New" w:hAnsi="Courier New"/>
          <w:sz w:val="16"/>
          <w:szCs w:val="16"/>
          <w:color w:val="auto"/>
        </w:rPr>
        <w:t>SECTION 1509.</w:t>
      </w:r>
      <w:r>
        <w:rPr>
          <w:sz w:val="20"/>
          <w:szCs w:val="20"/>
          <w:color w:val="auto"/>
        </w:rPr>
        <w:tab/>
      </w:r>
      <w:r>
        <w:rPr>
          <w:rFonts w:ascii="Courier New" w:cs="Courier New" w:eastAsia="Courier New" w:hAnsi="Courier New"/>
          <w:sz w:val="16"/>
          <w:szCs w:val="16"/>
          <w:color w:val="auto"/>
        </w:rPr>
        <w:t>No Waiver of Subordination Provisions</w:t>
      </w:r>
      <w:r>
        <w:rPr>
          <w:sz w:val="20"/>
          <w:szCs w:val="20"/>
          <w:color w:val="auto"/>
        </w:rPr>
        <w:tab/>
      </w:r>
      <w:r>
        <w:rPr>
          <w:rFonts w:ascii="Courier New" w:cs="Courier New" w:eastAsia="Courier New" w:hAnsi="Courier New"/>
          <w:sz w:val="16"/>
          <w:szCs w:val="16"/>
          <w:color w:val="auto"/>
        </w:rPr>
        <w:t>72</w:t>
      </w:r>
    </w:p>
    <w:p>
      <w:pPr>
        <w:spacing w:after="0" w:line="4" w:lineRule="exact"/>
        <w:rPr>
          <w:sz w:val="20"/>
          <w:szCs w:val="20"/>
          <w:color w:val="auto"/>
        </w:rPr>
      </w:pPr>
    </w:p>
    <w:p>
      <w:pPr>
        <w:spacing w:after="0"/>
        <w:tabs>
          <w:tab w:leader="none" w:pos="2100" w:val="left"/>
          <w:tab w:leader="dot" w:pos="10360" w:val="left"/>
        </w:tabs>
        <w:rPr>
          <w:sz w:val="20"/>
          <w:szCs w:val="20"/>
          <w:color w:val="auto"/>
        </w:rPr>
      </w:pPr>
      <w:r>
        <w:rPr>
          <w:rFonts w:ascii="Courier New" w:cs="Courier New" w:eastAsia="Courier New" w:hAnsi="Courier New"/>
          <w:sz w:val="16"/>
          <w:szCs w:val="16"/>
          <w:color w:val="auto"/>
        </w:rPr>
        <w:t>SECTION 1510.</w:t>
      </w:r>
      <w:r>
        <w:rPr>
          <w:sz w:val="20"/>
          <w:szCs w:val="20"/>
          <w:color w:val="auto"/>
        </w:rPr>
        <w:tab/>
      </w:r>
      <w:r>
        <w:rPr>
          <w:rFonts w:ascii="Courier New" w:cs="Courier New" w:eastAsia="Courier New" w:hAnsi="Courier New"/>
          <w:sz w:val="16"/>
          <w:szCs w:val="16"/>
          <w:color w:val="auto"/>
        </w:rPr>
        <w:t>Notice to Trustee</w:t>
      </w:r>
      <w:r>
        <w:rPr>
          <w:sz w:val="20"/>
          <w:szCs w:val="20"/>
          <w:color w:val="auto"/>
        </w:rPr>
        <w:tab/>
      </w:r>
      <w:r>
        <w:rPr>
          <w:rFonts w:ascii="Courier New" w:cs="Courier New" w:eastAsia="Courier New" w:hAnsi="Courier New"/>
          <w:sz w:val="16"/>
          <w:szCs w:val="16"/>
          <w:color w:val="auto"/>
        </w:rPr>
        <w:t>72</w:t>
      </w:r>
    </w:p>
    <w:p>
      <w:pPr>
        <w:spacing w:after="0" w:line="4" w:lineRule="exact"/>
        <w:rPr>
          <w:sz w:val="20"/>
          <w:szCs w:val="20"/>
          <w:color w:val="auto"/>
        </w:rPr>
      </w:pPr>
    </w:p>
    <w:p>
      <w:pPr>
        <w:spacing w:after="0"/>
        <w:tabs>
          <w:tab w:leader="none" w:pos="2100" w:val="left"/>
          <w:tab w:leader="dot" w:pos="10360" w:val="left"/>
        </w:tabs>
        <w:rPr>
          <w:sz w:val="20"/>
          <w:szCs w:val="20"/>
          <w:color w:val="auto"/>
        </w:rPr>
      </w:pPr>
      <w:r>
        <w:rPr>
          <w:rFonts w:ascii="Courier New" w:cs="Courier New" w:eastAsia="Courier New" w:hAnsi="Courier New"/>
          <w:sz w:val="16"/>
          <w:szCs w:val="16"/>
          <w:color w:val="auto"/>
        </w:rPr>
        <w:t>SECTION 1511.</w:t>
      </w:r>
      <w:r>
        <w:rPr>
          <w:sz w:val="20"/>
          <w:szCs w:val="20"/>
          <w:color w:val="auto"/>
        </w:rPr>
        <w:tab/>
      </w:r>
      <w:r>
        <w:rPr>
          <w:rFonts w:ascii="Courier New" w:cs="Courier New" w:eastAsia="Courier New" w:hAnsi="Courier New"/>
          <w:sz w:val="16"/>
          <w:szCs w:val="16"/>
          <w:color w:val="auto"/>
        </w:rPr>
        <w:t>Reliance on Judicial Order or Certificate of Liquidating Agent</w:t>
      </w:r>
      <w:r>
        <w:rPr>
          <w:sz w:val="20"/>
          <w:szCs w:val="20"/>
          <w:color w:val="auto"/>
        </w:rPr>
        <w:tab/>
      </w:r>
      <w:r>
        <w:rPr>
          <w:rFonts w:ascii="Courier New" w:cs="Courier New" w:eastAsia="Courier New" w:hAnsi="Courier New"/>
          <w:sz w:val="16"/>
          <w:szCs w:val="16"/>
          <w:color w:val="auto"/>
        </w:rPr>
        <w:t>73</w:t>
      </w:r>
    </w:p>
    <w:p>
      <w:pPr>
        <w:spacing w:after="0" w:line="4" w:lineRule="exact"/>
        <w:rPr>
          <w:sz w:val="20"/>
          <w:szCs w:val="20"/>
          <w:color w:val="auto"/>
        </w:rPr>
      </w:pPr>
    </w:p>
    <w:p>
      <w:pPr>
        <w:spacing w:after="0"/>
        <w:tabs>
          <w:tab w:leader="none" w:pos="2100" w:val="left"/>
          <w:tab w:leader="dot" w:pos="10360" w:val="left"/>
        </w:tabs>
        <w:rPr>
          <w:sz w:val="20"/>
          <w:szCs w:val="20"/>
          <w:color w:val="auto"/>
        </w:rPr>
      </w:pPr>
      <w:r>
        <w:rPr>
          <w:rFonts w:ascii="Courier New" w:cs="Courier New" w:eastAsia="Courier New" w:hAnsi="Courier New"/>
          <w:sz w:val="16"/>
          <w:szCs w:val="16"/>
          <w:color w:val="auto"/>
        </w:rPr>
        <w:t>SECTION 1512.</w:t>
      </w:r>
      <w:r>
        <w:rPr>
          <w:sz w:val="20"/>
          <w:szCs w:val="20"/>
          <w:color w:val="auto"/>
        </w:rPr>
        <w:tab/>
      </w:r>
      <w:r>
        <w:rPr>
          <w:rFonts w:ascii="Courier New" w:cs="Courier New" w:eastAsia="Courier New" w:hAnsi="Courier New"/>
          <w:sz w:val="16"/>
          <w:szCs w:val="16"/>
          <w:color w:val="auto"/>
        </w:rPr>
        <w:t>Trustee Not Fiduciary for Holders of Senior Debt</w:t>
      </w:r>
      <w:r>
        <w:rPr>
          <w:sz w:val="20"/>
          <w:szCs w:val="20"/>
          <w:color w:val="auto"/>
        </w:rPr>
        <w:tab/>
      </w:r>
      <w:r>
        <w:rPr>
          <w:rFonts w:ascii="Courier New" w:cs="Courier New" w:eastAsia="Courier New" w:hAnsi="Courier New"/>
          <w:sz w:val="16"/>
          <w:szCs w:val="16"/>
          <w:color w:val="auto"/>
        </w:rPr>
        <w:t>73</w:t>
      </w:r>
    </w:p>
    <w:p>
      <w:pPr>
        <w:spacing w:after="0" w:line="4" w:lineRule="exact"/>
        <w:rPr>
          <w:sz w:val="20"/>
          <w:szCs w:val="20"/>
          <w:color w:val="auto"/>
        </w:rPr>
      </w:pPr>
    </w:p>
    <w:p>
      <w:pPr>
        <w:spacing w:after="0"/>
        <w:tabs>
          <w:tab w:leader="none" w:pos="2100" w:val="left"/>
          <w:tab w:leader="dot" w:pos="10360" w:val="left"/>
        </w:tabs>
        <w:rPr>
          <w:sz w:val="20"/>
          <w:szCs w:val="20"/>
          <w:color w:val="auto"/>
        </w:rPr>
      </w:pPr>
      <w:r>
        <w:rPr>
          <w:rFonts w:ascii="Courier New" w:cs="Courier New" w:eastAsia="Courier New" w:hAnsi="Courier New"/>
          <w:sz w:val="16"/>
          <w:szCs w:val="16"/>
          <w:color w:val="auto"/>
        </w:rPr>
        <w:t>SECTION 1513.</w:t>
      </w:r>
      <w:r>
        <w:rPr>
          <w:sz w:val="20"/>
          <w:szCs w:val="20"/>
          <w:color w:val="auto"/>
        </w:rPr>
        <w:tab/>
      </w:r>
      <w:r>
        <w:rPr>
          <w:rFonts w:ascii="Courier New" w:cs="Courier New" w:eastAsia="Courier New" w:hAnsi="Courier New"/>
          <w:sz w:val="16"/>
          <w:szCs w:val="16"/>
          <w:color w:val="auto"/>
        </w:rPr>
        <w:t>Rights of Trustee as Holder of Senior Debt; Preservation of Trustee's Rights</w:t>
      </w:r>
      <w:r>
        <w:rPr>
          <w:sz w:val="20"/>
          <w:szCs w:val="20"/>
          <w:color w:val="auto"/>
        </w:rPr>
        <w:tab/>
      </w:r>
      <w:r>
        <w:rPr>
          <w:rFonts w:ascii="Courier New" w:cs="Courier New" w:eastAsia="Courier New" w:hAnsi="Courier New"/>
          <w:sz w:val="16"/>
          <w:szCs w:val="16"/>
          <w:color w:val="auto"/>
        </w:rPr>
        <w:t>73</w:t>
      </w:r>
    </w:p>
    <w:p>
      <w:pPr>
        <w:spacing w:after="0" w:line="4" w:lineRule="exact"/>
        <w:rPr>
          <w:sz w:val="20"/>
          <w:szCs w:val="20"/>
          <w:color w:val="auto"/>
        </w:rPr>
      </w:pPr>
    </w:p>
    <w:p>
      <w:pPr>
        <w:spacing w:after="0"/>
        <w:tabs>
          <w:tab w:leader="none" w:pos="2100" w:val="left"/>
          <w:tab w:leader="dot" w:pos="10360" w:val="left"/>
        </w:tabs>
        <w:rPr>
          <w:sz w:val="20"/>
          <w:szCs w:val="20"/>
          <w:color w:val="auto"/>
        </w:rPr>
      </w:pPr>
      <w:r>
        <w:rPr>
          <w:rFonts w:ascii="Courier New" w:cs="Courier New" w:eastAsia="Courier New" w:hAnsi="Courier New"/>
          <w:sz w:val="16"/>
          <w:szCs w:val="16"/>
          <w:color w:val="auto"/>
        </w:rPr>
        <w:t>SECTION 1514.</w:t>
      </w:r>
      <w:r>
        <w:rPr>
          <w:sz w:val="20"/>
          <w:szCs w:val="20"/>
          <w:color w:val="auto"/>
        </w:rPr>
        <w:tab/>
      </w:r>
      <w:r>
        <w:rPr>
          <w:rFonts w:ascii="Courier New" w:cs="Courier New" w:eastAsia="Courier New" w:hAnsi="Courier New"/>
          <w:sz w:val="16"/>
          <w:szCs w:val="16"/>
          <w:color w:val="auto"/>
        </w:rPr>
        <w:t>Article Applicable to Paying Agents</w:t>
      </w:r>
      <w:r>
        <w:rPr>
          <w:sz w:val="20"/>
          <w:szCs w:val="20"/>
          <w:color w:val="auto"/>
        </w:rPr>
        <w:tab/>
      </w:r>
      <w:r>
        <w:rPr>
          <w:rFonts w:ascii="Courier New" w:cs="Courier New" w:eastAsia="Courier New" w:hAnsi="Courier New"/>
          <w:sz w:val="16"/>
          <w:szCs w:val="16"/>
          <w:color w:val="auto"/>
        </w:rPr>
        <w:t>73</w:t>
      </w:r>
    </w:p>
    <w:p>
      <w:pPr>
        <w:spacing w:after="0" w:line="4" w:lineRule="exact"/>
        <w:rPr>
          <w:sz w:val="20"/>
          <w:szCs w:val="20"/>
          <w:color w:val="auto"/>
        </w:rPr>
      </w:pPr>
    </w:p>
    <w:p>
      <w:pPr>
        <w:spacing w:after="0"/>
        <w:tabs>
          <w:tab w:leader="none" w:pos="2100" w:val="left"/>
          <w:tab w:leader="dot" w:pos="10360" w:val="left"/>
        </w:tabs>
        <w:rPr>
          <w:sz w:val="20"/>
          <w:szCs w:val="20"/>
          <w:color w:val="auto"/>
        </w:rPr>
      </w:pPr>
      <w:r>
        <w:rPr>
          <w:rFonts w:ascii="Courier New" w:cs="Courier New" w:eastAsia="Courier New" w:hAnsi="Courier New"/>
          <w:sz w:val="16"/>
          <w:szCs w:val="16"/>
          <w:color w:val="auto"/>
        </w:rPr>
        <w:t>SECTION 1515.</w:t>
      </w:r>
      <w:r>
        <w:rPr>
          <w:sz w:val="20"/>
          <w:szCs w:val="20"/>
          <w:color w:val="auto"/>
        </w:rPr>
        <w:tab/>
      </w:r>
      <w:r>
        <w:rPr>
          <w:rFonts w:ascii="Courier New" w:cs="Courier New" w:eastAsia="Courier New" w:hAnsi="Courier New"/>
          <w:sz w:val="16"/>
          <w:szCs w:val="16"/>
          <w:color w:val="auto"/>
        </w:rPr>
        <w:t>Certain Conversions Deemed Payment</w:t>
      </w:r>
      <w:r>
        <w:rPr>
          <w:sz w:val="20"/>
          <w:szCs w:val="20"/>
          <w:color w:val="auto"/>
        </w:rPr>
        <w:tab/>
      </w:r>
      <w:r>
        <w:rPr>
          <w:rFonts w:ascii="Courier New" w:cs="Courier New" w:eastAsia="Courier New" w:hAnsi="Courier New"/>
          <w:sz w:val="16"/>
          <w:szCs w:val="16"/>
          <w:color w:val="auto"/>
        </w:rPr>
        <w:t>74</w:t>
      </w:r>
    </w:p>
    <w:p>
      <w:pPr>
        <w:spacing w:after="0" w:line="4" w:lineRule="exact"/>
        <w:rPr>
          <w:sz w:val="20"/>
          <w:szCs w:val="20"/>
          <w:color w:val="auto"/>
        </w:rPr>
      </w:pPr>
    </w:p>
    <w:p>
      <w:pPr>
        <w:spacing w:after="0"/>
        <w:tabs>
          <w:tab w:leader="none" w:pos="2100" w:val="left"/>
          <w:tab w:leader="dot" w:pos="10360" w:val="left"/>
        </w:tabs>
        <w:rPr>
          <w:sz w:val="20"/>
          <w:szCs w:val="20"/>
          <w:color w:val="auto"/>
        </w:rPr>
      </w:pPr>
      <w:r>
        <w:rPr>
          <w:rFonts w:ascii="Courier New" w:cs="Courier New" w:eastAsia="Courier New" w:hAnsi="Courier New"/>
          <w:sz w:val="16"/>
          <w:szCs w:val="16"/>
          <w:color w:val="auto"/>
        </w:rPr>
        <w:t>SECTION 1516.</w:t>
      </w:r>
      <w:r>
        <w:rPr>
          <w:sz w:val="20"/>
          <w:szCs w:val="20"/>
          <w:color w:val="auto"/>
        </w:rPr>
        <w:tab/>
      </w:r>
      <w:r>
        <w:rPr>
          <w:rFonts w:ascii="Courier New" w:cs="Courier New" w:eastAsia="Courier New" w:hAnsi="Courier New"/>
          <w:sz w:val="16"/>
          <w:szCs w:val="16"/>
          <w:color w:val="auto"/>
        </w:rPr>
        <w:t>Obligations of Company and Right to Convert Unconditional</w:t>
      </w:r>
      <w:r>
        <w:rPr>
          <w:sz w:val="20"/>
          <w:szCs w:val="20"/>
          <w:color w:val="auto"/>
        </w:rPr>
        <w:tab/>
      </w:r>
      <w:r>
        <w:rPr>
          <w:rFonts w:ascii="Courier New" w:cs="Courier New" w:eastAsia="Courier New" w:hAnsi="Courier New"/>
          <w:sz w:val="16"/>
          <w:szCs w:val="16"/>
          <w:color w:val="auto"/>
        </w:rPr>
        <w:t>74</w:t>
      </w:r>
    </w:p>
    <w:p>
      <w:pPr>
        <w:spacing w:after="0" w:line="200" w:lineRule="exact"/>
        <w:rPr>
          <w:sz w:val="20"/>
          <w:szCs w:val="20"/>
          <w:color w:val="auto"/>
        </w:rPr>
      </w:pPr>
    </w:p>
    <w:p>
      <w:pPr>
        <w:spacing w:after="0" w:line="358" w:lineRule="exact"/>
        <w:rPr>
          <w:sz w:val="20"/>
          <w:szCs w:val="20"/>
          <w:color w:val="auto"/>
        </w:rPr>
      </w:pPr>
    </w:p>
    <w:p>
      <w:pPr>
        <w:ind w:left="472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580"/>
          </w:cols>
          <w:pgMar w:left="1100" w:top="669" w:right="219" w:bottom="1440" w:gutter="0" w:footer="0" w:header="0"/>
        </w:sectPr>
      </w:pPr>
    </w:p>
    <w:bookmarkStart w:id="177" w:name="page178"/>
    <w:bookmarkEnd w:id="177"/>
    <w:p>
      <w:pPr>
        <w:jc w:val="center"/>
        <w:ind w:right="2439"/>
        <w:spacing w:after="0"/>
        <w:rPr>
          <w:sz w:val="20"/>
          <w:szCs w:val="20"/>
          <w:color w:val="auto"/>
        </w:rPr>
      </w:pPr>
      <w:r>
        <w:rPr>
          <w:rFonts w:ascii="Courier New" w:cs="Courier New" w:eastAsia="Courier New" w:hAnsi="Courier New"/>
          <w:sz w:val="16"/>
          <w:szCs w:val="16"/>
          <w:color w:val="auto"/>
        </w:rPr>
        <w:t>Micron Technology, Inc.</w:t>
      </w:r>
    </w:p>
    <w:p>
      <w:pPr>
        <w:spacing w:after="0" w:line="190" w:lineRule="exact"/>
        <w:rPr>
          <w:sz w:val="20"/>
          <w:szCs w:val="20"/>
          <w:color w:val="auto"/>
        </w:rPr>
      </w:pPr>
    </w:p>
    <w:p>
      <w:pPr>
        <w:ind w:left="960" w:right="3499" w:firstLine="96"/>
        <w:spacing w:after="0" w:line="274" w:lineRule="auto"/>
        <w:rPr>
          <w:sz w:val="20"/>
          <w:szCs w:val="20"/>
          <w:color w:val="auto"/>
        </w:rPr>
      </w:pPr>
      <w:r>
        <w:rPr>
          <w:rFonts w:ascii="Courier New" w:cs="Courier New" w:eastAsia="Courier New" w:hAnsi="Courier New"/>
          <w:sz w:val="15"/>
          <w:szCs w:val="15"/>
          <w:color w:val="auto"/>
        </w:rPr>
        <w:t>Certain Sections of this Indenture relating to Sections 310 through 318, inclusive, of the Trust Indenture Act of 1939:</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0"/>
        <w:spacing w:after="0"/>
        <w:tabs>
          <w:tab w:leader="none" w:pos="6420" w:val="left"/>
        </w:tabs>
        <w:rPr>
          <w:sz w:val="20"/>
          <w:szCs w:val="20"/>
          <w:color w:val="auto"/>
        </w:rPr>
      </w:pPr>
      <w:r>
        <w:rPr>
          <w:rFonts w:ascii="Courier New" w:cs="Courier New" w:eastAsia="Courier New" w:hAnsi="Courier New"/>
          <w:sz w:val="16"/>
          <w:szCs w:val="16"/>
          <w:color w:val="auto"/>
        </w:rPr>
        <w:t>Trust Indenture</w:t>
      </w:r>
      <w:r>
        <w:rPr>
          <w:sz w:val="20"/>
          <w:szCs w:val="20"/>
          <w:color w:val="auto"/>
        </w:rPr>
        <w:tab/>
      </w:r>
      <w:r>
        <w:rPr>
          <w:rFonts w:ascii="Courier New" w:cs="Courier New" w:eastAsia="Courier New" w:hAnsi="Courier New"/>
          <w:sz w:val="15"/>
          <w:szCs w:val="15"/>
          <w:color w:val="auto"/>
        </w:rPr>
        <w:t>Indenture</w:t>
      </w:r>
    </w:p>
    <w:p>
      <w:pPr>
        <w:spacing w:after="0" w:line="4" w:lineRule="exact"/>
        <w:rPr>
          <w:sz w:val="20"/>
          <w:szCs w:val="20"/>
          <w:color w:val="auto"/>
        </w:rPr>
      </w:pPr>
    </w:p>
    <w:p>
      <w:pPr>
        <w:ind w:left="280"/>
        <w:spacing w:after="0"/>
        <w:tabs>
          <w:tab w:leader="none" w:pos="6520" w:val="left"/>
        </w:tabs>
        <w:rPr>
          <w:sz w:val="20"/>
          <w:szCs w:val="20"/>
          <w:color w:val="auto"/>
        </w:rPr>
      </w:pPr>
      <w:r>
        <w:rPr>
          <w:rFonts w:ascii="Courier New" w:cs="Courier New" w:eastAsia="Courier New" w:hAnsi="Courier New"/>
          <w:sz w:val="16"/>
          <w:szCs w:val="16"/>
          <w:color w:val="auto"/>
        </w:rPr>
        <w:t>Act Section</w:t>
      </w:r>
      <w:r>
        <w:rPr>
          <w:sz w:val="20"/>
          <w:szCs w:val="20"/>
          <w:color w:val="auto"/>
        </w:rPr>
        <w:tab/>
      </w:r>
      <w:r>
        <w:rPr>
          <w:rFonts w:ascii="Courier New" w:cs="Courier New" w:eastAsia="Courier New" w:hAnsi="Courier New"/>
          <w:sz w:val="15"/>
          <w:szCs w:val="15"/>
          <w:color w:val="auto"/>
        </w:rPr>
        <w:t>Section</w:t>
      </w:r>
    </w:p>
    <w:p>
      <w:pPr>
        <w:spacing w:after="0" w:line="4" w:lineRule="exact"/>
        <w:rPr>
          <w:sz w:val="20"/>
          <w:szCs w:val="20"/>
          <w:color w:val="auto"/>
        </w:rPr>
      </w:pPr>
    </w:p>
    <w:p>
      <w:pPr>
        <w:spacing w:after="0"/>
        <w:tabs>
          <w:tab w:leader="none" w:pos="612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88" w:lineRule="exact"/>
        <w:rPr>
          <w:sz w:val="20"/>
          <w:szCs w:val="20"/>
          <w:color w:val="auto"/>
        </w:rPr>
      </w:pPr>
    </w:p>
    <w:p>
      <w:pPr>
        <w:ind w:left="200"/>
        <w:spacing w:after="0"/>
        <w:tabs>
          <w:tab w:leader="dot" w:pos="5940" w:val="left"/>
        </w:tabs>
        <w:rPr>
          <w:sz w:val="20"/>
          <w:szCs w:val="20"/>
          <w:color w:val="auto"/>
        </w:rPr>
      </w:pPr>
      <w:r>
        <w:rPr>
          <w:rFonts w:ascii="Courier New" w:cs="Courier New" w:eastAsia="Courier New" w:hAnsi="Courier New"/>
          <w:sz w:val="16"/>
          <w:szCs w:val="16"/>
          <w:color w:val="auto"/>
        </w:rPr>
        <w:t>ss.310(a)(1)</w:t>
      </w:r>
      <w:r>
        <w:rPr>
          <w:sz w:val="20"/>
          <w:szCs w:val="20"/>
          <w:color w:val="auto"/>
        </w:rPr>
        <w:tab/>
      </w:r>
      <w:r>
        <w:rPr>
          <w:rFonts w:ascii="Courier New" w:cs="Courier New" w:eastAsia="Courier New" w:hAnsi="Courier New"/>
          <w:sz w:val="15"/>
          <w:szCs w:val="15"/>
          <w:color w:val="auto"/>
        </w:rPr>
        <w:t>609</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(a)(2)</w:t>
      </w:r>
      <w:r>
        <w:rPr>
          <w:sz w:val="20"/>
          <w:szCs w:val="20"/>
          <w:color w:val="auto"/>
        </w:rPr>
        <w:tab/>
      </w:r>
      <w:r>
        <w:rPr>
          <w:rFonts w:ascii="Courier New" w:cs="Courier New" w:eastAsia="Courier New" w:hAnsi="Courier New"/>
          <w:sz w:val="15"/>
          <w:szCs w:val="15"/>
          <w:color w:val="auto"/>
        </w:rPr>
        <w:t>609</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(a)(3)</w:t>
      </w:r>
      <w:r>
        <w:rPr>
          <w:sz w:val="20"/>
          <w:szCs w:val="20"/>
          <w:color w:val="auto"/>
        </w:rPr>
        <w:tab/>
      </w:r>
      <w:r>
        <w:rPr>
          <w:rFonts w:ascii="Courier New" w:cs="Courier New" w:eastAsia="Courier New" w:hAnsi="Courier New"/>
          <w:sz w:val="15"/>
          <w:szCs w:val="15"/>
          <w:color w:val="auto"/>
        </w:rPr>
        <w:t>Not Applicable</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(a)(4)</w:t>
      </w:r>
      <w:r>
        <w:rPr>
          <w:sz w:val="20"/>
          <w:szCs w:val="20"/>
          <w:color w:val="auto"/>
        </w:rPr>
        <w:tab/>
      </w:r>
      <w:r>
        <w:rPr>
          <w:rFonts w:ascii="Courier New" w:cs="Courier New" w:eastAsia="Courier New" w:hAnsi="Courier New"/>
          <w:sz w:val="15"/>
          <w:szCs w:val="15"/>
          <w:color w:val="auto"/>
        </w:rPr>
        <w:t>Not Applicable</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5"/>
          <w:szCs w:val="15"/>
          <w:color w:val="auto"/>
        </w:rPr>
        <w:t>608, 610</w:t>
      </w:r>
    </w:p>
    <w:p>
      <w:pPr>
        <w:spacing w:after="0" w:line="4" w:lineRule="exact"/>
        <w:rPr>
          <w:sz w:val="20"/>
          <w:szCs w:val="20"/>
          <w:color w:val="auto"/>
        </w:rPr>
      </w:pPr>
    </w:p>
    <w:p>
      <w:pPr>
        <w:ind w:left="200"/>
        <w:spacing w:after="0"/>
        <w:tabs>
          <w:tab w:leader="dot" w:pos="5940" w:val="left"/>
        </w:tabs>
        <w:rPr>
          <w:sz w:val="20"/>
          <w:szCs w:val="20"/>
          <w:color w:val="auto"/>
        </w:rPr>
      </w:pPr>
      <w:r>
        <w:rPr>
          <w:rFonts w:ascii="Courier New" w:cs="Courier New" w:eastAsia="Courier New" w:hAnsi="Courier New"/>
          <w:sz w:val="16"/>
          <w:szCs w:val="16"/>
          <w:color w:val="auto"/>
        </w:rPr>
        <w:t>ss.311(a)</w:t>
      </w:r>
      <w:r>
        <w:rPr>
          <w:sz w:val="20"/>
          <w:szCs w:val="20"/>
          <w:color w:val="auto"/>
        </w:rPr>
        <w:tab/>
      </w:r>
      <w:r>
        <w:rPr>
          <w:rFonts w:ascii="Courier New" w:cs="Courier New" w:eastAsia="Courier New" w:hAnsi="Courier New"/>
          <w:sz w:val="15"/>
          <w:szCs w:val="15"/>
          <w:color w:val="auto"/>
        </w:rPr>
        <w:t>613</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5"/>
          <w:szCs w:val="15"/>
          <w:color w:val="auto"/>
        </w:rPr>
        <w:t>613</w:t>
      </w:r>
    </w:p>
    <w:p>
      <w:pPr>
        <w:spacing w:after="0" w:line="4" w:lineRule="exact"/>
        <w:rPr>
          <w:sz w:val="20"/>
          <w:szCs w:val="20"/>
          <w:color w:val="auto"/>
        </w:rPr>
      </w:pPr>
    </w:p>
    <w:p>
      <w:pPr>
        <w:ind w:left="200"/>
        <w:spacing w:after="0"/>
        <w:tabs>
          <w:tab w:leader="dot" w:pos="5940" w:val="left"/>
        </w:tabs>
        <w:rPr>
          <w:sz w:val="20"/>
          <w:szCs w:val="20"/>
          <w:color w:val="auto"/>
        </w:rPr>
      </w:pPr>
      <w:r>
        <w:rPr>
          <w:rFonts w:ascii="Courier New" w:cs="Courier New" w:eastAsia="Courier New" w:hAnsi="Courier New"/>
          <w:sz w:val="16"/>
          <w:szCs w:val="16"/>
          <w:color w:val="auto"/>
        </w:rPr>
        <w:t>ss.312(a)</w:t>
      </w:r>
      <w:r>
        <w:rPr>
          <w:sz w:val="20"/>
          <w:szCs w:val="20"/>
          <w:color w:val="auto"/>
        </w:rPr>
        <w:tab/>
      </w:r>
      <w:r>
        <w:rPr>
          <w:rFonts w:ascii="Courier New" w:cs="Courier New" w:eastAsia="Courier New" w:hAnsi="Courier New"/>
          <w:sz w:val="15"/>
          <w:szCs w:val="15"/>
          <w:color w:val="auto"/>
        </w:rPr>
        <w:t>701, 702</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5"/>
          <w:szCs w:val="15"/>
          <w:color w:val="auto"/>
        </w:rPr>
        <w:t>702</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5"/>
          <w:szCs w:val="15"/>
          <w:color w:val="auto"/>
        </w:rPr>
        <w:t>702</w:t>
      </w:r>
    </w:p>
    <w:p>
      <w:pPr>
        <w:spacing w:after="0" w:line="4" w:lineRule="exact"/>
        <w:rPr>
          <w:sz w:val="20"/>
          <w:szCs w:val="20"/>
          <w:color w:val="auto"/>
        </w:rPr>
      </w:pPr>
    </w:p>
    <w:p>
      <w:pPr>
        <w:ind w:left="200"/>
        <w:spacing w:after="0"/>
        <w:tabs>
          <w:tab w:leader="dot" w:pos="5940" w:val="left"/>
        </w:tabs>
        <w:rPr>
          <w:sz w:val="20"/>
          <w:szCs w:val="20"/>
          <w:color w:val="auto"/>
        </w:rPr>
      </w:pPr>
      <w:r>
        <w:rPr>
          <w:rFonts w:ascii="Courier New" w:cs="Courier New" w:eastAsia="Courier New" w:hAnsi="Courier New"/>
          <w:sz w:val="16"/>
          <w:szCs w:val="16"/>
          <w:color w:val="auto"/>
        </w:rPr>
        <w:t>ss.313(a)</w:t>
      </w:r>
      <w:r>
        <w:rPr>
          <w:sz w:val="20"/>
          <w:szCs w:val="20"/>
          <w:color w:val="auto"/>
        </w:rPr>
        <w:tab/>
      </w:r>
      <w:r>
        <w:rPr>
          <w:rFonts w:ascii="Courier New" w:cs="Courier New" w:eastAsia="Courier New" w:hAnsi="Courier New"/>
          <w:sz w:val="15"/>
          <w:szCs w:val="15"/>
          <w:color w:val="auto"/>
        </w:rPr>
        <w:t>703</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5"/>
          <w:szCs w:val="15"/>
          <w:color w:val="auto"/>
        </w:rPr>
        <w:t>703</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5"/>
          <w:szCs w:val="15"/>
          <w:color w:val="auto"/>
        </w:rPr>
        <w:t>703</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5"/>
          <w:szCs w:val="15"/>
          <w:color w:val="auto"/>
        </w:rPr>
        <w:t>703</w:t>
      </w:r>
    </w:p>
    <w:p>
      <w:pPr>
        <w:spacing w:after="0" w:line="4" w:lineRule="exact"/>
        <w:rPr>
          <w:sz w:val="20"/>
          <w:szCs w:val="20"/>
          <w:color w:val="auto"/>
        </w:rPr>
      </w:pPr>
    </w:p>
    <w:p>
      <w:pPr>
        <w:ind w:left="200"/>
        <w:spacing w:after="0"/>
        <w:tabs>
          <w:tab w:leader="dot" w:pos="5940" w:val="left"/>
        </w:tabs>
        <w:rPr>
          <w:sz w:val="20"/>
          <w:szCs w:val="20"/>
          <w:color w:val="auto"/>
        </w:rPr>
      </w:pPr>
      <w:r>
        <w:rPr>
          <w:rFonts w:ascii="Courier New" w:cs="Courier New" w:eastAsia="Courier New" w:hAnsi="Courier New"/>
          <w:sz w:val="16"/>
          <w:szCs w:val="16"/>
          <w:color w:val="auto"/>
        </w:rPr>
        <w:t>ss.314(a)</w:t>
      </w:r>
      <w:r>
        <w:rPr>
          <w:sz w:val="20"/>
          <w:szCs w:val="20"/>
          <w:color w:val="auto"/>
        </w:rPr>
        <w:tab/>
      </w:r>
      <w:r>
        <w:rPr>
          <w:rFonts w:ascii="Courier New" w:cs="Courier New" w:eastAsia="Courier New" w:hAnsi="Courier New"/>
          <w:sz w:val="15"/>
          <w:szCs w:val="15"/>
          <w:color w:val="auto"/>
        </w:rPr>
        <w:t>704</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(a)(4)</w:t>
      </w:r>
      <w:r>
        <w:rPr>
          <w:sz w:val="20"/>
          <w:szCs w:val="20"/>
          <w:color w:val="auto"/>
        </w:rPr>
        <w:tab/>
      </w:r>
      <w:r>
        <w:rPr>
          <w:rFonts w:ascii="Courier New" w:cs="Courier New" w:eastAsia="Courier New" w:hAnsi="Courier New"/>
          <w:sz w:val="15"/>
          <w:szCs w:val="15"/>
          <w:color w:val="auto"/>
        </w:rPr>
        <w:t>101, 1004</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5"/>
          <w:szCs w:val="15"/>
          <w:color w:val="auto"/>
        </w:rPr>
        <w:t>Not Applicable</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(c)(1)</w:t>
      </w:r>
      <w:r>
        <w:rPr>
          <w:sz w:val="20"/>
          <w:szCs w:val="20"/>
          <w:color w:val="auto"/>
        </w:rPr>
        <w:tab/>
      </w:r>
      <w:r>
        <w:rPr>
          <w:rFonts w:ascii="Courier New" w:cs="Courier New" w:eastAsia="Courier New" w:hAnsi="Courier New"/>
          <w:sz w:val="15"/>
          <w:szCs w:val="15"/>
          <w:color w:val="auto"/>
        </w:rPr>
        <w:t>102</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(c)(2)</w:t>
      </w:r>
      <w:r>
        <w:rPr>
          <w:sz w:val="20"/>
          <w:szCs w:val="20"/>
          <w:color w:val="auto"/>
        </w:rPr>
        <w:tab/>
      </w:r>
      <w:r>
        <w:rPr>
          <w:rFonts w:ascii="Courier New" w:cs="Courier New" w:eastAsia="Courier New" w:hAnsi="Courier New"/>
          <w:sz w:val="15"/>
          <w:szCs w:val="15"/>
          <w:color w:val="auto"/>
        </w:rPr>
        <w:t>102</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(c)(3)</w:t>
      </w:r>
      <w:r>
        <w:rPr>
          <w:sz w:val="20"/>
          <w:szCs w:val="20"/>
          <w:color w:val="auto"/>
        </w:rPr>
        <w:tab/>
      </w:r>
      <w:r>
        <w:rPr>
          <w:rFonts w:ascii="Courier New" w:cs="Courier New" w:eastAsia="Courier New" w:hAnsi="Courier New"/>
          <w:sz w:val="15"/>
          <w:szCs w:val="15"/>
          <w:color w:val="auto"/>
        </w:rPr>
        <w:t>Not Applicable</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5"/>
          <w:szCs w:val="15"/>
          <w:color w:val="auto"/>
        </w:rPr>
        <w:t>Not Applicable</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5"/>
          <w:szCs w:val="15"/>
          <w:color w:val="auto"/>
        </w:rPr>
        <w:t>102</w:t>
      </w:r>
    </w:p>
    <w:p>
      <w:pPr>
        <w:spacing w:after="0" w:line="4" w:lineRule="exact"/>
        <w:rPr>
          <w:sz w:val="20"/>
          <w:szCs w:val="20"/>
          <w:color w:val="auto"/>
        </w:rPr>
      </w:pPr>
    </w:p>
    <w:p>
      <w:pPr>
        <w:ind w:left="200"/>
        <w:spacing w:after="0"/>
        <w:tabs>
          <w:tab w:leader="dot" w:pos="5940" w:val="left"/>
        </w:tabs>
        <w:rPr>
          <w:sz w:val="20"/>
          <w:szCs w:val="20"/>
          <w:color w:val="auto"/>
        </w:rPr>
      </w:pPr>
      <w:r>
        <w:rPr>
          <w:rFonts w:ascii="Courier New" w:cs="Courier New" w:eastAsia="Courier New" w:hAnsi="Courier New"/>
          <w:sz w:val="16"/>
          <w:szCs w:val="16"/>
          <w:color w:val="auto"/>
        </w:rPr>
        <w:t>ss.315(a)</w:t>
      </w:r>
      <w:r>
        <w:rPr>
          <w:sz w:val="20"/>
          <w:szCs w:val="20"/>
          <w:color w:val="auto"/>
        </w:rPr>
        <w:tab/>
      </w:r>
      <w:r>
        <w:rPr>
          <w:rFonts w:ascii="Courier New" w:cs="Courier New" w:eastAsia="Courier New" w:hAnsi="Courier New"/>
          <w:sz w:val="15"/>
          <w:szCs w:val="15"/>
          <w:color w:val="auto"/>
        </w:rPr>
        <w:t>601</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5"/>
          <w:szCs w:val="15"/>
          <w:color w:val="auto"/>
        </w:rPr>
        <w:t>602</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5"/>
          <w:szCs w:val="15"/>
          <w:color w:val="auto"/>
        </w:rPr>
        <w:t>601</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5"/>
          <w:szCs w:val="15"/>
          <w:color w:val="auto"/>
        </w:rPr>
        <w:t>601</w:t>
      </w:r>
    </w:p>
    <w:p>
      <w:pPr>
        <w:spacing w:after="0" w:line="4" w:lineRule="exact"/>
        <w:rPr>
          <w:sz w:val="20"/>
          <w:szCs w:val="20"/>
          <w:color w:val="auto"/>
        </w:rPr>
      </w:pPr>
    </w:p>
    <w:p>
      <w:pPr>
        <w:ind w:left="760"/>
        <w:spacing w:after="0"/>
        <w:tabs>
          <w:tab w:leader="dot" w:pos="594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5"/>
          <w:szCs w:val="15"/>
          <w:color w:val="auto"/>
        </w:rPr>
        <w:t>514</w:t>
      </w:r>
    </w:p>
    <w:p>
      <w:pPr>
        <w:spacing w:after="0" w:line="4" w:lineRule="exact"/>
        <w:rPr>
          <w:sz w:val="20"/>
          <w:szCs w:val="20"/>
          <w:color w:val="auto"/>
        </w:rPr>
      </w:pPr>
    </w:p>
    <w:p>
      <w:pPr>
        <w:ind w:left="200"/>
        <w:spacing w:after="0"/>
        <w:tabs>
          <w:tab w:leader="dot" w:pos="5940" w:val="left"/>
        </w:tabs>
        <w:rPr>
          <w:sz w:val="20"/>
          <w:szCs w:val="20"/>
          <w:color w:val="auto"/>
        </w:rPr>
      </w:pPr>
      <w:r>
        <w:rPr>
          <w:rFonts w:ascii="Courier New" w:cs="Courier New" w:eastAsia="Courier New" w:hAnsi="Courier New"/>
          <w:sz w:val="16"/>
          <w:szCs w:val="16"/>
          <w:color w:val="auto"/>
        </w:rPr>
        <w:t>ss.316(a)</w:t>
      </w:r>
      <w:r>
        <w:rPr>
          <w:sz w:val="20"/>
          <w:szCs w:val="20"/>
          <w:color w:val="auto"/>
        </w:rPr>
        <w:tab/>
      </w:r>
      <w:r>
        <w:rPr>
          <w:rFonts w:ascii="Courier New" w:cs="Courier New" w:eastAsia="Courier New" w:hAnsi="Courier New"/>
          <w:sz w:val="15"/>
          <w:szCs w:val="15"/>
          <w:color w:val="auto"/>
        </w:rPr>
        <w:t>101</w:t>
      </w:r>
    </w:p>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-vi-</w:t>
      </w:r>
    </w:p>
    <w:p>
      <w:pPr>
        <w:sectPr>
          <w:pgSz w:w="11900" w:h="16838" w:orient="portrait"/>
          <w:cols w:equalWidth="0" w:num="1">
            <w:col w:w="10219"/>
          </w:cols>
          <w:pgMar w:left="240" w:top="670" w:right="1440"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181"/>
        </w:trPr>
        <w:tc>
          <w:tcPr>
            <w:tcW w:w="57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(a)(1)(A).........................................</w:t>
            </w:r>
          </w:p>
        </w:tc>
        <w:tc>
          <w:tcPr>
            <w:tcW w:w="1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502, 512</w:t>
            </w:r>
          </w:p>
        </w:tc>
      </w:tr>
      <w:tr>
        <w:trPr>
          <w:trHeight w:val="185"/>
        </w:trPr>
        <w:tc>
          <w:tcPr>
            <w:tcW w:w="57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(a)(1)(B).........................................</w:t>
            </w:r>
          </w:p>
        </w:tc>
        <w:tc>
          <w:tcPr>
            <w:tcW w:w="580" w:type="dxa"/>
            <w:vAlign w:val="bottom"/>
          </w:tcPr>
          <w:p>
            <w:pPr>
              <w:ind w:left="200"/>
              <w:spacing w:after="0"/>
              <w:rPr>
                <w:sz w:val="20"/>
                <w:szCs w:val="20"/>
                <w:color w:val="auto"/>
              </w:rPr>
            </w:pPr>
            <w:r>
              <w:rPr>
                <w:rFonts w:ascii="Courier New" w:cs="Courier New" w:eastAsia="Courier New" w:hAnsi="Courier New"/>
                <w:sz w:val="16"/>
                <w:szCs w:val="16"/>
                <w:color w:val="auto"/>
              </w:rPr>
              <w:t>513</w:t>
            </w:r>
          </w:p>
        </w:tc>
        <w:tc>
          <w:tcPr>
            <w:tcW w:w="1340" w:type="dxa"/>
            <w:vAlign w:val="bottom"/>
          </w:tcPr>
          <w:p>
            <w:pPr>
              <w:spacing w:after="0"/>
              <w:rPr>
                <w:sz w:val="16"/>
                <w:szCs w:val="16"/>
                <w:color w:val="auto"/>
              </w:rPr>
            </w:pPr>
          </w:p>
        </w:tc>
      </w:tr>
      <w:tr>
        <w:trPr>
          <w:trHeight w:val="185"/>
        </w:trPr>
        <w:tc>
          <w:tcPr>
            <w:tcW w:w="57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(a)(2) ...........................................</w:t>
            </w:r>
          </w:p>
        </w:tc>
        <w:tc>
          <w:tcPr>
            <w:tcW w:w="580" w:type="dxa"/>
            <w:vAlign w:val="bottom"/>
          </w:tcPr>
          <w:p>
            <w:pPr>
              <w:ind w:left="200"/>
              <w:spacing w:after="0"/>
              <w:rPr>
                <w:sz w:val="20"/>
                <w:szCs w:val="20"/>
                <w:color w:val="auto"/>
              </w:rPr>
            </w:pPr>
            <w:r>
              <w:rPr>
                <w:rFonts w:ascii="Courier New" w:cs="Courier New" w:eastAsia="Courier New" w:hAnsi="Courier New"/>
                <w:sz w:val="16"/>
                <w:szCs w:val="16"/>
                <w:color w:val="auto"/>
              </w:rPr>
              <w:t>Not</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Applicable</w:t>
            </w:r>
          </w:p>
        </w:tc>
      </w:tr>
      <w:tr>
        <w:trPr>
          <w:trHeight w:val="185"/>
        </w:trPr>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(b)</w:t>
            </w:r>
          </w:p>
        </w:tc>
        <w:tc>
          <w:tcPr>
            <w:tcW w:w="460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w:t>
            </w:r>
          </w:p>
        </w:tc>
        <w:tc>
          <w:tcPr>
            <w:tcW w:w="580" w:type="dxa"/>
            <w:vAlign w:val="bottom"/>
          </w:tcPr>
          <w:p>
            <w:pPr>
              <w:ind w:left="200"/>
              <w:spacing w:after="0"/>
              <w:rPr>
                <w:sz w:val="20"/>
                <w:szCs w:val="20"/>
                <w:color w:val="auto"/>
              </w:rPr>
            </w:pPr>
            <w:r>
              <w:rPr>
                <w:rFonts w:ascii="Courier New" w:cs="Courier New" w:eastAsia="Courier New" w:hAnsi="Courier New"/>
                <w:sz w:val="16"/>
                <w:szCs w:val="16"/>
                <w:color w:val="auto"/>
              </w:rPr>
              <w:t>508</w:t>
            </w:r>
          </w:p>
        </w:tc>
        <w:tc>
          <w:tcPr>
            <w:tcW w:w="1340" w:type="dxa"/>
            <w:vAlign w:val="bottom"/>
          </w:tcPr>
          <w:p>
            <w:pPr>
              <w:spacing w:after="0"/>
              <w:rPr>
                <w:sz w:val="16"/>
                <w:szCs w:val="16"/>
                <w:color w:val="auto"/>
              </w:rPr>
            </w:pPr>
          </w:p>
        </w:tc>
      </w:tr>
      <w:tr>
        <w:trPr>
          <w:trHeight w:val="185"/>
        </w:trPr>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w:t>
            </w:r>
          </w:p>
        </w:tc>
        <w:tc>
          <w:tcPr>
            <w:tcW w:w="460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w:t>
            </w:r>
          </w:p>
        </w:tc>
        <w:tc>
          <w:tcPr>
            <w:tcW w:w="580" w:type="dxa"/>
            <w:vAlign w:val="bottom"/>
          </w:tcPr>
          <w:p>
            <w:pPr>
              <w:ind w:left="200"/>
              <w:spacing w:after="0"/>
              <w:rPr>
                <w:sz w:val="20"/>
                <w:szCs w:val="20"/>
                <w:color w:val="auto"/>
              </w:rPr>
            </w:pPr>
            <w:r>
              <w:rPr>
                <w:rFonts w:ascii="Courier New" w:cs="Courier New" w:eastAsia="Courier New" w:hAnsi="Courier New"/>
                <w:sz w:val="16"/>
                <w:szCs w:val="16"/>
                <w:color w:val="auto"/>
              </w:rPr>
              <w:t>104</w:t>
            </w:r>
          </w:p>
        </w:tc>
        <w:tc>
          <w:tcPr>
            <w:tcW w:w="1340" w:type="dxa"/>
            <w:vAlign w:val="bottom"/>
          </w:tcPr>
          <w:p>
            <w:pPr>
              <w:spacing w:after="0"/>
              <w:rPr>
                <w:sz w:val="16"/>
                <w:szCs w:val="16"/>
                <w:color w:val="auto"/>
              </w:rPr>
            </w:pPr>
          </w:p>
        </w:tc>
      </w:tr>
      <w:tr>
        <w:trPr>
          <w:trHeight w:val="185"/>
        </w:trPr>
        <w:tc>
          <w:tcPr>
            <w:tcW w:w="57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ss.317(a)(1) ...........................................</w:t>
            </w:r>
          </w:p>
        </w:tc>
        <w:tc>
          <w:tcPr>
            <w:tcW w:w="580" w:type="dxa"/>
            <w:vAlign w:val="bottom"/>
          </w:tcPr>
          <w:p>
            <w:pPr>
              <w:ind w:left="200"/>
              <w:spacing w:after="0"/>
              <w:rPr>
                <w:sz w:val="20"/>
                <w:szCs w:val="20"/>
                <w:color w:val="auto"/>
              </w:rPr>
            </w:pPr>
            <w:r>
              <w:rPr>
                <w:rFonts w:ascii="Courier New" w:cs="Courier New" w:eastAsia="Courier New" w:hAnsi="Courier New"/>
                <w:sz w:val="16"/>
                <w:szCs w:val="16"/>
                <w:color w:val="auto"/>
              </w:rPr>
              <w:t>503</w:t>
            </w:r>
          </w:p>
        </w:tc>
        <w:tc>
          <w:tcPr>
            <w:tcW w:w="1340" w:type="dxa"/>
            <w:vAlign w:val="bottom"/>
          </w:tcPr>
          <w:p>
            <w:pPr>
              <w:spacing w:after="0"/>
              <w:rPr>
                <w:sz w:val="16"/>
                <w:szCs w:val="16"/>
                <w:color w:val="auto"/>
              </w:rPr>
            </w:pPr>
          </w:p>
        </w:tc>
      </w:tr>
      <w:tr>
        <w:trPr>
          <w:trHeight w:val="185"/>
        </w:trPr>
        <w:tc>
          <w:tcPr>
            <w:tcW w:w="576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(a)(2) ...........................................</w:t>
            </w:r>
          </w:p>
        </w:tc>
        <w:tc>
          <w:tcPr>
            <w:tcW w:w="580" w:type="dxa"/>
            <w:vAlign w:val="bottom"/>
          </w:tcPr>
          <w:p>
            <w:pPr>
              <w:ind w:left="200"/>
              <w:spacing w:after="0"/>
              <w:rPr>
                <w:sz w:val="20"/>
                <w:szCs w:val="20"/>
                <w:color w:val="auto"/>
              </w:rPr>
            </w:pPr>
            <w:r>
              <w:rPr>
                <w:rFonts w:ascii="Courier New" w:cs="Courier New" w:eastAsia="Courier New" w:hAnsi="Courier New"/>
                <w:sz w:val="16"/>
                <w:szCs w:val="16"/>
                <w:color w:val="auto"/>
              </w:rPr>
              <w:t>504</w:t>
            </w:r>
          </w:p>
        </w:tc>
        <w:tc>
          <w:tcPr>
            <w:tcW w:w="1340" w:type="dxa"/>
            <w:vAlign w:val="bottom"/>
          </w:tcPr>
          <w:p>
            <w:pPr>
              <w:spacing w:after="0"/>
              <w:rPr>
                <w:sz w:val="16"/>
                <w:szCs w:val="16"/>
                <w:color w:val="auto"/>
              </w:rPr>
            </w:pPr>
          </w:p>
        </w:tc>
      </w:tr>
      <w:tr>
        <w:trPr>
          <w:trHeight w:val="185"/>
        </w:trPr>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(b)</w:t>
            </w:r>
          </w:p>
        </w:tc>
        <w:tc>
          <w:tcPr>
            <w:tcW w:w="460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w:t>
            </w:r>
          </w:p>
        </w:tc>
        <w:tc>
          <w:tcPr>
            <w:tcW w:w="580" w:type="dxa"/>
            <w:vAlign w:val="bottom"/>
          </w:tcPr>
          <w:p>
            <w:pPr>
              <w:ind w:left="200"/>
              <w:spacing w:after="0"/>
              <w:rPr>
                <w:sz w:val="20"/>
                <w:szCs w:val="20"/>
                <w:color w:val="auto"/>
              </w:rPr>
            </w:pPr>
            <w:r>
              <w:rPr>
                <w:rFonts w:ascii="Courier New" w:cs="Courier New" w:eastAsia="Courier New" w:hAnsi="Courier New"/>
                <w:sz w:val="16"/>
                <w:szCs w:val="16"/>
                <w:color w:val="auto"/>
                <w:w w:val="93"/>
              </w:rPr>
              <w:t>1003</w:t>
            </w:r>
          </w:p>
        </w:tc>
        <w:tc>
          <w:tcPr>
            <w:tcW w:w="1340" w:type="dxa"/>
            <w:vAlign w:val="bottom"/>
          </w:tcPr>
          <w:p>
            <w:pPr>
              <w:spacing w:after="0"/>
              <w:rPr>
                <w:sz w:val="16"/>
                <w:szCs w:val="16"/>
                <w:color w:val="auto"/>
              </w:rPr>
            </w:pPr>
          </w:p>
        </w:tc>
      </w:tr>
      <w:tr>
        <w:trPr>
          <w:trHeight w:val="185"/>
        </w:trPr>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ss.318(a)</w:t>
            </w:r>
          </w:p>
        </w:tc>
        <w:tc>
          <w:tcPr>
            <w:tcW w:w="460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w:t>
            </w:r>
          </w:p>
        </w:tc>
        <w:tc>
          <w:tcPr>
            <w:tcW w:w="580" w:type="dxa"/>
            <w:vAlign w:val="bottom"/>
          </w:tcPr>
          <w:p>
            <w:pPr>
              <w:ind w:left="200"/>
              <w:spacing w:after="0"/>
              <w:rPr>
                <w:sz w:val="20"/>
                <w:szCs w:val="20"/>
                <w:color w:val="auto"/>
              </w:rPr>
            </w:pPr>
            <w:r>
              <w:rPr>
                <w:rFonts w:ascii="Courier New" w:cs="Courier New" w:eastAsia="Courier New" w:hAnsi="Courier New"/>
                <w:sz w:val="16"/>
                <w:szCs w:val="16"/>
                <w:color w:val="auto"/>
              </w:rPr>
              <w:t>107</w:t>
            </w:r>
          </w:p>
        </w:tc>
        <w:tc>
          <w:tcPr>
            <w:tcW w:w="1340" w:type="dxa"/>
            <w:vAlign w:val="bottom"/>
          </w:tcPr>
          <w:p>
            <w:pPr>
              <w:spacing w:after="0"/>
              <w:rPr>
                <w:sz w:val="16"/>
                <w:szCs w:val="16"/>
                <w:color w:val="auto"/>
              </w:rPr>
            </w:pPr>
          </w:p>
        </w:tc>
      </w:tr>
      <w:tr>
        <w:trPr>
          <w:trHeight w:val="554"/>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4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5"/>
        </w:trPr>
        <w:tc>
          <w:tcPr>
            <w:tcW w:w="1160" w:type="dxa"/>
            <w:vAlign w:val="bottom"/>
          </w:tcPr>
          <w:p>
            <w:pPr>
              <w:spacing w:after="0"/>
              <w:rPr>
                <w:sz w:val="20"/>
                <w:szCs w:val="20"/>
                <w:color w:val="auto"/>
              </w:rPr>
            </w:pPr>
            <w:r>
              <w:rPr>
                <w:rFonts w:ascii="Courier New" w:cs="Courier New" w:eastAsia="Courier New" w:hAnsi="Courier New"/>
                <w:sz w:val="16"/>
                <w:szCs w:val="16"/>
                <w:color w:val="auto"/>
              </w:rPr>
              <w:t>NOTE: This</w:t>
            </w:r>
          </w:p>
        </w:tc>
        <w:tc>
          <w:tcPr>
            <w:tcW w:w="5180" w:type="dxa"/>
            <w:vAlign w:val="bottom"/>
            <w:gridSpan w:val="2"/>
          </w:tcPr>
          <w:p>
            <w:pPr>
              <w:spacing w:after="0"/>
              <w:rPr>
                <w:sz w:val="20"/>
                <w:szCs w:val="20"/>
                <w:color w:val="auto"/>
              </w:rPr>
            </w:pPr>
            <w:r>
              <w:rPr>
                <w:rFonts w:ascii="Courier New" w:cs="Courier New" w:eastAsia="Courier New" w:hAnsi="Courier New"/>
                <w:sz w:val="16"/>
                <w:szCs w:val="16"/>
                <w:color w:val="auto"/>
              </w:rPr>
              <w:t>reconciliation and tie shall not, for any purpose, be</w:t>
            </w:r>
          </w:p>
        </w:tc>
        <w:tc>
          <w:tcPr>
            <w:tcW w:w="1340" w:type="dxa"/>
            <w:vAlign w:val="bottom"/>
          </w:tcPr>
          <w:p>
            <w:pPr>
              <w:spacing w:after="0"/>
              <w:rPr>
                <w:sz w:val="20"/>
                <w:szCs w:val="20"/>
                <w:color w:val="auto"/>
              </w:rPr>
            </w:pPr>
            <w:r>
              <w:rPr>
                <w:rFonts w:ascii="Courier New" w:cs="Courier New" w:eastAsia="Courier New" w:hAnsi="Courier New"/>
                <w:sz w:val="16"/>
                <w:szCs w:val="16"/>
                <w:color w:val="auto"/>
                <w:w w:val="98"/>
              </w:rPr>
              <w:t>deemed to be a</w:t>
            </w:r>
          </w:p>
        </w:tc>
      </w:tr>
      <w:tr>
        <w:trPr>
          <w:trHeight w:val="185"/>
        </w:trPr>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part of the</w:t>
            </w:r>
          </w:p>
        </w:tc>
        <w:tc>
          <w:tcPr>
            <w:tcW w:w="4600" w:type="dxa"/>
            <w:vAlign w:val="bottom"/>
          </w:tcPr>
          <w:p>
            <w:pPr>
              <w:spacing w:after="0"/>
              <w:rPr>
                <w:sz w:val="20"/>
                <w:szCs w:val="20"/>
                <w:color w:val="auto"/>
              </w:rPr>
            </w:pPr>
            <w:r>
              <w:rPr>
                <w:rFonts w:ascii="Courier New" w:cs="Courier New" w:eastAsia="Courier New" w:hAnsi="Courier New"/>
                <w:sz w:val="16"/>
                <w:szCs w:val="16"/>
                <w:color w:val="auto"/>
              </w:rPr>
              <w:t>Indenture.</w:t>
            </w: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r>
    </w:tbl>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-vii-</w:t>
      </w:r>
    </w:p>
    <w:p>
      <w:pPr>
        <w:sectPr>
          <w:pgSz w:w="11900" w:h="16838" w:orient="portrait"/>
          <w:cols w:equalWidth="0" w:num="1">
            <w:col w:w="10219"/>
          </w:cols>
          <w:pgMar w:left="240" w:top="1039" w:right="1440" w:bottom="1440" w:gutter="0" w:footer="0" w:header="0"/>
        </w:sectPr>
      </w:pPr>
    </w:p>
    <w:bookmarkStart w:id="179" w:name="page180"/>
    <w:bookmarkEnd w:id="179"/>
    <w:p>
      <w:pPr>
        <w:ind w:left="480"/>
        <w:spacing w:after="0"/>
        <w:rPr>
          <w:sz w:val="20"/>
          <w:szCs w:val="20"/>
          <w:color w:val="auto"/>
        </w:rPr>
      </w:pPr>
      <w:r>
        <w:rPr>
          <w:rFonts w:ascii="Courier New" w:cs="Courier New" w:eastAsia="Courier New" w:hAnsi="Courier New"/>
          <w:sz w:val="15"/>
          <w:szCs w:val="15"/>
          <w:color w:val="auto"/>
        </w:rPr>
        <w:t>INDENTURE, dated as of __________, 1997, between Micron Technology, Inc., a</w:t>
      </w:r>
    </w:p>
    <w:p>
      <w:pPr>
        <w:spacing w:after="0" w:line="1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corporation duly organized and existing under the laws of the State of Delaware (herein called the "Company"), having its principal executive office at 8000 South Federal Way, P.O. Box 6, Boise, Idaho 83707-0006, and Norwest Bank Minnesota, National Association, a national banking association duly organized and existing under the laws of the United States of America, as Trustee (herein called the "Trustee").</w:t>
      </w:r>
    </w:p>
    <w:p>
      <w:pPr>
        <w:spacing w:after="0" w:line="186"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RECITALS OF THE COMPANY</w:t>
      </w:r>
    </w:p>
    <w:p>
      <w:pPr>
        <w:spacing w:after="0" w:line="190"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provided in this Indenture.</w:t>
      </w:r>
    </w:p>
    <w:p>
      <w:pPr>
        <w:spacing w:after="0" w:line="173" w:lineRule="exact"/>
        <w:rPr>
          <w:sz w:val="20"/>
          <w:szCs w:val="20"/>
          <w:color w:val="auto"/>
        </w:rPr>
      </w:pPr>
    </w:p>
    <w:p>
      <w:pPr>
        <w:ind w:right="3199" w:firstLine="480"/>
        <w:spacing w:after="0" w:line="242" w:lineRule="auto"/>
        <w:rPr>
          <w:sz w:val="20"/>
          <w:szCs w:val="20"/>
          <w:color w:val="auto"/>
        </w:rPr>
      </w:pPr>
      <w:r>
        <w:rPr>
          <w:rFonts w:ascii="Courier New" w:cs="Courier New" w:eastAsia="Courier New" w:hAnsi="Courier New"/>
          <w:sz w:val="16"/>
          <w:szCs w:val="16"/>
          <w:color w:val="auto"/>
        </w:rPr>
        <w:t>All things necessary to make this Indenture a valid agreement of the Company, in accordance with its terms, have been done.</w:t>
      </w:r>
    </w:p>
    <w:p>
      <w:pPr>
        <w:spacing w:after="0" w:line="187"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NOW, THEREFORE, THIS INDENTURE WITNESSETH:</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For and in consideration of the premises and the purchase of the Securities by the Holders thereof, it is mutually covenanted and agreed, for the equal and proportionate benefit of all Holders of the Securities or of series thereof appertaining, as follows:</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ONE</w:t>
      </w:r>
    </w:p>
    <w:p>
      <w:pPr>
        <w:spacing w:after="0" w:line="188"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DEFINITIONS AND OTHER PROVISIONS OF GENERAL APPLICATION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101. Definitions.</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For all purposes of this Indenture, except as otherwise expressly provided or unless the context otherwise requires:</w:t>
      </w:r>
    </w:p>
    <w:p>
      <w:pPr>
        <w:spacing w:after="0" w:line="189" w:lineRule="exact"/>
        <w:rPr>
          <w:sz w:val="20"/>
          <w:szCs w:val="20"/>
          <w:color w:val="auto"/>
        </w:rPr>
      </w:pPr>
    </w:p>
    <w:p>
      <w:pPr>
        <w:ind w:right="2539" w:firstLine="479"/>
        <w:spacing w:after="0" w:line="242" w:lineRule="auto"/>
        <w:tabs>
          <w:tab w:leader="none" w:pos="865"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defined in this Article have the meanings assigned to them in this Article and include the plural as well as the singular;</w:t>
      </w:r>
    </w:p>
    <w:p>
      <w:pPr>
        <w:spacing w:after="0" w:line="188"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terms used herein which are defined in the Trust Indenture Act, either directly or by reference therein, have the meanings assigned to them therein;</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w:t>
      </w:r>
    </w:p>
    <w:p>
      <w:pPr>
        <w:spacing w:after="0" w:line="187"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context otherwise requires, any reference to an "Article" or a "Section" refers to an Article or a Section, as the case may be, of this Indenture; and</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71" w:right="1440" w:bottom="1440" w:gutter="0" w:footer="0" w:header="0"/>
        </w:sectPr>
      </w:pPr>
    </w:p>
    <w:bookmarkStart w:id="180" w:name="page181"/>
    <w:bookmarkEnd w:id="180"/>
    <w:p>
      <w:pPr>
        <w:ind w:right="2539" w:firstLine="479"/>
        <w:spacing w:after="0" w:line="243" w:lineRule="auto"/>
        <w:tabs>
          <w:tab w:leader="none" w:pos="865"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this Indenture as a whole and not to any particular Article, Section or other subdivision.</w:t>
      </w:r>
    </w:p>
    <w:p>
      <w:pPr>
        <w:spacing w:after="0" w:line="189"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"Act," when used with respect to any Holder, has the meaning specified in Section 104.</w:t>
      </w:r>
    </w:p>
    <w:p>
      <w:pPr>
        <w:spacing w:after="0" w:line="189"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"Authenticating Agent" means any Person authorized by the Trustee pursuant to Section 614 to act on behalf of the Trustee to authenticate Securities of one or more series.</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"Board of Directors" means either the board of directors of the Company or any duly authorized committee of that board empowered to act for it with respect to this Indenture.</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provided, however, subject to the provisions of Section 1409, shares issuable upon conversion of Securities shall include only shares of the class designated as Common Stock of the Company at the date of this Indenture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provided, further,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181" w:name="page182"/>
    <w:bookmarkEnd w:id="181"/>
    <w:p>
      <w:pPr>
        <w:ind w:right="2919" w:firstLine="480"/>
        <w:spacing w:after="0" w:line="243" w:lineRule="auto"/>
        <w:rPr>
          <w:sz w:val="20"/>
          <w:szCs w:val="20"/>
          <w:color w:val="auto"/>
        </w:rPr>
      </w:pPr>
      <w:r>
        <w:rPr>
          <w:rFonts w:ascii="Courier New" w:cs="Courier New" w:eastAsia="Courier New" w:hAnsi="Courier New"/>
          <w:sz w:val="16"/>
          <w:szCs w:val="16"/>
          <w:color w:val="auto"/>
        </w:rPr>
        <w:t>"Company" means the corporation named as the "Company" in the first paragraph of this instrument until a successor Person shall have become such pursuant to the applicable provisions of this Indenture, and thereafter "Company" shall mean such successor Person.</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"Company Request" or "Company Order" means a written request or order signed in the name of the Company by its Chairman of the Board, its Vice Chairman of the Board, its President or a Vice President, and by its principal financial officer, its Treasurer, an Assistant Treasurer, its Secretary or an Assistant Secretary, and delivered to the Trustee.</w:t>
      </w:r>
    </w:p>
    <w:p>
      <w:pPr>
        <w:spacing w:after="0" w:line="187"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"Corporate Trust Office" means the corporate trust office of the Trustee at Norwest Center, Sixth Street and Marquette, Minneapolis, Minnesota 55479-0069, at which at any particular time its corporate trust business shall be administered.</w:t>
      </w:r>
    </w:p>
    <w:p>
      <w:pPr>
        <w:spacing w:after="0" w:line="190" w:lineRule="exact"/>
        <w:rPr>
          <w:sz w:val="20"/>
          <w:szCs w:val="20"/>
          <w:color w:val="auto"/>
        </w:rPr>
      </w:pPr>
    </w:p>
    <w:p>
      <w:pPr>
        <w:ind w:right="3199" w:firstLine="480"/>
        <w:spacing w:after="0" w:line="242" w:lineRule="auto"/>
        <w:rPr>
          <w:sz w:val="20"/>
          <w:szCs w:val="20"/>
          <w:color w:val="auto"/>
        </w:rPr>
      </w:pPr>
      <w:r>
        <w:rPr>
          <w:rFonts w:ascii="Courier New" w:cs="Courier New" w:eastAsia="Courier New" w:hAnsi="Courier New"/>
          <w:sz w:val="16"/>
          <w:szCs w:val="16"/>
          <w:color w:val="auto"/>
        </w:rPr>
        <w:t>"corporation" means a corporation, association, company, joint-stock company or business trust.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"Covenant Defeasance" has the meaning specified in Section 1303.</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"Defaulted Interest" has the meaning specified in Section 307.</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"Defeasance" has the meaning specified in Section 1302.</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"Designated Senior Debt" means the Company's obligations under the Revolving Credit Agreement and the Company's obligations under any particular Senior Debt in which the instrument creating or evidencing the same or the assumption or guarantee thereof (or related agreements or documents to which the Company is a party) expressly provides that such Senior Debt shall be "Designated Senior Debt" for purposes of this Indenture (provided that such instrument, agreement or other document may place limitations and conditions on the right of such Senior Debt to exercise the rights of Designated Senior Debt).</w:t>
      </w:r>
    </w:p>
    <w:p>
      <w:pPr>
        <w:spacing w:after="0" w:line="17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"Event of Default" has the meaning specified in Section 501.</w:t>
      </w:r>
    </w:p>
    <w:p>
      <w:pPr>
        <w:spacing w:after="0" w:line="190"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"Exchange Act" means the Securities Exchange Act of 1934 and any statute successor thereto, in each case as amended from time to time.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"Expiration Date" has the meaning specified in Section 104.</w:t>
      </w:r>
    </w:p>
    <w:p>
      <w:pPr>
        <w:spacing w:after="0" w:line="190" w:lineRule="exact"/>
        <w:rPr>
          <w:sz w:val="20"/>
          <w:szCs w:val="20"/>
          <w:color w:val="auto"/>
        </w:rPr>
      </w:pPr>
    </w:p>
    <w:p>
      <w:pPr>
        <w:ind w:right="2639" w:firstLine="480"/>
        <w:spacing w:after="0" w:line="267" w:lineRule="auto"/>
        <w:rPr>
          <w:sz w:val="20"/>
          <w:szCs w:val="20"/>
          <w:color w:val="auto"/>
        </w:rPr>
      </w:pPr>
      <w:r>
        <w:rPr>
          <w:rFonts w:ascii="Courier New" w:cs="Courier New" w:eastAsia="Courier New" w:hAnsi="Courier New"/>
          <w:sz w:val="15"/>
          <w:szCs w:val="15"/>
          <w:color w:val="auto"/>
        </w:rPr>
        <w:t>"Global Security" means a Security that evidences all or part of the Securities of any series and bears the legend set forth in Section 204 (or such legend as may be specified as contemplated by Section 301 for such Securities).</w:t>
      </w:r>
    </w:p>
    <w:p>
      <w:pPr>
        <w:spacing w:after="0" w:line="172" w:lineRule="exact"/>
        <w:rPr>
          <w:sz w:val="20"/>
          <w:szCs w:val="20"/>
          <w:color w:val="auto"/>
        </w:rPr>
      </w:pPr>
    </w:p>
    <w:p>
      <w:pPr>
        <w:ind w:right="3119" w:firstLine="480"/>
        <w:spacing w:after="0" w:line="242" w:lineRule="auto"/>
        <w:rPr>
          <w:sz w:val="20"/>
          <w:szCs w:val="20"/>
          <w:color w:val="auto"/>
        </w:rPr>
      </w:pPr>
      <w:r>
        <w:rPr>
          <w:rFonts w:ascii="Courier New" w:cs="Courier New" w:eastAsia="Courier New" w:hAnsi="Courier New"/>
          <w:sz w:val="16"/>
          <w:szCs w:val="16"/>
          <w:color w:val="auto"/>
        </w:rPr>
        <w:t>"Holder" means a Person in whose name a Security is registered in the Security Register.</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2" w:right="1440" w:bottom="1440" w:gutter="0" w:footer="0" w:header="0"/>
        </w:sectPr>
      </w:pPr>
    </w:p>
    <w:bookmarkStart w:id="182" w:name="page183"/>
    <w:bookmarkEnd w:id="182"/>
    <w:p>
      <w:pPr>
        <w:ind w:right="2539" w:firstLine="480"/>
        <w:spacing w:after="0" w:line="244" w:lineRule="auto"/>
        <w:rPr>
          <w:sz w:val="20"/>
          <w:szCs w:val="20"/>
          <w:color w:val="auto"/>
        </w:rPr>
      </w:pPr>
      <w:r>
        <w:rPr>
          <w:rFonts w:ascii="Courier New" w:cs="Courier New" w:eastAsia="Courier New" w:hAnsi="Courier New"/>
          <w:sz w:val="16"/>
          <w:szCs w:val="16"/>
          <w:color w:val="auto"/>
        </w:rPr>
        <w:t>"Indenture"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 provided, however,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provided, further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98"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"interest," when used with respect to an Original Issue Discount Security which by its terms bears interest only after Maturity, means interest payable after Maturity.</w:t>
      </w:r>
    </w:p>
    <w:p>
      <w:pPr>
        <w:spacing w:after="0" w:line="189"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"Interest Payment Date," when used with respect to any Security, means the Stated Maturity of an instalment of interest on such Security.</w:t>
      </w:r>
    </w:p>
    <w:p>
      <w:pPr>
        <w:spacing w:after="0" w:line="189"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"Investment Company Act" means the Investment Company Act of 1940 and any statute successor thereto, in each case as amended from time to time.</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"Maturity," when used with respect to any Security, means the date on which the principal of such Security or an instalment of principal becomes due and payable as therein or herein provided, whether at the Stated Maturity or by declaration of acceleration, call for redemption or otherwise.</w:t>
      </w:r>
    </w:p>
    <w:p>
      <w:pPr>
        <w:spacing w:after="0" w:line="190"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"Notice of Default" means a written notice of the kind specified in Section 501(4).</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"Officers' Certificate" means a certificate signed by the Chairman of the Board, a Vice Chairman of the Board, the President or a Vice President, and by the principal financial officer,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188"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"Opinion of Counsel" means a written opinion of counsel, who may be counsel for, or an employee of, the Company, and who shall be reasonably acceptable to the Trustee.</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183" w:name="page184"/>
    <w:bookmarkEnd w:id="183"/>
    <w:p>
      <w:pPr>
        <w:ind w:right="2539" w:firstLine="480"/>
        <w:spacing w:after="0" w:line="243" w:lineRule="auto"/>
        <w:rPr>
          <w:sz w:val="20"/>
          <w:szCs w:val="20"/>
          <w:color w:val="auto"/>
        </w:rPr>
      </w:pPr>
      <w:r>
        <w:rPr>
          <w:rFonts w:ascii="Courier New" w:cs="Courier New" w:eastAsia="Courier New" w:hAnsi="Courier New"/>
          <w:sz w:val="16"/>
          <w:szCs w:val="16"/>
          <w:color w:val="auto"/>
        </w:rPr>
        <w:t>"Original Issue Discount Security" means any Security which provides for an amount less than the principal amount thereof to be due and payable upon a declaration of acceleration of the Maturity thereof pursuant to Section 502.</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"Outstanding," when used with respect to Securities, means, as of the date of determination, all Securities theretofore authenticated and delivered under this Indenture, except:</w:t>
      </w:r>
    </w:p>
    <w:p>
      <w:pPr>
        <w:spacing w:after="0" w:line="189" w:lineRule="exact"/>
        <w:rPr>
          <w:sz w:val="20"/>
          <w:szCs w:val="20"/>
          <w:color w:val="auto"/>
        </w:rPr>
      </w:pPr>
    </w:p>
    <w:p>
      <w:pPr>
        <w:ind w:right="3019" w:firstLine="479"/>
        <w:spacing w:after="0" w:line="242" w:lineRule="auto"/>
        <w:tabs>
          <w:tab w:leader="none" w:pos="865"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theretofore canceled by the Trustee or delivered to the Trustee for cancellation;</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186" w:lineRule="exact"/>
        <w:rPr>
          <w:rFonts w:ascii="Courier New" w:cs="Courier New" w:eastAsia="Courier New" w:hAnsi="Courier New"/>
          <w:sz w:val="16"/>
          <w:szCs w:val="16"/>
          <w:color w:val="auto"/>
        </w:rPr>
      </w:pPr>
    </w:p>
    <w:p>
      <w:pPr>
        <w:ind w:left="860" w:hanging="381"/>
        <w:spacing w:after="0"/>
        <w:tabs>
          <w:tab w:leader="none" w:pos="86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as to which Defeasance has been effected pursuant to Section</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1302; and</w:t>
      </w:r>
    </w:p>
    <w:p>
      <w:pPr>
        <w:spacing w:after="0" w:line="190"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88"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200" w:lineRule="exact"/>
        <w:rPr>
          <w:sz w:val="20"/>
          <w:szCs w:val="20"/>
          <w:color w:val="auto"/>
        </w:rPr>
      </w:pPr>
    </w:p>
    <w:p>
      <w:pPr>
        <w:spacing w:after="0" w:line="35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184" w:name="page185"/>
    <w:bookmarkEnd w:id="184"/>
    <w:p>
      <w:pPr>
        <w:ind w:right="3119" w:firstLine="480"/>
        <w:spacing w:after="0" w:line="243" w:lineRule="auto"/>
        <w:rPr>
          <w:sz w:val="20"/>
          <w:szCs w:val="20"/>
          <w:color w:val="auto"/>
        </w:rPr>
      </w:pPr>
      <w:r>
        <w:rPr>
          <w:rFonts w:ascii="Courier New" w:cs="Courier New" w:eastAsia="Courier New" w:hAnsi="Courier New"/>
          <w:sz w:val="16"/>
          <w:szCs w:val="16"/>
          <w:color w:val="auto"/>
        </w:rPr>
        <w:t>"Paying Agent" means any Person authorized by the Company to pay the principal of or any premium or interest on any Securities on behalf of the Company.</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"Payment Blockage Notice" has the meaning specified in Section 1504.</w:t>
      </w:r>
    </w:p>
    <w:p>
      <w:pPr>
        <w:spacing w:after="0" w:line="190"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"Person" means any individual, corporation, partnership, joint venture, trust, unincorporated organization or government or any agency or political subdivision thereof.</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"Place of Payment," when used with respect to the Securities of any series, means the place or places where the principal of and any premium and interest on the Securities of that series are payable as specified as contemplated by Section 301.</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88"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"Redemption Date," when used with respect to any Security to be redeemed, means the date fixed for such redemption by or pursuant to this Indenture.</w:t>
      </w:r>
    </w:p>
    <w:p>
      <w:pPr>
        <w:spacing w:after="0" w:line="189" w:lineRule="exact"/>
        <w:rPr>
          <w:sz w:val="20"/>
          <w:szCs w:val="20"/>
          <w:color w:val="auto"/>
        </w:rPr>
      </w:pPr>
    </w:p>
    <w:p>
      <w:pPr>
        <w:ind w:right="2639" w:firstLine="480"/>
        <w:spacing w:after="0" w:line="274" w:lineRule="auto"/>
        <w:rPr>
          <w:sz w:val="20"/>
          <w:szCs w:val="20"/>
          <w:color w:val="auto"/>
        </w:rPr>
      </w:pPr>
      <w:r>
        <w:rPr>
          <w:rFonts w:ascii="Courier New" w:cs="Courier New" w:eastAsia="Courier New" w:hAnsi="Courier New"/>
          <w:sz w:val="15"/>
          <w:szCs w:val="15"/>
          <w:color w:val="auto"/>
        </w:rPr>
        <w:t>"Redemption Price," when used with respect to any Security to be redeemed, means the price at which it is to be redeemed pursuant to this Indenture.</w:t>
      </w:r>
    </w:p>
    <w:p>
      <w:pPr>
        <w:spacing w:after="0" w:line="166"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"Regular Record Date" for the interest payable on any Interest Payment Date on the Securities of any series means the date specified for that purpose as contemplated by Section 301.</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"Representative" means the (a) indenture trustee or other trustee, agent or representative for any Senior Debt or (b) with respect to any Senior Debt that does not have any such trustee, agent or other representative, (i) in the case of such Senior Debt issued pursuant to an agreement providing for voting arrangements as among the holders or owners of such Senior Debt, any holder or owner of such Senior Debt acting with the consent of the required persons necessary to bind such holders or owners of such Senior Debt and (ii) in the case of all other such Senior Debt, the holder or owner of such Senior Debt.</w:t>
      </w:r>
    </w:p>
    <w:p>
      <w:pPr>
        <w:spacing w:after="0" w:line="189" w:lineRule="exact"/>
        <w:rPr>
          <w:sz w:val="20"/>
          <w:szCs w:val="20"/>
          <w:color w:val="auto"/>
        </w:rPr>
      </w:pPr>
    </w:p>
    <w:p>
      <w:pPr>
        <w:ind w:right="2639" w:firstLine="480"/>
        <w:spacing w:after="0" w:line="260" w:lineRule="auto"/>
        <w:rPr>
          <w:sz w:val="20"/>
          <w:szCs w:val="20"/>
          <w:color w:val="auto"/>
        </w:rPr>
      </w:pPr>
      <w:r>
        <w:rPr>
          <w:rFonts w:ascii="Courier New" w:cs="Courier New" w:eastAsia="Courier New" w:hAnsi="Courier New"/>
          <w:sz w:val="15"/>
          <w:szCs w:val="15"/>
          <w:color w:val="auto"/>
        </w:rPr>
        <w:t>"Revolving Credit Agreement" means that certain First Amended and Restated Revolving Credit Agreement, dated as of ____________, 1997, by and among the</w:t>
      </w:r>
    </w:p>
    <w:p>
      <w:pPr>
        <w:spacing w:after="0" w:line="1"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Company, the several financial institutions from time to time a party thereto (the "Banks"), and Bank of America National Trust and Savings Association, as agent for the Banks, as amended, amended and restated, supplemented or otherwise modified from time to time.</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"Securities" has the meaning stated in the first recital of this Indenture and more particularly means any Securities authenticated and delivered under this Indenture.</w:t>
      </w:r>
    </w:p>
    <w:p>
      <w:pPr>
        <w:spacing w:after="0" w:line="200" w:lineRule="exact"/>
        <w:rPr>
          <w:sz w:val="20"/>
          <w:szCs w:val="20"/>
          <w:color w:val="auto"/>
        </w:rPr>
      </w:pPr>
    </w:p>
    <w:p>
      <w:pPr>
        <w:spacing w:after="0" w:line="35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2" w:right="1440" w:bottom="1440" w:gutter="0" w:footer="0" w:header="0"/>
        </w:sectPr>
      </w:pPr>
    </w:p>
    <w:bookmarkStart w:id="185" w:name="page186"/>
    <w:bookmarkEnd w:id="185"/>
    <w:p>
      <w:pPr>
        <w:ind w:left="1" w:right="2539" w:firstLine="480"/>
        <w:spacing w:after="0" w:line="242" w:lineRule="auto"/>
        <w:rPr>
          <w:sz w:val="20"/>
          <w:szCs w:val="20"/>
          <w:color w:val="auto"/>
        </w:rPr>
      </w:pPr>
      <w:r>
        <w:rPr>
          <w:rFonts w:ascii="Courier New" w:cs="Courier New" w:eastAsia="Courier New" w:hAnsi="Courier New"/>
          <w:sz w:val="16"/>
          <w:szCs w:val="16"/>
          <w:color w:val="auto"/>
        </w:rPr>
        <w:t>"Securities Act" means the Securities Act of 1933 and any statute successor thereto, in each case as amended from time to time.</w:t>
      </w:r>
    </w:p>
    <w:p>
      <w:pPr>
        <w:spacing w:after="0" w:line="189" w:lineRule="exact"/>
        <w:rPr>
          <w:sz w:val="20"/>
          <w:szCs w:val="20"/>
          <w:color w:val="auto"/>
        </w:rPr>
      </w:pPr>
    </w:p>
    <w:p>
      <w:pPr>
        <w:ind w:left="1" w:right="2719" w:firstLine="480"/>
        <w:spacing w:after="0" w:line="242" w:lineRule="auto"/>
        <w:rPr>
          <w:sz w:val="20"/>
          <w:szCs w:val="20"/>
          <w:color w:val="auto"/>
        </w:rPr>
      </w:pPr>
      <w:r>
        <w:rPr>
          <w:rFonts w:ascii="Courier New" w:cs="Courier New" w:eastAsia="Courier New" w:hAnsi="Courier New"/>
          <w:sz w:val="16"/>
          <w:szCs w:val="16"/>
          <w:color w:val="auto"/>
        </w:rPr>
        <w:t>"Security Register" and "Security Registrar" have the respective meanings specified in Section 305.</w:t>
      </w:r>
    </w:p>
    <w:p>
      <w:pPr>
        <w:spacing w:after="0" w:line="189" w:lineRule="exact"/>
        <w:rPr>
          <w:sz w:val="20"/>
          <w:szCs w:val="20"/>
          <w:color w:val="auto"/>
        </w:rPr>
      </w:pPr>
    </w:p>
    <w:p>
      <w:pPr>
        <w:ind w:left="1" w:right="2539" w:firstLine="480"/>
        <w:spacing w:after="0" w:line="262" w:lineRule="auto"/>
        <w:rPr>
          <w:sz w:val="20"/>
          <w:szCs w:val="20"/>
          <w:color w:val="auto"/>
        </w:rPr>
      </w:pPr>
      <w:r>
        <w:rPr>
          <w:rFonts w:ascii="Courier New" w:cs="Courier New" w:eastAsia="Courier New" w:hAnsi="Courier New"/>
          <w:sz w:val="15"/>
          <w:szCs w:val="15"/>
          <w:color w:val="auto"/>
        </w:rPr>
        <w:t>"Senior Debt" means the principal of (and premium, if any) and interest, if any (including interest accruing on or after the filing of any petition in bankruptcy or for reorganization relating to the Company whether or not such claim for post-petition interest is allowed in such proceeding), on, rent with respect to, and all fees and other amounts payable in connection with, the following, whether absolute or contingent, secured or unsecured, due or to become due, outstanding on the date of this Indenture or thereafter created, incurred or assumed: (a) indebtedness of the Company evidenced by a credit or loan agreement, note, bond, debenture or other written obligation, (b) all obligations of the Company for money borrowed, (c) all obligations of the Company evidenced by a note or similar instrument given in connection with the acquisition of any businesses, properties or assets of any kind, (d) obligations of the Company (i) as lessee under leases required to be capitalized on the balance sheet of the lessee under generally accepted accounting principles and</w:t>
      </w:r>
    </w:p>
    <w:p>
      <w:pPr>
        <w:spacing w:after="0" w:line="175" w:lineRule="exact"/>
        <w:rPr>
          <w:sz w:val="20"/>
          <w:szCs w:val="20"/>
          <w:color w:val="auto"/>
        </w:rPr>
      </w:pPr>
    </w:p>
    <w:p>
      <w:pPr>
        <w:ind w:left="1" w:right="2539" w:hanging="1"/>
        <w:spacing w:after="0" w:line="261" w:lineRule="auto"/>
        <w:tabs>
          <w:tab w:leader="none" w:pos="48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lessee under other leases for facilities, equipment or related assets, whether or not capitalized, entered into or leased after the date of this Indenture for financing purposes (as determined by the Company) or (iii) under any lease or related document (including a purchase agreement) that provides that the Company is contractually obligated to purchase or cause a third party to purchase the leased property and the obligations of the Company under such lease or related document to purchase or to cause a third party to purchase such leased property, (e) all obligations of the Company under interest rate and currency swaps, caps, floors, collars, hedge agreements, forward contracts, or similar agreements or arrangements, (f) all obligations of the Company with respect to letters of credit, bankers' acceptances or similar facilities (including reimbursement obligations with respect to any of the foregoing), (g) all obligations of the Company issued or assumed as the deferred purchase price of property or services (but excluding trade accounts payable arising in the ordinary course of business), (h) all obligations of the type referred to in clauses (a) through (g) above of another Person and all dividends of another Person, the payment of which, in either case, the Company has assumed or guaranteed (or in effect guaranteed through an agreement to purchase or otherwise (including, without limitation, "take or pay" and similar arrangements)), or for which the Company is responsible or liable, directly or indirectly, jointly or severally, as obligor, guarantor or otherwise, or which is secured by a lien on property of the Company, and all obligations of the Company with respect thereto, and (i) renewals, extensions, modifications, replacements, restatements and refundings of, or any indebtedness or obligation issued in exchange for, any such indebtedness or obligation described in clauses</w:t>
      </w:r>
    </w:p>
    <w:p>
      <w:pPr>
        <w:spacing w:after="0" w:line="184"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(h) of this paragraph; provided, however, that Senior Debt shall not include the Securities or any such indebtedness or obligation if the terms of such indebtedness or obligation (or the terms of the instrument under which, or pursuant to which it is issued) expressly provide that such indebtedness or obligation is not superior in right of payment to the Securities.</w:t>
      </w:r>
    </w:p>
    <w:p>
      <w:pPr>
        <w:spacing w:after="0" w:line="187" w:lineRule="exact"/>
        <w:rPr>
          <w:sz w:val="20"/>
          <w:szCs w:val="20"/>
          <w:color w:val="auto"/>
        </w:rPr>
      </w:pPr>
    </w:p>
    <w:p>
      <w:pPr>
        <w:ind w:left="1" w:right="2919" w:firstLine="480"/>
        <w:spacing w:after="0" w:line="242" w:lineRule="auto"/>
        <w:rPr>
          <w:sz w:val="20"/>
          <w:szCs w:val="20"/>
          <w:color w:val="auto"/>
        </w:rPr>
      </w:pPr>
      <w:r>
        <w:rPr>
          <w:rFonts w:ascii="Courier New" w:cs="Courier New" w:eastAsia="Courier New" w:hAnsi="Courier New"/>
          <w:sz w:val="16"/>
          <w:szCs w:val="16"/>
          <w:color w:val="auto"/>
        </w:rPr>
        <w:t>"Special Record Date" for the payment of any Defaulted Interest means a date fixed by the Trustee pursuant to Section 307.</w:t>
      </w:r>
    </w:p>
    <w:p>
      <w:pPr>
        <w:spacing w:after="0" w:line="189"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"Stated Maturity," when used with respect to any Security or any installment of principal thereof or interest thereon, means the date specified in such Security as the fixed date on which the principal of such Security or such instalment of principal or interest is due and payable.</w:t>
      </w:r>
    </w:p>
    <w:p>
      <w:pPr>
        <w:spacing w:after="0" w:line="190"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"Subsidiary" means a corporation of which at least a majority of the outstanding voting stock having the power to elect a majority of the board of directors of such corporation is at the time owned, directly or indirectly, by the Company or by one or more other Subsidiaries, or by the Company and one</w:t>
      </w:r>
    </w:p>
    <w:p>
      <w:pPr>
        <w:spacing w:after="0" w:line="3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9" w:top="671" w:right="1440" w:bottom="1440" w:gutter="0" w:footer="0" w:header="0"/>
        </w:sectPr>
      </w:pPr>
    </w:p>
    <w:bookmarkStart w:id="186" w:name="page187"/>
    <w:bookmarkEnd w:id="186"/>
    <w:p>
      <w:pPr>
        <w:ind w:right="2539"/>
        <w:spacing w:after="0" w:line="244" w:lineRule="auto"/>
        <w:rPr>
          <w:sz w:val="20"/>
          <w:szCs w:val="20"/>
          <w:color w:val="auto"/>
        </w:rPr>
      </w:pPr>
      <w:r>
        <w:rPr>
          <w:rFonts w:ascii="Courier New" w:cs="Courier New" w:eastAsia="Courier New" w:hAnsi="Courier New"/>
          <w:sz w:val="16"/>
          <w:szCs w:val="16"/>
          <w:color w:val="auto"/>
        </w:rPr>
        <w:t>or more other Subsidiaries and the accounts of which are consolidated with those of the Company in its most recent consolidated financial statements in accordance with generally accepted accounting principles.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8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"Trust Indenture Act"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187"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7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"U.S. Government Obligation" has the meaning specified in Section 1304.</w:t>
      </w:r>
    </w:p>
    <w:p>
      <w:pPr>
        <w:spacing w:after="0" w:line="190" w:lineRule="exact"/>
        <w:rPr>
          <w:sz w:val="20"/>
          <w:szCs w:val="20"/>
          <w:color w:val="auto"/>
        </w:rPr>
      </w:pPr>
    </w:p>
    <w:p>
      <w:pPr>
        <w:jc w:val="both"/>
        <w:ind w:right="2919" w:firstLine="480"/>
        <w:spacing w:after="0" w:line="243" w:lineRule="auto"/>
        <w:rPr>
          <w:sz w:val="20"/>
          <w:szCs w:val="20"/>
          <w:color w:val="auto"/>
        </w:rPr>
      </w:pPr>
      <w:r>
        <w:rPr>
          <w:rFonts w:ascii="Courier New" w:cs="Courier New" w:eastAsia="Courier New" w:hAnsi="Courier New"/>
          <w:sz w:val="16"/>
          <w:szCs w:val="16"/>
          <w:color w:val="auto"/>
        </w:rPr>
        <w:t>"Vice President," when used with respect to the Company or the Trustee, means any vice president, whether or not designated by a number or a word or words added before or after the title "vice president."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102. Compliance Certificates and Opinions.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9"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Every certificate or opinion with respect to compliance with a condition or covenant provided for in this Indenture shall include,</w:t>
      </w:r>
    </w:p>
    <w:p>
      <w:pPr>
        <w:spacing w:after="0" w:line="189" w:lineRule="exact"/>
        <w:rPr>
          <w:sz w:val="20"/>
          <w:szCs w:val="20"/>
          <w:color w:val="auto"/>
        </w:rPr>
      </w:pPr>
    </w:p>
    <w:p>
      <w:pPr>
        <w:ind w:right="2539" w:firstLine="479"/>
        <w:spacing w:after="0" w:line="274" w:lineRule="auto"/>
        <w:tabs>
          <w:tab w:leader="none" w:pos="86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each individual signing such certificate or opinion has read such covenant or condition and the definitions herein relating thereto;</w:t>
      </w:r>
    </w:p>
    <w:p>
      <w:pPr>
        <w:spacing w:after="0" w:line="166" w:lineRule="exact"/>
        <w:rPr>
          <w:rFonts w:ascii="Courier New" w:cs="Courier New" w:eastAsia="Courier New" w:hAnsi="Courier New"/>
          <w:sz w:val="15"/>
          <w:szCs w:val="15"/>
          <w:color w:val="auto"/>
        </w:rPr>
      </w:pPr>
    </w:p>
    <w:p>
      <w:pPr>
        <w:ind w:right="3019" w:firstLine="479"/>
        <w:spacing w:after="0" w:line="243" w:lineRule="auto"/>
        <w:tabs>
          <w:tab w:leader="none" w:pos="865"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brief statement as to the nature and scope of the examination or investigation upon which the statements or opinions contained in such certificate or opinion are based;</w:t>
      </w:r>
    </w:p>
    <w:p>
      <w:pPr>
        <w:spacing w:after="0" w:line="188"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200" w:lineRule="exact"/>
        <w:rPr>
          <w:sz w:val="20"/>
          <w:szCs w:val="20"/>
          <w:color w:val="auto"/>
        </w:rPr>
      </w:pPr>
    </w:p>
    <w:p>
      <w:pPr>
        <w:spacing w:after="0" w:line="35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2" w:right="1440" w:bottom="1440" w:gutter="0" w:footer="0" w:header="0"/>
        </w:sectPr>
      </w:pPr>
    </w:p>
    <w:bookmarkStart w:id="187" w:name="page188"/>
    <w:bookmarkEnd w:id="187"/>
    <w:p>
      <w:pPr>
        <w:ind w:right="2539" w:firstLine="479"/>
        <w:spacing w:after="0" w:line="242" w:lineRule="auto"/>
        <w:tabs>
          <w:tab w:leader="none" w:pos="865"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as to whether, in the opinion of each such individual, such condition or covenant has been complied with.</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103. Form of Documents Delivered to Trustee.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91"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104. Acts of Holders; Record Dates.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The Trustee shall promptly deliver to the Company copies of all such instrument or instruments delivered to the Trustee.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192"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1" w:right="1440" w:bottom="1440" w:gutter="0" w:footer="0" w:header="0"/>
        </w:sectPr>
      </w:pPr>
    </w:p>
    <w:bookmarkStart w:id="188" w:name="page189"/>
    <w:bookmarkEnd w:id="188"/>
    <w:p>
      <w:pPr>
        <w:ind w:right="2539"/>
        <w:spacing w:after="0" w:line="263" w:lineRule="auto"/>
        <w:rPr>
          <w:sz w:val="20"/>
          <w:szCs w:val="20"/>
          <w:color w:val="auto"/>
        </w:rPr>
      </w:pPr>
      <w:r>
        <w:rPr>
          <w:rFonts w:ascii="Courier New" w:cs="Courier New" w:eastAsia="Courier New" w:hAnsi="Courier New"/>
          <w:sz w:val="15"/>
          <w:szCs w:val="15"/>
          <w:color w:val="auto"/>
        </w:rPr>
        <w:t>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which the Trustee deems sufficient.</w:t>
      </w:r>
    </w:p>
    <w:p>
      <w:pPr>
        <w:spacing w:after="0" w:line="17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ownership of Securities shall be proved by the Security Register.</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may set any day as a record date for the purpose of determining the Holders of Outstanding Securities of any series entitled to give, make or take any request, demand, authorization, direction, vote,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19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w:t>
      </w:r>
    </w:p>
    <w:p>
      <w:pPr>
        <w:spacing w:after="0" w:line="37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189" w:name="page190"/>
    <w:bookmarkEnd w:id="189"/>
    <w:p>
      <w:pPr>
        <w:ind w:right="2539"/>
        <w:spacing w:after="0" w:line="244" w:lineRule="auto"/>
        <w:rPr>
          <w:sz w:val="20"/>
          <w:szCs w:val="20"/>
          <w:color w:val="auto"/>
        </w:rPr>
      </w:pPr>
      <w:r>
        <w:rPr>
          <w:rFonts w:ascii="Courier New" w:cs="Courier New" w:eastAsia="Courier New" w:hAnsi="Courier New"/>
          <w:sz w:val="16"/>
          <w:szCs w:val="16"/>
          <w:color w:val="auto"/>
        </w:rPr>
        <w:t>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106.</w:t>
      </w:r>
    </w:p>
    <w:p>
      <w:pPr>
        <w:spacing w:after="0" w:line="191"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With respect to any record date set pursuant to this Section, the party hereto which sets such record dates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36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105. Notices, Etc., to Trustee and Company.</w:t>
      </w:r>
    </w:p>
    <w:p>
      <w:pPr>
        <w:spacing w:after="0" w:line="190"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Any request, demand, authorization, direction, notice, consent, waiver or Act of Holders or other document provided or permitted by this Indenture to be made upon, given or furnished to, or filed with,</w:t>
      </w:r>
    </w:p>
    <w:p>
      <w:pPr>
        <w:spacing w:after="0" w:line="189" w:lineRule="exact"/>
        <w:rPr>
          <w:sz w:val="20"/>
          <w:szCs w:val="20"/>
          <w:color w:val="auto"/>
        </w:rPr>
      </w:pPr>
    </w:p>
    <w:p>
      <w:pPr>
        <w:ind w:right="2639" w:firstLine="479"/>
        <w:spacing w:after="0" w:line="244" w:lineRule="auto"/>
        <w:tabs>
          <w:tab w:leader="none" w:pos="865"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by any Holder or by the Company shall be sufficient for every purpose hereunder if made, given, furnished or filed in writing (or by facsimile transmissions ((612) 667-9285), provided that oral confirmation of receipt shall have been received) to or with the Trustee at its Corporate Trust Office, Attention: Corporate Trust Department, or</w:t>
      </w:r>
    </w:p>
    <w:p>
      <w:pPr>
        <w:spacing w:after="0" w:line="187"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previously furnished in writing to the Trustee by the Company, Attention: Chief Financial Officer.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106. Notice to Holders; Waiver.</w:t>
      </w:r>
    </w:p>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1" w:right="1440" w:bottom="1440" w:gutter="0" w:footer="0" w:header="0"/>
        </w:sectPr>
      </w:pPr>
    </w:p>
    <w:bookmarkStart w:id="190" w:name="page191"/>
    <w:bookmarkEnd w:id="190"/>
    <w:p>
      <w:pPr>
        <w:ind w:right="2539" w:firstLine="480"/>
        <w:spacing w:after="0" w:line="244" w:lineRule="auto"/>
        <w:rPr>
          <w:sz w:val="20"/>
          <w:szCs w:val="20"/>
          <w:color w:val="auto"/>
        </w:rPr>
      </w:pPr>
      <w:r>
        <w:rPr>
          <w:rFonts w:ascii="Courier New" w:cs="Courier New" w:eastAsia="Courier New" w:hAnsi="Courier New"/>
          <w:sz w:val="16"/>
          <w:szCs w:val="16"/>
          <w:color w:val="auto"/>
        </w:rPr>
        <w:t>Where this Indenture provides for notice to Holders of any event, such notice shall be sufficiently given (unless otherwise herein expressly provided) if in writing and mailed, first-class postage prepaid,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92"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107. Conflict with Trust Indenture Act.</w:t>
      </w:r>
    </w:p>
    <w:p>
      <w:pPr>
        <w:spacing w:after="0" w:line="190" w:lineRule="exact"/>
        <w:rPr>
          <w:sz w:val="20"/>
          <w:szCs w:val="20"/>
          <w:color w:val="auto"/>
        </w:rPr>
      </w:pPr>
    </w:p>
    <w:p>
      <w:pPr>
        <w:ind w:right="2639" w:firstLine="480"/>
        <w:spacing w:after="0" w:line="263" w:lineRule="auto"/>
        <w:rPr>
          <w:sz w:val="20"/>
          <w:szCs w:val="20"/>
          <w:color w:val="auto"/>
        </w:rPr>
      </w:pPr>
      <w:r>
        <w:rPr>
          <w:rFonts w:ascii="Courier New" w:cs="Courier New" w:eastAsia="Courier New" w:hAnsi="Courier New"/>
          <w:sz w:val="15"/>
          <w:szCs w:val="15"/>
          <w:color w:val="auto"/>
        </w:rPr>
        <w:t>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108. Effect of Headings and Table of Contents.</w:t>
      </w:r>
    </w:p>
    <w:p>
      <w:pPr>
        <w:spacing w:after="0" w:line="190"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The Article and Section headings herein and the Table of Contents are for convenience only and shall not affect the construction hereof.</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109. Successors and Assigns.</w:t>
      </w:r>
    </w:p>
    <w:p>
      <w:pPr>
        <w:spacing w:after="0" w:line="190"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All covenants and agreements in this Indenture by the Company shall bind its successors and assigns, whether so expressed or not.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 Separability Clause.</w:t>
      </w:r>
    </w:p>
    <w:p>
      <w:pPr>
        <w:spacing w:after="0" w:line="190" w:lineRule="exact"/>
        <w:rPr>
          <w:sz w:val="20"/>
          <w:szCs w:val="20"/>
          <w:color w:val="auto"/>
        </w:rPr>
      </w:pPr>
    </w:p>
    <w:p>
      <w:pPr>
        <w:ind w:right="2639" w:firstLine="480"/>
        <w:spacing w:after="0" w:line="267" w:lineRule="auto"/>
        <w:rPr>
          <w:sz w:val="20"/>
          <w:szCs w:val="20"/>
          <w:color w:val="auto"/>
        </w:rPr>
      </w:pPr>
      <w:r>
        <w:rPr>
          <w:rFonts w:ascii="Courier New" w:cs="Courier New" w:eastAsia="Courier New" w:hAnsi="Courier New"/>
          <w:sz w:val="15"/>
          <w:szCs w:val="15"/>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111. Benefits of Indenture.</w:t>
      </w:r>
    </w:p>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2" w:right="1440" w:bottom="1440" w:gutter="0" w:footer="0" w:header="0"/>
        </w:sectPr>
      </w:pPr>
    </w:p>
    <w:bookmarkStart w:id="191" w:name="page192"/>
    <w:bookmarkEnd w:id="191"/>
    <w:p>
      <w:pPr>
        <w:ind w:right="2639" w:firstLine="480"/>
        <w:spacing w:after="0" w:line="243" w:lineRule="auto"/>
        <w:rPr>
          <w:sz w:val="20"/>
          <w:szCs w:val="20"/>
          <w:color w:val="auto"/>
        </w:rPr>
      </w:pPr>
      <w:r>
        <w:rPr>
          <w:rFonts w:ascii="Courier New" w:cs="Courier New" w:eastAsia="Courier New" w:hAnsi="Courier New"/>
          <w:sz w:val="16"/>
          <w:szCs w:val="16"/>
          <w:color w:val="auto"/>
        </w:rPr>
        <w:t>Nothing in this Indenture or in the Securities, express or implied, shall give to any Person, other than the parties hereto and their successors hereunder, the holders of Senior Debt and the Holders, any benefit or any legal or equitable right, remedy or claim under this Indenture.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112. Governing Law.</w:t>
      </w:r>
    </w:p>
    <w:p>
      <w:pPr>
        <w:spacing w:after="0" w:line="190" w:lineRule="exact"/>
        <w:rPr>
          <w:sz w:val="20"/>
          <w:szCs w:val="20"/>
          <w:color w:val="auto"/>
        </w:rPr>
      </w:pPr>
    </w:p>
    <w:p>
      <w:pPr>
        <w:ind w:right="2919" w:firstLine="480"/>
        <w:spacing w:after="0" w:line="242" w:lineRule="auto"/>
        <w:rPr>
          <w:sz w:val="20"/>
          <w:szCs w:val="20"/>
          <w:color w:val="auto"/>
        </w:rPr>
      </w:pPr>
      <w:r>
        <w:rPr>
          <w:rFonts w:ascii="Courier New" w:cs="Courier New" w:eastAsia="Courier New" w:hAnsi="Courier New"/>
          <w:sz w:val="16"/>
          <w:szCs w:val="16"/>
          <w:color w:val="auto"/>
        </w:rPr>
        <w:t>THIS INDENTURE AND THE SECURITIES SHALL BE GOVERNED BY AND CONSTRUED IN ACCORDANCE WITH THE LAW OF THE STATE OF NEW YORK.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113. Legal Holidays.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In any case where any Interest Payment Date, Redemption Date or Stated Maturity of any Security or the last date on which a Holder has the right to convert a Security at a particular conversion price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if applicable to a particular series of Securities, conversion need not be made at such Place of Payment on such date, but may be made on the next succeeding Business Day at such Place of Payment with the same force and effect as if made on the Interest Payment Date or Redemption Date, at the Stated Maturity or on such last day for conversion, as the case may be.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114. Indenture and Securities Solely Corporate Obligations.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 recourse for the payment of the principal of or premium, if any, or interest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189"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TWO</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SECURITY FORMS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201. Forms Generally.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1" w:right="1440" w:bottom="1440" w:gutter="0" w:footer="0" w:header="0"/>
        </w:sectPr>
      </w:pPr>
    </w:p>
    <w:bookmarkStart w:id="192" w:name="page193"/>
    <w:bookmarkEnd w:id="192"/>
    <w:p>
      <w:pPr>
        <w:ind w:right="2539"/>
        <w:spacing w:after="0" w:line="244" w:lineRule="auto"/>
        <w:rPr>
          <w:sz w:val="20"/>
          <w:szCs w:val="20"/>
          <w:color w:val="auto"/>
        </w:rPr>
      </w:pPr>
      <w:r>
        <w:rPr>
          <w:rFonts w:ascii="Courier New" w:cs="Courier New" w:eastAsia="Courier New" w:hAnsi="Courier New"/>
          <w:sz w:val="16"/>
          <w:szCs w:val="16"/>
          <w:color w:val="auto"/>
        </w:rPr>
        <w:t>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 Any such Board Resolution or record of such action shall have attached thereto a true and correct copy of the form of Security referred to therein approved by or pursuant to such Board Resolution.</w:t>
      </w:r>
    </w:p>
    <w:p>
      <w:pPr>
        <w:spacing w:after="0" w:line="191"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202. Form of Face of Security.</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[Insert any legend required by the Internal Revenue Code</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and the regulations thereunder.]</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MICRON TECHNOLOGY, INC.</w:t>
      </w:r>
    </w:p>
    <w:p>
      <w:pPr>
        <w:spacing w:after="0" w:line="188"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71" w:right="1440" w:bottom="1440" w:gutter="0" w:footer="0" w:header="0"/>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_________</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200" w:lineRule="exact"/>
        <w:rPr>
          <w:sz w:val="20"/>
          <w:szCs w:val="20"/>
          <w:color w:val="auto"/>
        </w:rPr>
      </w:pPr>
    </w:p>
    <w:p>
      <w:pPr>
        <w:sectPr>
          <w:pgSz w:w="11900" w:h="16838" w:orient="portrait"/>
          <w:cols w:equalWidth="0" w:num="2">
            <w:col w:w="5620" w:space="720"/>
            <w:col w:w="3879"/>
          </w:cols>
          <w:pgMar w:left="240" w:top="671" w:right="1440" w:bottom="1440" w:gutter="0" w:footer="0" w:header="0"/>
          <w:type w:val="continuous"/>
        </w:sectPr>
      </w:pPr>
    </w:p>
    <w:p>
      <w:pPr>
        <w:ind w:right="2819" w:firstLine="480"/>
        <w:spacing w:after="0" w:line="243" w:lineRule="auto"/>
        <w:rPr>
          <w:sz w:val="20"/>
          <w:szCs w:val="20"/>
          <w:color w:val="auto"/>
        </w:rPr>
      </w:pPr>
      <w:r>
        <w:rPr>
          <w:rFonts w:ascii="Courier New" w:cs="Courier New" w:eastAsia="Courier New" w:hAnsi="Courier New"/>
          <w:sz w:val="16"/>
          <w:szCs w:val="16"/>
          <w:color w:val="auto"/>
        </w:rPr>
        <w:t>Micron Technology, Inc., a corporation duly organized and existing under the laws of Delaware (herein called the "Company," which term includes any successor Person under the Indenture hereinafter referred to), for value received, hereby promises to pay to ________________________, or registered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assigns, the principal sum of ____________________ Dollars on ________________</w:t>
      </w:r>
    </w:p>
    <w:p>
      <w:pPr>
        <w:spacing w:after="0" w:line="5" w:lineRule="exact"/>
        <w:rPr>
          <w:sz w:val="20"/>
          <w:szCs w:val="20"/>
          <w:color w:val="auto"/>
        </w:rPr>
      </w:pPr>
    </w:p>
    <w:p>
      <w:pPr>
        <w:ind w:right="2539"/>
        <w:spacing w:after="0" w:line="260" w:lineRule="auto"/>
        <w:rPr>
          <w:sz w:val="20"/>
          <w:szCs w:val="20"/>
          <w:color w:val="auto"/>
        </w:rPr>
      </w:pPr>
      <w:r>
        <w:rPr>
          <w:rFonts w:ascii="Courier New" w:cs="Courier New" w:eastAsia="Courier New" w:hAnsi="Courier New"/>
          <w:sz w:val="15"/>
          <w:szCs w:val="15"/>
          <w:color w:val="auto"/>
        </w:rPr>
        <w:t>[if the Security is to bear interest prior to Maturity, insert -- , and to pay interest thereon from _________ or from the most recent Interest Payment Date to</w:t>
      </w:r>
    </w:p>
    <w:p>
      <w:pPr>
        <w:spacing w:after="0"/>
        <w:rPr>
          <w:sz w:val="20"/>
          <w:szCs w:val="20"/>
          <w:color w:val="auto"/>
        </w:rPr>
      </w:pPr>
      <w:r>
        <w:rPr>
          <w:rFonts w:ascii="Courier New" w:cs="Courier New" w:eastAsia="Courier New" w:hAnsi="Courier New"/>
          <w:sz w:val="16"/>
          <w:szCs w:val="16"/>
          <w:color w:val="auto"/>
        </w:rPr>
        <w:t>which interest has been paid or duly provided for, semi-annually on 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_________ in each year, commencing _________, at the rate of ___% per annum,</w:t>
      </w:r>
    </w:p>
    <w:p>
      <w:pPr>
        <w:spacing w:after="0" w:line="15" w:lineRule="exact"/>
        <w:rPr>
          <w:sz w:val="20"/>
          <w:szCs w:val="20"/>
          <w:color w:val="auto"/>
        </w:rPr>
      </w:pPr>
    </w:p>
    <w:p>
      <w:pPr>
        <w:ind w:right="2539"/>
        <w:spacing w:after="0" w:line="260" w:lineRule="auto"/>
        <w:rPr>
          <w:sz w:val="20"/>
          <w:szCs w:val="20"/>
          <w:color w:val="auto"/>
        </w:rPr>
      </w:pPr>
      <w:r>
        <w:rPr>
          <w:rFonts w:ascii="Courier New" w:cs="Courier New" w:eastAsia="Courier New" w:hAnsi="Courier New"/>
          <w:sz w:val="15"/>
          <w:szCs w:val="15"/>
          <w:color w:val="auto"/>
        </w:rPr>
        <w:t>until the principal hereof is paid or made available for payment [if applicable, insert -- , provided that any principal and premium, and any such instalment of interest, which is overdue shall bear interest at the rate of ___%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______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 (whether or not a Business Day), as the case may be, next preceding such</w:t>
      </w:r>
    </w:p>
    <w:p>
      <w:pPr>
        <w:spacing w:after="0" w:line="1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1" w:right="1440" w:bottom="1440" w:gutter="0" w:footer="0" w:header="0"/>
          <w:type w:val="continuous"/>
        </w:sectPr>
      </w:pPr>
    </w:p>
    <w:bookmarkStart w:id="193" w:name="page194"/>
    <w:bookmarkEnd w:id="193"/>
    <w:p>
      <w:pPr>
        <w:ind w:right="2639"/>
        <w:spacing w:after="0" w:line="244" w:lineRule="auto"/>
        <w:rPr>
          <w:sz w:val="20"/>
          <w:szCs w:val="20"/>
          <w:color w:val="auto"/>
        </w:rPr>
      </w:pPr>
      <w:r>
        <w:rPr>
          <w:rFonts w:ascii="Courier New" w:cs="Courier New" w:eastAsia="Courier New" w:hAnsi="Courier New"/>
          <w:sz w:val="16"/>
          <w:szCs w:val="16"/>
          <w:color w:val="auto"/>
        </w:rPr>
        <w:t>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 interest at the rate of ___%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___%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191" w:lineRule="exact"/>
        <w:rPr>
          <w:sz w:val="20"/>
          <w:szCs w:val="20"/>
          <w:color w:val="auto"/>
        </w:rPr>
      </w:pPr>
    </w:p>
    <w:p>
      <w:pPr>
        <w:ind w:right="2639" w:firstLine="480"/>
        <w:spacing w:after="0" w:line="260" w:lineRule="auto"/>
        <w:rPr>
          <w:sz w:val="20"/>
          <w:szCs w:val="20"/>
          <w:color w:val="auto"/>
        </w:rPr>
      </w:pPr>
      <w:r>
        <w:rPr>
          <w:rFonts w:ascii="Courier New" w:cs="Courier New" w:eastAsia="Courier New" w:hAnsi="Courier New"/>
          <w:sz w:val="15"/>
          <w:szCs w:val="15"/>
          <w:color w:val="auto"/>
        </w:rPr>
        <w:t>Payment of the principal of (and premium, if any) and [if applicable, insert -- any such] interest on this Security will be made at the office or agency of the Company maintained for that purpose in _________, in such coin or</w:t>
      </w:r>
    </w:p>
    <w:p>
      <w:pPr>
        <w:spacing w:after="0" w:line="2"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currency of the United States of America as at the time of payment is legal tender for payment of public and private debts [if applicable, insert -- ; provided, however, that at the option of the Company payment of interest may be made by check mailed to the address of the Person entitled thereto as such address shall appear in the Security Register].</w:t>
      </w:r>
    </w:p>
    <w:p>
      <w:pPr>
        <w:spacing w:after="0" w:line="187" w:lineRule="exact"/>
        <w:rPr>
          <w:sz w:val="20"/>
          <w:szCs w:val="20"/>
          <w:color w:val="auto"/>
        </w:rPr>
      </w:pPr>
    </w:p>
    <w:p>
      <w:pPr>
        <w:jc w:val="both"/>
        <w:ind w:right="2919" w:firstLine="480"/>
        <w:spacing w:after="0" w:line="243" w:lineRule="auto"/>
        <w:rPr>
          <w:sz w:val="20"/>
          <w:szCs w:val="20"/>
          <w:color w:val="auto"/>
        </w:rPr>
      </w:pPr>
      <w:r>
        <w:rPr>
          <w:rFonts w:ascii="Courier New" w:cs="Courier New" w:eastAsia="Courier New" w:hAnsi="Courier New"/>
          <w:sz w:val="16"/>
          <w:szCs w:val="16"/>
          <w:color w:val="auto"/>
        </w:rPr>
        <w:t>Reference is hereby made to the further provisions of this Security set forth on the reverse hereof, which further provisions shall for all purposes have the same effect as if set forth at this place.</w:t>
      </w:r>
    </w:p>
    <w:p>
      <w:pPr>
        <w:spacing w:after="0" w:line="189"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90" w:lineRule="exact"/>
        <w:rPr>
          <w:sz w:val="20"/>
          <w:szCs w:val="20"/>
          <w:color w:val="auto"/>
        </w:rPr>
      </w:pPr>
    </w:p>
    <w:p>
      <w:pPr>
        <w:ind w:right="3119" w:firstLine="480"/>
        <w:spacing w:after="0" w:line="242" w:lineRule="auto"/>
        <w:rPr>
          <w:sz w:val="20"/>
          <w:szCs w:val="20"/>
          <w:color w:val="auto"/>
        </w:rPr>
      </w:pPr>
      <w:r>
        <w:rPr>
          <w:rFonts w:ascii="Courier New" w:cs="Courier New" w:eastAsia="Courier New" w:hAnsi="Courier New"/>
          <w:sz w:val="16"/>
          <w:szCs w:val="16"/>
          <w:color w:val="auto"/>
        </w:rPr>
        <w:t>IN WITNESS WHEREOF, the Company has caused this instrument to be duly executed under its corporate seal.</w:t>
      </w:r>
    </w:p>
    <w:p>
      <w:pPr>
        <w:sectPr>
          <w:pgSz w:w="11900" w:h="16838" w:orient="portrait"/>
          <w:cols w:equalWidth="0" w:num="1">
            <w:col w:w="10219"/>
          </w:cols>
          <w:pgMar w:left="240" w:top="672" w:right="1440" w:bottom="1440" w:gutter="0" w:footer="0" w:header="0"/>
        </w:sectPr>
      </w:pP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6"/>
          <w:szCs w:val="16"/>
          <w:color w:val="auto"/>
        </w:rPr>
        <w:t>MICRON TECHNOLOGY, INC.</w:t>
      </w:r>
    </w:p>
    <w:p>
      <w:pPr>
        <w:spacing w:after="0" w:line="200" w:lineRule="exact"/>
        <w:rPr>
          <w:sz w:val="20"/>
          <w:szCs w:val="20"/>
          <w:color w:val="auto"/>
        </w:rPr>
      </w:pPr>
    </w:p>
    <w:p>
      <w:pPr>
        <w:sectPr>
          <w:pgSz w:w="11900" w:h="16838" w:orient="portrait"/>
          <w:cols w:equalWidth="0" w:num="2">
            <w:col w:w="3600" w:space="720"/>
            <w:col w:w="5899"/>
          </w:cols>
          <w:pgMar w:left="240" w:top="672" w:right="1440" w:bottom="1440" w:gutter="0" w:footer="0" w:header="0"/>
          <w:type w:val="continuous"/>
        </w:sectPr>
      </w:pPr>
    </w:p>
    <w:p>
      <w:pPr>
        <w:spacing w:after="0" w:line="17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2" w:right="1440" w:bottom="1440" w:gutter="0" w:footer="0" w:header="0"/>
          <w:type w:val="continuous"/>
        </w:sectPr>
      </w:pPr>
    </w:p>
    <w:bookmarkStart w:id="194" w:name="page195"/>
    <w:bookmarkEnd w:id="194"/>
    <w:p>
      <w:pPr>
        <w:spacing w:after="0"/>
        <w:rPr>
          <w:sz w:val="20"/>
          <w:szCs w:val="20"/>
          <w:color w:val="auto"/>
        </w:rPr>
      </w:pPr>
      <w:r>
        <w:rPr>
          <w:rFonts w:ascii="Courier New" w:cs="Courier New" w:eastAsia="Courier New" w:hAnsi="Courier New"/>
          <w:sz w:val="16"/>
          <w:szCs w:val="16"/>
          <w:color w:val="auto"/>
        </w:rPr>
        <w:t>SECTION 203. Form of Reverse of Security.</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This Security is one of a duly authorized issue of securities of the Company (herein called the "Securities"), issued and to be issued in one or more series under an Indenture, dated as of __________, 1997 (herein called the</w:t>
      </w:r>
    </w:p>
    <w:p>
      <w:pPr>
        <w:spacing w:after="0" w:line="4"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"Indenture," which term shall have the meaning assigned to it in such instrument), between the Company and Norwest Bank Minnesota, National Association,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 Trustee, the holders of Senior Debt and the Holders of the Securities and of the terms upon which the Securities are, and are to be, authenticated and delivered. This Security is one of the series designated on the face hereof [if applicable, insert -- , limited in aggregate principal amount to $_________].</w:t>
      </w:r>
    </w:p>
    <w:p>
      <w:pPr>
        <w:spacing w:after="0" w:line="190" w:lineRule="exact"/>
        <w:rPr>
          <w:sz w:val="20"/>
          <w:szCs w:val="20"/>
          <w:color w:val="auto"/>
        </w:rPr>
      </w:pPr>
    </w:p>
    <w:p>
      <w:pPr>
        <w:ind w:right="2539" w:firstLine="480"/>
        <w:spacing w:after="0" w:line="260" w:lineRule="auto"/>
        <w:rPr>
          <w:sz w:val="20"/>
          <w:szCs w:val="20"/>
          <w:color w:val="auto"/>
        </w:rPr>
      </w:pPr>
      <w:r>
        <w:rPr>
          <w:rFonts w:ascii="Courier New" w:cs="Courier New" w:eastAsia="Courier New" w:hAnsi="Courier New"/>
          <w:sz w:val="15"/>
          <w:szCs w:val="15"/>
          <w:color w:val="auto"/>
        </w:rPr>
        <w:t>[If applicable, insert -- The Securities of this series are subject to redemption upon not less than [If applicable, insert -- 30] days' notice by mail, [if applicable, insert -- (1) on _________ in any year commencing with the</w:t>
      </w:r>
    </w:p>
    <w:p>
      <w:pPr>
        <w:spacing w:after="0"/>
        <w:rPr>
          <w:sz w:val="20"/>
          <w:szCs w:val="20"/>
          <w:color w:val="auto"/>
        </w:rPr>
      </w:pPr>
      <w:r>
        <w:rPr>
          <w:rFonts w:ascii="Courier New" w:cs="Courier New" w:eastAsia="Courier New" w:hAnsi="Courier New"/>
          <w:sz w:val="16"/>
          <w:szCs w:val="16"/>
          <w:color w:val="auto"/>
        </w:rPr>
        <w:t>year _____ and ending with the year _____ through operation of the sinking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this series at a Redemption Price equal to 100% of the principal amount, and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at any time [if applicable, insert -- on or after _________, 19__], as a</w:t>
      </w:r>
    </w:p>
    <w:p>
      <w:pPr>
        <w:spacing w:after="0" w:line="5" w:lineRule="exact"/>
        <w:rPr>
          <w:sz w:val="20"/>
          <w:szCs w:val="20"/>
          <w:color w:val="auto"/>
        </w:rPr>
      </w:pPr>
    </w:p>
    <w:p>
      <w:pPr>
        <w:ind w:right="2639"/>
        <w:spacing w:after="0" w:line="260" w:lineRule="auto"/>
        <w:rPr>
          <w:sz w:val="20"/>
          <w:szCs w:val="20"/>
          <w:color w:val="auto"/>
        </w:rPr>
      </w:pPr>
      <w:r>
        <w:rPr>
          <w:rFonts w:ascii="Courier New" w:cs="Courier New" w:eastAsia="Courier New" w:hAnsi="Courier New"/>
          <w:sz w:val="15"/>
          <w:szCs w:val="15"/>
          <w:color w:val="auto"/>
        </w:rPr>
        <w:t>whole or in part, at the election of the Company, at the following Redemption Prices (expressed as percentages of the principal amount): If redeemed [if applicable, insert -- on or before _________, ___%, and if redeemed] during the</w:t>
      </w:r>
    </w:p>
    <w:p>
      <w:pPr>
        <w:spacing w:after="0"/>
        <w:rPr>
          <w:sz w:val="20"/>
          <w:szCs w:val="20"/>
          <w:color w:val="auto"/>
        </w:rPr>
      </w:pPr>
      <w:r>
        <w:rPr>
          <w:rFonts w:ascii="Courier New" w:cs="Courier New" w:eastAsia="Courier New" w:hAnsi="Courier New"/>
          <w:sz w:val="16"/>
          <w:szCs w:val="16"/>
          <w:color w:val="auto"/>
        </w:rPr>
        <w:t>12-month period beginning ________ of the years indicated, and thereafter at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 Price equal to .....% of the principal amount, together in the case</w:t>
      </w:r>
    </w:p>
    <w:p>
      <w:pPr>
        <w:spacing w:after="0" w:line="5"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of any such redemption [if applicable, insert --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680" w:type="dxa"/>
        <w:tblCellMar>
          <w:top w:w="0" w:type="dxa"/>
          <w:left w:w="0" w:type="dxa"/>
          <w:bottom w:w="0" w:type="dxa"/>
          <w:right w:w="0" w:type="dxa"/>
        </w:tblCellMar>
      </w:tblPr>
      <w:tr>
        <w:trPr>
          <w:trHeight w:val="181"/>
        </w:trPr>
        <w:tc>
          <w:tcPr>
            <w:tcW w:w="860" w:type="dxa"/>
            <w:vAlign w:val="bottom"/>
          </w:tcPr>
          <w:p>
            <w:pPr>
              <w:spacing w:after="0"/>
              <w:rPr>
                <w:sz w:val="15"/>
                <w:szCs w:val="15"/>
                <w:color w:val="auto"/>
              </w:rPr>
            </w:pPr>
          </w:p>
        </w:tc>
        <w:tc>
          <w:tcPr>
            <w:tcW w:w="2580" w:type="dxa"/>
            <w:vAlign w:val="bottom"/>
          </w:tcPr>
          <w:p>
            <w:pPr>
              <w:ind w:left="480"/>
              <w:spacing w:after="0"/>
              <w:rPr>
                <w:sz w:val="20"/>
                <w:szCs w:val="20"/>
                <w:color w:val="auto"/>
              </w:rPr>
            </w:pPr>
            <w:r>
              <w:rPr>
                <w:rFonts w:ascii="Courier New" w:cs="Courier New" w:eastAsia="Courier New" w:hAnsi="Courier New"/>
                <w:sz w:val="16"/>
                <w:szCs w:val="16"/>
                <w:color w:val="auto"/>
              </w:rPr>
              <w:t>Redemption</w:t>
            </w:r>
          </w:p>
        </w:tc>
        <w:tc>
          <w:tcPr>
            <w:tcW w:w="2080" w:type="dxa"/>
            <w:vAlign w:val="bottom"/>
          </w:tcPr>
          <w:p>
            <w:pPr>
              <w:spacing w:after="0"/>
              <w:rPr>
                <w:sz w:val="15"/>
                <w:szCs w:val="15"/>
                <w:color w:val="auto"/>
              </w:rPr>
            </w:pPr>
          </w:p>
        </w:tc>
        <w:tc>
          <w:tcPr>
            <w:tcW w:w="1480" w:type="dxa"/>
            <w:vAlign w:val="bottom"/>
          </w:tcPr>
          <w:p>
            <w:pPr>
              <w:ind w:left="520"/>
              <w:spacing w:after="0"/>
              <w:rPr>
                <w:sz w:val="20"/>
                <w:szCs w:val="20"/>
                <w:color w:val="auto"/>
              </w:rPr>
            </w:pPr>
            <w:r>
              <w:rPr>
                <w:rFonts w:ascii="Courier New" w:cs="Courier New" w:eastAsia="Courier New" w:hAnsi="Courier New"/>
                <w:sz w:val="16"/>
                <w:szCs w:val="16"/>
                <w:color w:val="auto"/>
                <w:w w:val="97"/>
              </w:rPr>
              <w:t>Redemption</w:t>
            </w:r>
          </w:p>
        </w:tc>
      </w:tr>
      <w:tr>
        <w:trPr>
          <w:trHeight w:val="185"/>
        </w:trPr>
        <w:tc>
          <w:tcPr>
            <w:tcW w:w="86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2580" w:type="dxa"/>
            <w:vAlign w:val="bottom"/>
          </w:tcPr>
          <w:p>
            <w:pPr>
              <w:ind w:left="660"/>
              <w:spacing w:after="0"/>
              <w:rPr>
                <w:sz w:val="20"/>
                <w:szCs w:val="20"/>
                <w:color w:val="auto"/>
              </w:rPr>
            </w:pPr>
            <w:r>
              <w:rPr>
                <w:rFonts w:ascii="Courier New" w:cs="Courier New" w:eastAsia="Courier New" w:hAnsi="Courier New"/>
                <w:sz w:val="16"/>
                <w:szCs w:val="16"/>
                <w:color w:val="auto"/>
              </w:rPr>
              <w:t>Price</w:t>
            </w:r>
          </w:p>
        </w:tc>
        <w:tc>
          <w:tcPr>
            <w:tcW w:w="2080" w:type="dxa"/>
            <w:vAlign w:val="bottom"/>
          </w:tcPr>
          <w:p>
            <w:pPr>
              <w:ind w:left="1160"/>
              <w:spacing w:after="0"/>
              <w:rPr>
                <w:sz w:val="20"/>
                <w:szCs w:val="20"/>
                <w:color w:val="auto"/>
              </w:rPr>
            </w:pPr>
            <w:r>
              <w:rPr>
                <w:rFonts w:ascii="Courier New" w:cs="Courier New" w:eastAsia="Courier New" w:hAnsi="Courier New"/>
                <w:sz w:val="16"/>
                <w:szCs w:val="16"/>
                <w:color w:val="auto"/>
              </w:rPr>
              <w:t>Year</w:t>
            </w:r>
          </w:p>
        </w:tc>
        <w:tc>
          <w:tcPr>
            <w:tcW w:w="1480" w:type="dxa"/>
            <w:vAlign w:val="bottom"/>
          </w:tcPr>
          <w:p>
            <w:pPr>
              <w:ind w:left="820"/>
              <w:spacing w:after="0"/>
              <w:rPr>
                <w:sz w:val="20"/>
                <w:szCs w:val="20"/>
                <w:color w:val="auto"/>
              </w:rPr>
            </w:pPr>
            <w:r>
              <w:rPr>
                <w:rFonts w:ascii="Courier New" w:cs="Courier New" w:eastAsia="Courier New" w:hAnsi="Courier New"/>
                <w:sz w:val="16"/>
                <w:szCs w:val="16"/>
                <w:color w:val="auto"/>
              </w:rPr>
              <w:t>Price</w:t>
            </w:r>
          </w:p>
        </w:tc>
      </w:tr>
      <w:tr>
        <w:trPr>
          <w:trHeight w:val="185"/>
        </w:trPr>
        <w:tc>
          <w:tcPr>
            <w:tcW w:w="8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58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520"/>
              <w:spacing w:after="0"/>
              <w:rPr>
                <w:sz w:val="20"/>
                <w:szCs w:val="20"/>
                <w:color w:val="auto"/>
              </w:rPr>
            </w:pPr>
            <w:r>
              <w:rPr>
                <w:rFonts w:ascii="Courier New" w:cs="Courier New" w:eastAsia="Courier New" w:hAnsi="Courier New"/>
                <w:sz w:val="16"/>
                <w:szCs w:val="16"/>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[If applicable, insert -- The Securities of this series are subject to redemption upon not less than [if applicable, insert -- 30] days' notice by mail, (1) on _________ in any year commencing with the year _____ and ending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year _____ through operation of the sinking fund for this series at the</w:t>
      </w:r>
    </w:p>
    <w:p>
      <w:pPr>
        <w:spacing w:after="0" w:line="15" w:lineRule="exact"/>
        <w:rPr>
          <w:sz w:val="20"/>
          <w:szCs w:val="20"/>
          <w:color w:val="auto"/>
        </w:rPr>
      </w:pPr>
    </w:p>
    <w:p>
      <w:pPr>
        <w:ind w:right="2539"/>
        <w:spacing w:after="0" w:line="260" w:lineRule="auto"/>
        <w:rPr>
          <w:sz w:val="20"/>
          <w:szCs w:val="20"/>
          <w:color w:val="auto"/>
        </w:rPr>
      </w:pPr>
      <w:r>
        <w:rPr>
          <w:rFonts w:ascii="Courier New" w:cs="Courier New" w:eastAsia="Courier New" w:hAnsi="Courier New"/>
          <w:sz w:val="15"/>
          <w:szCs w:val="15"/>
          <w:color w:val="auto"/>
        </w:rPr>
        <w:t>Redemption Prices for redemption through operation of the sinking fund (expressed as percentages of the principal amount) set forth in the table below, and (2) at any time [if applicable, insert -- on or after __________], as a</w:t>
      </w:r>
    </w:p>
    <w:p>
      <w:pPr>
        <w:spacing w:after="0" w:line="2"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whole or in part, at the election of the Company, at the Redemption Prices for redemption otherwise than through operation of the sinking fund (expressed as percentages of the principal amount) set forth in the table below: If redeemed during the 12-month period beginning ________ of the years indicated,</w:t>
      </w:r>
    </w:p>
    <w:p>
      <w:pPr>
        <w:spacing w:after="0" w:line="200" w:lineRule="exact"/>
        <w:rPr>
          <w:sz w:val="20"/>
          <w:szCs w:val="20"/>
          <w:color w:val="auto"/>
        </w:rPr>
      </w:pPr>
    </w:p>
    <w:p>
      <w:pPr>
        <w:spacing w:after="0" w:line="35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9" w:right="1440" w:bottom="1440" w:gutter="0" w:footer="0" w:header="0"/>
        </w:sectPr>
      </w:pPr>
    </w:p>
    <w:bookmarkStart w:id="195" w:name="page196"/>
    <w:bookmarkEnd w:id="195"/>
    <w:p>
      <w:pPr>
        <w:spacing w:after="0" w:line="200" w:lineRule="exact"/>
        <w:rPr>
          <w:sz w:val="20"/>
          <w:szCs w:val="20"/>
          <w:color w:val="auto"/>
        </w:rPr>
      </w:pPr>
    </w:p>
    <w:p>
      <w:pPr>
        <w:spacing w:after="0" w:line="35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Redemption Price For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Redemption Through</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Operation of the</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Sinking Fund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Redemption Price For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Redemption Otherwise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 Through Operation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of the Sinking Fund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440" w:space="380"/>
            <w:col w:w="2600" w:space="380"/>
            <w:col w:w="5419"/>
          </w:cols>
          <w:pgMar w:left="240" w:top="1039" w:right="1440" w:bottom="1440" w:gutter="0" w:footer="0" w:header="0"/>
        </w:sectPr>
      </w:pPr>
    </w:p>
    <w:p>
      <w:pPr>
        <w:spacing w:after="0" w:line="360"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and thereafter at a Redemption Price equal to ___%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75"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[If applicable, insert -- Notwithstanding the foregoing, the Company may not, prior to __________, redeem any Securities of this series as contemplated</w:t>
      </w:r>
    </w:p>
    <w:p>
      <w:pPr>
        <w:spacing w:after="0" w:line="4"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by [if applicable, insert -- Clause (2) of] the preceding paragraph as a part of, or in anticipation of, any refunding operation by the application, directly or indirectly, of moneys borrowed having an interest cost to the Company (calculated in accordance with generally accepted financial practice) of less than ___% per annum.]</w:t>
      </w:r>
    </w:p>
    <w:p>
      <w:pPr>
        <w:spacing w:after="0" w:line="187" w:lineRule="exact"/>
        <w:rPr>
          <w:sz w:val="20"/>
          <w:szCs w:val="20"/>
          <w:color w:val="auto"/>
        </w:rPr>
      </w:pPr>
    </w:p>
    <w:p>
      <w:pPr>
        <w:ind w:right="2539" w:firstLine="480"/>
        <w:spacing w:after="0" w:line="260" w:lineRule="auto"/>
        <w:rPr>
          <w:sz w:val="20"/>
          <w:szCs w:val="20"/>
          <w:color w:val="auto"/>
        </w:rPr>
      </w:pPr>
      <w:r>
        <w:rPr>
          <w:rFonts w:ascii="Courier New" w:cs="Courier New" w:eastAsia="Courier New" w:hAnsi="Courier New"/>
          <w:sz w:val="15"/>
          <w:szCs w:val="15"/>
          <w:color w:val="auto"/>
        </w:rPr>
        <w:t>[If applicable, insert -- The sinking fund for this series provides for the redemption on _________, in each year beginning with the year _____ and ending</w:t>
      </w:r>
    </w:p>
    <w:p>
      <w:pPr>
        <w:spacing w:after="0"/>
        <w:rPr>
          <w:sz w:val="20"/>
          <w:szCs w:val="20"/>
          <w:color w:val="auto"/>
        </w:rPr>
      </w:pPr>
      <w:r>
        <w:rPr>
          <w:rFonts w:ascii="Courier New" w:cs="Courier New" w:eastAsia="Courier New" w:hAnsi="Courier New"/>
          <w:sz w:val="16"/>
          <w:szCs w:val="16"/>
          <w:color w:val="auto"/>
        </w:rPr>
        <w:t>with the year _____ of [if applicable, insert -- not less than $_______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sinking fund") and not more than] $_______ aggregate principal</w:t>
      </w:r>
    </w:p>
    <w:p>
      <w:pPr>
        <w:spacing w:after="0" w:line="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amount of Securities of this series. Securities of this series acquired or redeemed by the Company otherwise than through [if applicable, insert -- mandatory] sinking fund payments may be credited against subsequent [if applicable, insert -- mandatory] sinking fund payments otherwise required to be made [if applicable, insert -- , in the inverse order in which they become due].]</w:t>
      </w:r>
    </w:p>
    <w:p>
      <w:pPr>
        <w:spacing w:after="0" w:line="188"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w:t>
      </w:r>
    </w:p>
    <w:p>
      <w:pPr>
        <w:spacing w:after="0" w:line="190"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[If applicable, insert --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7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the Security is convertible into Common Stock of the Company, insert -- Subject to the provisions of the Indenture, the Holder of this Security is entitled, at its option, at any time on or before [insert date] (except that, in case this Security or any portion hereof shall be called for redemption, such right shall terminate with respect to this Security or portion hereof, as the case may be, so called for redemption at the close of business on the first Business Day next preceding the date fixed for redemption as provided in the Indenture unless the Company defaults in making the payment due upon redemption), to convert the principal amount of this Security (or any portion hereof which is $1,000 or an integral multiple thereof), into fully paid and</w:t>
      </w:r>
    </w:p>
    <w:p>
      <w:pPr>
        <w:spacing w:after="0" w:line="200" w:lineRule="exact"/>
        <w:rPr>
          <w:sz w:val="20"/>
          <w:szCs w:val="20"/>
          <w:color w:val="auto"/>
        </w:rPr>
      </w:pPr>
    </w:p>
    <w:p>
      <w:pPr>
        <w:spacing w:after="0" w:line="35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1039" w:right="1440" w:bottom="1440" w:gutter="0" w:footer="0" w:header="0"/>
          <w:type w:val="continuous"/>
        </w:sectPr>
      </w:pPr>
    </w:p>
    <w:bookmarkStart w:id="196" w:name="page197"/>
    <w:bookmarkEnd w:id="196"/>
    <w:p>
      <w:pPr>
        <w:ind w:right="2719"/>
        <w:spacing w:after="0" w:line="243" w:lineRule="auto"/>
        <w:rPr>
          <w:sz w:val="20"/>
          <w:szCs w:val="20"/>
          <w:color w:val="auto"/>
        </w:rPr>
      </w:pPr>
      <w:r>
        <w:rPr>
          <w:rFonts w:ascii="Courier New" w:cs="Courier New" w:eastAsia="Courier New" w:hAnsi="Courier New"/>
          <w:sz w:val="16"/>
          <w:szCs w:val="16"/>
          <w:color w:val="auto"/>
        </w:rPr>
        <w:t>non-assessable shares (calculated as to each conversion to the nearest 1/100th of a share) of the Common Stock of the Company, as said shares shall be constituted at the date of conversion, at the conversion price of $______</w:t>
      </w:r>
    </w:p>
    <w:p>
      <w:pPr>
        <w:spacing w:after="0" w:line="4" w:lineRule="exact"/>
        <w:rPr>
          <w:sz w:val="20"/>
          <w:szCs w:val="20"/>
          <w:color w:val="auto"/>
        </w:rPr>
      </w:pPr>
    </w:p>
    <w:p>
      <w:pPr>
        <w:ind w:right="2639"/>
        <w:spacing w:after="0" w:line="260" w:lineRule="auto"/>
        <w:rPr>
          <w:sz w:val="20"/>
          <w:szCs w:val="20"/>
          <w:color w:val="auto"/>
        </w:rPr>
      </w:pPr>
      <w:r>
        <w:rPr>
          <w:rFonts w:ascii="Courier New" w:cs="Courier New" w:eastAsia="Courier New" w:hAnsi="Courier New"/>
          <w:sz w:val="15"/>
          <w:szCs w:val="15"/>
          <w:color w:val="auto"/>
        </w:rPr>
        <w:t>principal amount of Securities for each share of Common Stock, or at the adjusted conversion price in effect at the date of conversion determined as provided in the Indenture, upon surrender of this Security, together with the conversion notice hereon duly executed, to the Company at the designated office or agency of the Company in ____________, accompanied (if so required by the</w:t>
      </w:r>
    </w:p>
    <w:p>
      <w:pPr>
        <w:spacing w:after="0" w:line="3"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Company) by instruments of transfer, in form satisfactory to the Company and to the Trustee, duly executed by the Holder or by its duly authorized attorney in writing. Such surrender shall, if made during any period beginning at the close of business on a Regular Record Date and ending at the opening of business on the Interest Payment Date next following such Regular Record Date (unless this Security or the portion being converted shall have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also be accompanied by payment in funds acceptable to the Company of an amount equal to the interest payable on such Interest Payment Date on the principal amount of this Security then being converted. Subject to the aforesaid requirement for payment and, in the case of a conversion after the Regular Record Date next preceding any Interest Payment Date and on or before such Interest Payment Date, to the right of the Holder of this Security (or any Predecessor Security) of record at such Regular Record Date to receive an installment of interest (with certain exceptions provided in the Indenture), no adjustment is to be made on conversion for interest accrued hereon or for dividends on shares of Common Stock issued on conversion. The Company is not required to issue fractional shares upon any such conversion, but shall make adjustment therefor in cash on the basis of the current market value of such fractional interest as provided in the Indenture. The conversion price is subject to adjustment as provided in the Indenture. In addition, the Indenture provides that in case of certain consolidations or mergers to which the Company is a party or the sale of substantially all of the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the consolidation, merger or sale by a holder of the number of shares of Common Stock into which this Security might have been converted immediately prior to such consolidation, merger or sale (assuming such holder of Common Stock failed to exercise any rights of election and received per share the kind and amount received per share by a plurality of non-electing shares). In the event of conversion of this Security in part only, a new Security or Securities for the unconverted portion hereof shall be issued in the name of the Holder hereof upon the cancellation hereof.]</w:t>
      </w:r>
    </w:p>
    <w:p>
      <w:pPr>
        <w:spacing w:after="0" w:line="200" w:lineRule="exact"/>
        <w:rPr>
          <w:sz w:val="20"/>
          <w:szCs w:val="20"/>
          <w:color w:val="auto"/>
        </w:rPr>
      </w:pPr>
    </w:p>
    <w:p>
      <w:pPr>
        <w:spacing w:after="0" w:line="354" w:lineRule="exact"/>
        <w:rPr>
          <w:sz w:val="20"/>
          <w:szCs w:val="20"/>
          <w:color w:val="auto"/>
        </w:rPr>
      </w:pPr>
    </w:p>
    <w:p>
      <w:pPr>
        <w:ind w:right="3119" w:firstLine="480"/>
        <w:spacing w:after="0" w:line="242" w:lineRule="auto"/>
        <w:rPr>
          <w:sz w:val="20"/>
          <w:szCs w:val="20"/>
          <w:color w:val="auto"/>
        </w:rPr>
      </w:pPr>
      <w:r>
        <w:rPr>
          <w:rFonts w:ascii="Courier New" w:cs="Courier New" w:eastAsia="Courier New" w:hAnsi="Courier New"/>
          <w:sz w:val="16"/>
          <w:szCs w:val="16"/>
          <w:color w:val="auto"/>
        </w:rPr>
        <w:t>[If the Security is convertible into other securities of the Company, specify the conversion features.]</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in the Indenture.]</w:t>
      </w:r>
    </w:p>
    <w:p>
      <w:pPr>
        <w:spacing w:after="0" w:line="190"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--insert formula for determining the amount. Upon</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1" w:right="1440" w:bottom="1440" w:gutter="0" w:footer="0" w:header="0"/>
        </w:sectPr>
      </w:pPr>
    </w:p>
    <w:bookmarkStart w:id="197" w:name="page198"/>
    <w:bookmarkEnd w:id="197"/>
    <w:p>
      <w:pPr>
        <w:ind w:right="2539"/>
        <w:spacing w:after="0" w:line="264" w:lineRule="auto"/>
        <w:rPr>
          <w:sz w:val="20"/>
          <w:szCs w:val="20"/>
          <w:color w:val="auto"/>
        </w:rPr>
      </w:pPr>
      <w:r>
        <w:rPr>
          <w:rFonts w:ascii="Courier New" w:cs="Courier New" w:eastAsia="Courier New" w:hAnsi="Courier New"/>
          <w:sz w:val="15"/>
          <w:szCs w:val="15"/>
          <w:color w:val="auto"/>
        </w:rPr>
        <w:t>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7"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36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1" w:right="1440" w:bottom="1440" w:gutter="0" w:footer="0" w:header="0"/>
        </w:sectPr>
      </w:pPr>
    </w:p>
    <w:bookmarkStart w:id="198" w:name="page199"/>
    <w:bookmarkEnd w:id="198"/>
    <w:p>
      <w:pPr>
        <w:ind w:right="2639" w:firstLine="480"/>
        <w:spacing w:after="0" w:line="260" w:lineRule="auto"/>
        <w:rPr>
          <w:sz w:val="20"/>
          <w:szCs w:val="20"/>
          <w:color w:val="auto"/>
        </w:rPr>
      </w:pPr>
      <w:r>
        <w:rPr>
          <w:rFonts w:ascii="Courier New" w:cs="Courier New" w:eastAsia="Courier New" w:hAnsi="Courier New"/>
          <w:sz w:val="15"/>
          <w:szCs w:val="15"/>
          <w:color w:val="auto"/>
        </w:rPr>
        <w:t>The Securities of this series are issuable only in registered form without coupons in denominations of $_____ and any integral multiple thereof. As</w:t>
      </w:r>
    </w:p>
    <w:p>
      <w:pPr>
        <w:spacing w:after="0" w:line="1"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90"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No service charge shall be made for any such registration of transfer or exchange, but the Company may require payment of a sum sufficient to cover any tax or other governmental charge payable in connection therewith.</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7"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All terms used in this Security which are defined in the Indenture shall have the meanings assigned to them in the Indenture.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204. Form of Legend for Global Securities.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Unless otherwise specified as contemplated by Section 301 for the Securities evidenced thereby, every Global Security authenticated and delivered hereunder shall bear a legend in substantially the following form:</w:t>
      </w:r>
    </w:p>
    <w:p>
      <w:pPr>
        <w:spacing w:after="0" w:line="189" w:lineRule="exact"/>
        <w:rPr>
          <w:sz w:val="20"/>
          <w:szCs w:val="20"/>
          <w:color w:val="auto"/>
        </w:rPr>
      </w:pPr>
    </w:p>
    <w:p>
      <w:pPr>
        <w:ind w:right="2539"/>
        <w:spacing w:after="0" w:line="263" w:lineRule="auto"/>
        <w:rPr>
          <w:sz w:val="20"/>
          <w:szCs w:val="20"/>
          <w:color w:val="auto"/>
        </w:rPr>
      </w:pPr>
      <w:r>
        <w:rPr>
          <w:rFonts w:ascii="Courier New" w:cs="Courier New" w:eastAsia="Courier New" w:hAnsi="Courier New"/>
          <w:sz w:val="15"/>
          <w:szCs w:val="15"/>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200" w:lineRule="exact"/>
        <w:rPr>
          <w:sz w:val="20"/>
          <w:szCs w:val="20"/>
          <w:color w:val="auto"/>
        </w:rPr>
      </w:pPr>
    </w:p>
    <w:p>
      <w:pPr>
        <w:spacing w:after="0" w:line="34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1" w:right="1440" w:bottom="1440" w:gutter="0" w:footer="0" w:header="0"/>
        </w:sectPr>
      </w:pPr>
    </w:p>
    <w:bookmarkStart w:id="199" w:name="page200"/>
    <w:bookmarkEnd w:id="199"/>
    <w:p>
      <w:pPr>
        <w:spacing w:after="0"/>
        <w:rPr>
          <w:sz w:val="20"/>
          <w:szCs w:val="20"/>
          <w:color w:val="auto"/>
        </w:rPr>
      </w:pPr>
      <w:r>
        <w:rPr>
          <w:rFonts w:ascii="Courier New" w:cs="Courier New" w:eastAsia="Courier New" w:hAnsi="Courier New"/>
          <w:sz w:val="16"/>
          <w:szCs w:val="16"/>
          <w:color w:val="auto"/>
        </w:rPr>
        <w:t>SECTION 205. Form of Trustee's Certificate of Authentication.</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The Trustee's certificates of authentication shall be in substantially the following form:</w:t>
      </w:r>
    </w:p>
    <w:p>
      <w:pPr>
        <w:spacing w:after="0" w:line="189"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This is one of the Securities of the series designated herein referred to in the within-mentioned Indenture.</w:t>
      </w:r>
    </w:p>
    <w:p>
      <w:pPr>
        <w:spacing w:after="0" w:line="3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As Trustee</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Authorized Officer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206. Form of Conversion Notice.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To Micron Technology, Inc.:</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on a date after the close of business on a Regular Record Date and prior to the opening of business on the related Interest Payment Date (unless this Security or the portion thereof being converted has been called for redemption on a Redemption Date within such period),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37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Principal Amount to be Converted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an integral multiple of $1,000, if less than all)</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U.S. $ __________</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Dated:_______________</w:t>
      </w:r>
    </w:p>
    <w:p>
      <w:pPr>
        <w:spacing w:after="0" w:line="200" w:lineRule="exact"/>
        <w:rPr>
          <w:sz w:val="20"/>
          <w:szCs w:val="20"/>
          <w:color w:val="auto"/>
        </w:rPr>
      </w:pPr>
    </w:p>
    <w:p>
      <w:pPr>
        <w:spacing w:after="0" w:line="358"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______________________________</w:t>
      </w:r>
    </w:p>
    <w:p>
      <w:pPr>
        <w:spacing w:after="0" w:line="188"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______________________________</w:t>
      </w:r>
    </w:p>
    <w:p>
      <w:pPr>
        <w:spacing w:after="0" w:line="188"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Signature(s) must be</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guaranteed by a qualified</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guarantor institution if</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shares of Common Stock are</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to be</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0" w:right="1440" w:bottom="1440" w:gutter="0" w:footer="0" w:header="0"/>
        </w:sectPr>
      </w:pPr>
    </w:p>
    <w:bookmarkStart w:id="200" w:name="page201"/>
    <w:bookmarkEnd w:id="200"/>
    <w:p>
      <w:pPr>
        <w:ind w:left="4800"/>
        <w:spacing w:after="0"/>
        <w:rPr>
          <w:sz w:val="20"/>
          <w:szCs w:val="20"/>
          <w:color w:val="auto"/>
        </w:rPr>
      </w:pPr>
      <w:r>
        <w:rPr>
          <w:rFonts w:ascii="Courier New" w:cs="Courier New" w:eastAsia="Courier New" w:hAnsi="Courier New"/>
          <w:sz w:val="15"/>
          <w:szCs w:val="15"/>
          <w:color w:val="auto"/>
        </w:rPr>
        <w:t>delivered, or Securities to be</w:t>
      </w:r>
    </w:p>
    <w:p>
      <w:pPr>
        <w:spacing w:after="0" w:line="13"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issued, other than to and in</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the name of the registered</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owner.</w:t>
      </w:r>
    </w:p>
    <w:p>
      <w:pPr>
        <w:spacing w:after="0" w:line="373"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______________________________</w:t>
      </w:r>
    </w:p>
    <w:p>
      <w:pPr>
        <w:spacing w:after="0" w:line="4" w:lineRule="exact"/>
        <w:rPr>
          <w:sz w:val="20"/>
          <w:szCs w:val="20"/>
          <w:color w:val="auto"/>
        </w:rPr>
      </w:pPr>
    </w:p>
    <w:p>
      <w:pPr>
        <w:ind w:left="4800"/>
        <w:spacing w:after="0"/>
        <w:rPr>
          <w:sz w:val="20"/>
          <w:szCs w:val="20"/>
          <w:color w:val="auto"/>
        </w:rPr>
      </w:pPr>
      <w:r>
        <w:rPr>
          <w:rFonts w:ascii="Courier New" w:cs="Courier New" w:eastAsia="Courier New" w:hAnsi="Courier New"/>
          <w:sz w:val="16"/>
          <w:szCs w:val="16"/>
          <w:color w:val="auto"/>
        </w:rPr>
        <w:t>Signature Guaranty</w:t>
      </w:r>
    </w:p>
    <w:p>
      <w:pPr>
        <w:spacing w:after="0" w:line="190"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Fill in for registration of shares of Common Stock and Security if to be issued otherwise than to the registered Holder.</w:t>
      </w:r>
    </w:p>
    <w:p>
      <w:pPr>
        <w:sectPr>
          <w:pgSz w:w="11900" w:h="16838" w:orient="portrait"/>
          <w:cols w:equalWidth="0" w:num="1">
            <w:col w:w="10219"/>
          </w:cols>
          <w:pgMar w:left="240" w:top="671" w:right="1440" w:bottom="1440" w:gutter="0" w:footer="0" w:header="0"/>
        </w:sectPr>
      </w:pPr>
    </w:p>
    <w:p>
      <w:pPr>
        <w:spacing w:after="0" w:line="374" w:lineRule="exact"/>
        <w:rPr>
          <w:sz w:val="20"/>
          <w:szCs w:val="20"/>
          <w:color w:val="auto"/>
        </w:rPr>
      </w:pPr>
    </w:p>
    <w:p>
      <w:pPr>
        <w:ind w:right="720"/>
        <w:spacing w:after="0" w:line="242" w:lineRule="auto"/>
        <w:rPr>
          <w:sz w:val="20"/>
          <w:szCs w:val="20"/>
          <w:color w:val="auto"/>
        </w:rPr>
      </w:pPr>
      <w:r>
        <w:rPr>
          <w:rFonts w:ascii="Courier New" w:cs="Courier New" w:eastAsia="Courier New" w:hAnsi="Courier New"/>
          <w:sz w:val="16"/>
          <w:szCs w:val="16"/>
          <w:color w:val="auto"/>
        </w:rPr>
        <w:t>________________________________ (Name)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Social Security or Other Taxpayer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188" w:lineRule="exact"/>
        <w:rPr>
          <w:sz w:val="20"/>
          <w:szCs w:val="20"/>
          <w:color w:val="auto"/>
        </w:rPr>
      </w:pPr>
    </w:p>
    <w:p>
      <w:pPr>
        <w:sectPr>
          <w:pgSz w:w="11900" w:h="16838" w:orient="portrait"/>
          <w:cols w:equalWidth="0" w:num="2">
            <w:col w:w="3800" w:space="720"/>
            <w:col w:w="5699"/>
          </w:cols>
          <w:pgMar w:left="240" w:top="67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print Name and Address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zip code number)</w:t>
      </w:r>
    </w:p>
    <w:p>
      <w:pPr>
        <w:sectPr>
          <w:pgSz w:w="11900" w:h="16838" w:orient="portrait"/>
          <w:cols w:equalWidth="0" w:num="1">
            <w:col w:w="10219"/>
          </w:cols>
          <w:pgMar w:left="240" w:top="671" w:right="1440" w:bottom="1440" w:gutter="0" w:footer="0" w:header="0"/>
          <w:type w:val="continuous"/>
        </w:sectPr>
      </w:pPr>
    </w:p>
    <w:p>
      <w:pPr>
        <w:spacing w:after="0" w:line="190"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[The above conversion notice is to be modified, as appropriate, for conversion into other securities or property of the Company.]</w:t>
      </w:r>
    </w:p>
    <w:p>
      <w:pPr>
        <w:spacing w:after="0" w:line="372"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THREE</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THE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301. Amount Unlimited; Issuable in Series.</w:t>
      </w:r>
    </w:p>
    <w:p>
      <w:pPr>
        <w:spacing w:after="0" w:line="190"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The aggregate principal amount of Securities which may be authenticated and delivered under this Indenture is unlimited.</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issuance of Securities of any series,</w:t>
      </w:r>
    </w:p>
    <w:p>
      <w:pPr>
        <w:spacing w:after="0" w:line="187" w:lineRule="exact"/>
        <w:rPr>
          <w:sz w:val="20"/>
          <w:szCs w:val="20"/>
          <w:color w:val="auto"/>
        </w:rPr>
      </w:pPr>
    </w:p>
    <w:p>
      <w:pPr>
        <w:ind w:right="2639" w:firstLine="479"/>
        <w:spacing w:after="0" w:line="242" w:lineRule="auto"/>
        <w:tabs>
          <w:tab w:leader="none" w:pos="865"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the Securities of the series (which shall distinguish the Securities of the series from Securities of any other series);</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1" w:right="1440" w:bottom="1440" w:gutter="0" w:footer="0" w:header="0"/>
          <w:type w:val="continuous"/>
        </w:sectPr>
      </w:pPr>
    </w:p>
    <w:bookmarkStart w:id="201" w:name="page202"/>
    <w:bookmarkEnd w:id="201"/>
    <w:p>
      <w:pPr>
        <w:jc w:val="both"/>
        <w:ind w:left="-479" w:right="2819" w:firstLine="479"/>
        <w:spacing w:after="0" w:line="243" w:lineRule="auto"/>
        <w:tabs>
          <w:tab w:leader="none" w:pos="386"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89" w:lineRule="exact"/>
        <w:rPr>
          <w:rFonts w:ascii="Courier New" w:cs="Courier New" w:eastAsia="Courier New" w:hAnsi="Courier New"/>
          <w:sz w:val="16"/>
          <w:szCs w:val="16"/>
          <w:color w:val="auto"/>
        </w:rPr>
      </w:pPr>
    </w:p>
    <w:p>
      <w:pPr>
        <w:ind w:left="-479" w:right="3119" w:firstLine="479"/>
        <w:spacing w:after="0" w:line="242" w:lineRule="auto"/>
        <w:tabs>
          <w:tab w:leader="none" w:pos="386"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on which the principal of any Securities of the series is payable;</w:t>
      </w:r>
    </w:p>
    <w:p>
      <w:pPr>
        <w:spacing w:after="0" w:line="188" w:lineRule="exact"/>
        <w:rPr>
          <w:rFonts w:ascii="Courier New" w:cs="Courier New" w:eastAsia="Courier New" w:hAnsi="Courier New"/>
          <w:sz w:val="16"/>
          <w:szCs w:val="16"/>
          <w:color w:val="auto"/>
        </w:rPr>
      </w:pPr>
    </w:p>
    <w:p>
      <w:pPr>
        <w:ind w:left="-479" w:right="2639" w:firstLine="479"/>
        <w:spacing w:after="0" w:line="265" w:lineRule="auto"/>
        <w:tabs>
          <w:tab w:leader="none" w:pos="386"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173" w:lineRule="exact"/>
        <w:rPr>
          <w:rFonts w:ascii="Courier New" w:cs="Courier New" w:eastAsia="Courier New" w:hAnsi="Courier New"/>
          <w:sz w:val="15"/>
          <w:szCs w:val="15"/>
          <w:color w:val="auto"/>
        </w:rPr>
      </w:pPr>
    </w:p>
    <w:p>
      <w:pPr>
        <w:ind w:left="-479" w:right="2539" w:firstLine="479"/>
        <w:spacing w:after="0" w:line="242" w:lineRule="auto"/>
        <w:tabs>
          <w:tab w:leader="none" w:pos="386"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any premium and interest on any Securities of the series shall be payable;</w:t>
      </w:r>
    </w:p>
    <w:p>
      <w:pPr>
        <w:spacing w:after="0" w:line="188" w:lineRule="exact"/>
        <w:rPr>
          <w:rFonts w:ascii="Courier New" w:cs="Courier New" w:eastAsia="Courier New" w:hAnsi="Courier New"/>
          <w:sz w:val="16"/>
          <w:szCs w:val="16"/>
          <w:color w:val="auto"/>
        </w:rPr>
      </w:pPr>
    </w:p>
    <w:p>
      <w:pPr>
        <w:ind w:left="-479" w:right="2539" w:firstLine="479"/>
        <w:spacing w:after="0" w:line="244" w:lineRule="auto"/>
        <w:tabs>
          <w:tab w:leader="none" w:pos="386"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87" w:lineRule="exact"/>
        <w:rPr>
          <w:rFonts w:ascii="Courier New" w:cs="Courier New" w:eastAsia="Courier New" w:hAnsi="Courier New"/>
          <w:sz w:val="16"/>
          <w:szCs w:val="16"/>
          <w:color w:val="auto"/>
        </w:rPr>
      </w:pPr>
    </w:p>
    <w:p>
      <w:pPr>
        <w:ind w:left="-479" w:right="2539" w:firstLine="479"/>
        <w:spacing w:after="0" w:line="244" w:lineRule="auto"/>
        <w:tabs>
          <w:tab w:leader="none" w:pos="386"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187" w:lineRule="exact"/>
        <w:rPr>
          <w:rFonts w:ascii="Courier New" w:cs="Courier New" w:eastAsia="Courier New" w:hAnsi="Courier New"/>
          <w:sz w:val="16"/>
          <w:szCs w:val="16"/>
          <w:color w:val="auto"/>
        </w:rPr>
      </w:pPr>
    </w:p>
    <w:p>
      <w:pPr>
        <w:ind w:left="-479" w:right="3199" w:firstLine="479"/>
        <w:spacing w:after="0" w:line="243" w:lineRule="auto"/>
        <w:tabs>
          <w:tab w:leader="none" w:pos="386"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denominations of $1,000 and any integral multiple thereof, the denominations in which any Securities of the series shall be issuable;</w:t>
      </w:r>
    </w:p>
    <w:p>
      <w:pPr>
        <w:spacing w:after="0" w:line="188" w:lineRule="exact"/>
        <w:rPr>
          <w:rFonts w:ascii="Courier New" w:cs="Courier New" w:eastAsia="Courier New" w:hAnsi="Courier New"/>
          <w:sz w:val="16"/>
          <w:szCs w:val="16"/>
          <w:color w:val="auto"/>
        </w:rPr>
      </w:pPr>
    </w:p>
    <w:p>
      <w:pPr>
        <w:ind w:left="-479" w:right="2919" w:firstLine="479"/>
        <w:spacing w:after="0" w:line="243" w:lineRule="auto"/>
        <w:tabs>
          <w:tab w:leader="none" w:pos="482"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of principal of or any premium or interest on any Securities of the series may be determined with reference to an index or pursuant to a formula, the manner in which such amounts shall be determined;</w:t>
      </w:r>
    </w:p>
    <w:p>
      <w:pPr>
        <w:spacing w:after="0" w:line="188" w:lineRule="exact"/>
        <w:rPr>
          <w:rFonts w:ascii="Courier New" w:cs="Courier New" w:eastAsia="Courier New" w:hAnsi="Courier New"/>
          <w:sz w:val="16"/>
          <w:szCs w:val="16"/>
          <w:color w:val="auto"/>
        </w:rPr>
      </w:pPr>
    </w:p>
    <w:p>
      <w:pPr>
        <w:ind w:left="-479" w:right="2539" w:firstLine="479"/>
        <w:spacing w:after="0" w:line="244" w:lineRule="auto"/>
        <w:tabs>
          <w:tab w:leader="none" w:pos="482"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 provided, however, that prior to the issuance of any such Securities, the Company shall have obtained the written consent of the Trustee, which consent may be withheld in the sole discretion of the Trustee, to the currency, currencies or currency units so established;</w:t>
      </w:r>
    </w:p>
    <w:p>
      <w:pPr>
        <w:spacing w:after="0" w:line="189" w:lineRule="exact"/>
        <w:rPr>
          <w:rFonts w:ascii="Courier New" w:cs="Courier New" w:eastAsia="Courier New" w:hAnsi="Courier New"/>
          <w:sz w:val="16"/>
          <w:szCs w:val="16"/>
          <w:color w:val="auto"/>
        </w:rPr>
      </w:pPr>
    </w:p>
    <w:p>
      <w:pPr>
        <w:ind w:left="-479" w:right="2539" w:firstLine="479"/>
        <w:spacing w:after="0" w:line="244" w:lineRule="auto"/>
        <w:tabs>
          <w:tab w:leader="none" w:pos="482"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 provided, however, that prior to the issuance of any such Securities, the Company shall have obtained the written consent of the Trustee, which consent may be withheld in the sole discretion of the Trustee, to the currency, currencies or currency units so established;</w:t>
      </w:r>
    </w:p>
    <w:p>
      <w:pPr>
        <w:spacing w:after="0" w:line="374"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740"/>
          </w:cols>
          <w:pgMar w:left="719" w:top="671" w:right="1440" w:bottom="1440" w:gutter="0" w:footer="0" w:header="0"/>
        </w:sectPr>
      </w:pPr>
    </w:p>
    <w:bookmarkStart w:id="202" w:name="page203"/>
    <w:bookmarkEnd w:id="202"/>
    <w:p>
      <w:pPr>
        <w:ind w:right="2639" w:firstLine="479"/>
        <w:spacing w:after="0" w:line="267" w:lineRule="auto"/>
        <w:tabs>
          <w:tab w:leader="none" w:pos="96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the entire principal amount thereof, the portion of the principal amount of any Securities of the series which shall be payable upon declaration of acceleration of the Maturity thereof pursuant to Section 502;</w:t>
      </w:r>
    </w:p>
    <w:p>
      <w:pPr>
        <w:spacing w:after="0" w:line="171" w:lineRule="exact"/>
        <w:rPr>
          <w:rFonts w:ascii="Courier New" w:cs="Courier New" w:eastAsia="Courier New" w:hAnsi="Courier New"/>
          <w:sz w:val="15"/>
          <w:szCs w:val="15"/>
          <w:color w:val="auto"/>
        </w:rPr>
      </w:pPr>
    </w:p>
    <w:p>
      <w:pPr>
        <w:ind w:right="2539" w:firstLine="479"/>
        <w:spacing w:after="0" w:line="244" w:lineRule="auto"/>
        <w:tabs>
          <w:tab w:leader="none" w:pos="961"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9" w:lineRule="exact"/>
        <w:rPr>
          <w:rFonts w:ascii="Courier New" w:cs="Courier New" w:eastAsia="Courier New" w:hAnsi="Courier New"/>
          <w:sz w:val="16"/>
          <w:szCs w:val="16"/>
          <w:color w:val="auto"/>
        </w:rPr>
      </w:pPr>
    </w:p>
    <w:p>
      <w:pPr>
        <w:ind w:right="2539" w:firstLine="479"/>
        <w:spacing w:after="0" w:line="265" w:lineRule="auto"/>
        <w:tabs>
          <w:tab w:leader="none" w:pos="96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applicable, that the Securities of the series, in whole or any specified part, shall be defeasible pursuant to Section 1302 or Section 1303 or both such Sections and, if other than by a Board Resolution, the manner in which any election by the Company to defease such Securities shall be evidenced;</w:t>
      </w:r>
    </w:p>
    <w:p>
      <w:pPr>
        <w:spacing w:after="0" w:line="173" w:lineRule="exact"/>
        <w:rPr>
          <w:rFonts w:ascii="Courier New" w:cs="Courier New" w:eastAsia="Courier New" w:hAnsi="Courier New"/>
          <w:sz w:val="15"/>
          <w:szCs w:val="15"/>
          <w:color w:val="auto"/>
        </w:rPr>
      </w:pPr>
    </w:p>
    <w:p>
      <w:pPr>
        <w:ind w:right="2919" w:firstLine="479"/>
        <w:spacing w:after="0" w:line="243" w:lineRule="auto"/>
        <w:tabs>
          <w:tab w:leader="none" w:pos="961"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the terms of any right to convert Securities of the series into shares of Common Stock of the Company or other securities or property;</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 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89" w:lineRule="exact"/>
        <w:rPr>
          <w:rFonts w:ascii="Courier New" w:cs="Courier New" w:eastAsia="Courier New" w:hAnsi="Courier New"/>
          <w:sz w:val="16"/>
          <w:szCs w:val="16"/>
          <w:color w:val="auto"/>
        </w:rPr>
      </w:pPr>
    </w:p>
    <w:p>
      <w:pPr>
        <w:ind w:right="2539" w:firstLine="479"/>
        <w:spacing w:after="0" w:line="243" w:lineRule="auto"/>
        <w:tabs>
          <w:tab w:leader="none" w:pos="961"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502;</w:t>
      </w:r>
    </w:p>
    <w:p>
      <w:pPr>
        <w:spacing w:after="0" w:line="189" w:lineRule="exact"/>
        <w:rPr>
          <w:rFonts w:ascii="Courier New" w:cs="Courier New" w:eastAsia="Courier New" w:hAnsi="Courier New"/>
          <w:sz w:val="16"/>
          <w:szCs w:val="16"/>
          <w:color w:val="auto"/>
        </w:rPr>
      </w:pPr>
    </w:p>
    <w:p>
      <w:pPr>
        <w:ind w:right="2819" w:firstLine="479"/>
        <w:spacing w:after="0" w:line="242" w:lineRule="auto"/>
        <w:tabs>
          <w:tab w:leader="none" w:pos="961"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 to or change in the covenants set forth in Article Ten which applies to Securities of the series; and</w:t>
      </w:r>
    </w:p>
    <w:p>
      <w:pPr>
        <w:spacing w:after="0" w:line="188" w:lineRule="exact"/>
        <w:rPr>
          <w:rFonts w:ascii="Courier New" w:cs="Courier New" w:eastAsia="Courier New" w:hAnsi="Courier New"/>
          <w:sz w:val="16"/>
          <w:szCs w:val="16"/>
          <w:color w:val="auto"/>
        </w:rPr>
      </w:pPr>
    </w:p>
    <w:p>
      <w:pPr>
        <w:jc w:val="both"/>
        <w:ind w:right="2719" w:firstLine="479"/>
        <w:spacing w:after="0" w:line="242" w:lineRule="auto"/>
        <w:tabs>
          <w:tab w:leader="none" w:pos="961"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series (which terms shall not be inconsistent with the provisions of this Indenture, except as permitted by Section 901(5)).</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200" w:lineRule="exact"/>
        <w:rPr>
          <w:sz w:val="20"/>
          <w:szCs w:val="20"/>
          <w:color w:val="auto"/>
        </w:rPr>
      </w:pPr>
    </w:p>
    <w:p>
      <w:pPr>
        <w:spacing w:after="0" w:line="35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2" w:right="1440" w:bottom="1440" w:gutter="0" w:footer="0" w:header="0"/>
        </w:sectPr>
      </w:pPr>
    </w:p>
    <w:bookmarkStart w:id="203" w:name="page204"/>
    <w:bookmarkEnd w:id="203"/>
    <w:p>
      <w:pPr>
        <w:ind w:right="2639" w:firstLine="480"/>
        <w:spacing w:after="0" w:line="244" w:lineRule="auto"/>
        <w:rPr>
          <w:sz w:val="20"/>
          <w:szCs w:val="20"/>
          <w:color w:val="auto"/>
        </w:rPr>
      </w:pPr>
      <w:r>
        <w:rPr>
          <w:rFonts w:ascii="Courier New" w:cs="Courier New" w:eastAsia="Courier New" w:hAnsi="Courier New"/>
          <w:sz w:val="16"/>
          <w:szCs w:val="16"/>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7"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The Securities shall be subordinated in right of payment to Senior Debt as provided in Article Fifteen.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302. Denominations.</w:t>
      </w:r>
    </w:p>
    <w:p>
      <w:pPr>
        <w:spacing w:after="0" w:line="190"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303. Execution, Authentication, Delivery and Dating.</w:t>
      </w:r>
    </w:p>
    <w:p>
      <w:pPr>
        <w:spacing w:after="0" w:line="190" w:lineRule="exact"/>
        <w:rPr>
          <w:sz w:val="20"/>
          <w:szCs w:val="20"/>
          <w:color w:val="auto"/>
        </w:rPr>
      </w:pPr>
    </w:p>
    <w:p>
      <w:pPr>
        <w:ind w:right="2539" w:firstLine="480"/>
        <w:spacing w:after="0" w:line="264" w:lineRule="auto"/>
        <w:rPr>
          <w:sz w:val="20"/>
          <w:szCs w:val="20"/>
          <w:color w:val="auto"/>
        </w:rPr>
      </w:pPr>
      <w:r>
        <w:rPr>
          <w:rFonts w:ascii="Courier New" w:cs="Courier New" w:eastAsia="Courier New" w:hAnsi="Courier New"/>
          <w:sz w:val="15"/>
          <w:szCs w:val="15"/>
          <w:color w:val="auto"/>
        </w:rPr>
        <w:t>The Securities shall be executed on behalf of the Company by its Chairman of the Board, its Vice Chairman of the Board, its principal financial officer, its President or one of its Vice Presidents, under its corporate seal reproduced thereon attested by its Secretary or one of its Assistant Secretaries. The signature of any of these officers on the Securities may be manual or facsimile.</w:t>
      </w:r>
    </w:p>
    <w:p>
      <w:pPr>
        <w:spacing w:after="0" w:line="174"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190" w:lineRule="exact"/>
        <w:rPr>
          <w:sz w:val="20"/>
          <w:szCs w:val="20"/>
          <w:color w:val="auto"/>
        </w:rPr>
      </w:pPr>
    </w:p>
    <w:p>
      <w:pPr>
        <w:ind w:right="2719" w:firstLine="479"/>
        <w:spacing w:after="0" w:line="243" w:lineRule="auto"/>
        <w:tabs>
          <w:tab w:leader="none" w:pos="865"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form of such Securities has been established by or pursuant to Board Resolution as permitted by Section 201, that such form has been established in conformity with the provisions of this Indenture;</w:t>
      </w:r>
    </w:p>
    <w:p>
      <w:pPr>
        <w:spacing w:after="0" w:line="188"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terms of such Securities have been established by or pursuant to Board Resolution as permitted by Section 301, that such terms have been established in conformity with the provisions of this Indenture; and</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1" w:right="1440" w:bottom="1440" w:gutter="0" w:footer="0" w:header="0"/>
        </w:sectPr>
      </w:pPr>
    </w:p>
    <w:bookmarkStart w:id="204" w:name="page205"/>
    <w:bookmarkEnd w:id="204"/>
    <w:p>
      <w:pPr>
        <w:ind w:right="2539" w:firstLine="479"/>
        <w:spacing w:after="0" w:line="244" w:lineRule="auto"/>
        <w:tabs>
          <w:tab w:leader="none" w:pos="865"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88" w:lineRule="exact"/>
        <w:rPr>
          <w:sz w:val="20"/>
          <w:szCs w:val="20"/>
          <w:color w:val="auto"/>
        </w:rPr>
      </w:pPr>
    </w:p>
    <w:p>
      <w:pPr>
        <w:ind w:right="2819" w:firstLine="480"/>
        <w:spacing w:after="0" w:line="244" w:lineRule="auto"/>
        <w:rPr>
          <w:sz w:val="20"/>
          <w:szCs w:val="20"/>
          <w:color w:val="auto"/>
        </w:rPr>
      </w:pPr>
      <w:r>
        <w:rPr>
          <w:rFonts w:ascii="Courier New" w:cs="Courier New" w:eastAsia="Courier New" w:hAnsi="Courier New"/>
          <w:sz w:val="16"/>
          <w:szCs w:val="16"/>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8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Each Security shall be dated the date of its authentication.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304. Temporary Securities.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2" w:right="1440" w:bottom="1440" w:gutter="0" w:footer="0" w:header="0"/>
        </w:sectPr>
      </w:pPr>
    </w:p>
    <w:bookmarkStart w:id="205" w:name="page206"/>
    <w:bookmarkEnd w:id="205"/>
    <w:p>
      <w:pPr>
        <w:ind w:right="2539"/>
        <w:spacing w:after="0" w:line="244" w:lineRule="auto"/>
        <w:rPr>
          <w:sz w:val="20"/>
          <w:szCs w:val="20"/>
          <w:color w:val="auto"/>
        </w:rPr>
      </w:pPr>
      <w:r>
        <w:rPr>
          <w:rFonts w:ascii="Courier New" w:cs="Courier New" w:eastAsia="Courier New" w:hAnsi="Courier New"/>
          <w:sz w:val="16"/>
          <w:szCs w:val="16"/>
          <w:color w:val="auto"/>
        </w:rPr>
        <w:t>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305. Registration; Registration of Transfer and Exchange.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188"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w:t>
      </w:r>
    </w:p>
    <w:p>
      <w:pPr>
        <w:spacing w:after="0" w:line="187" w:lineRule="exact"/>
        <w:rPr>
          <w:sz w:val="20"/>
          <w:szCs w:val="20"/>
          <w:color w:val="auto"/>
        </w:rPr>
      </w:pPr>
    </w:p>
    <w:p>
      <w:pPr>
        <w:ind w:right="2639" w:firstLine="480"/>
        <w:spacing w:after="0" w:line="264" w:lineRule="auto"/>
        <w:rPr>
          <w:sz w:val="20"/>
          <w:szCs w:val="20"/>
          <w:color w:val="auto"/>
        </w:rPr>
      </w:pPr>
      <w:r>
        <w:rPr>
          <w:rFonts w:ascii="Courier New" w:cs="Courier New" w:eastAsia="Courier New" w:hAnsi="Courier New"/>
          <w:sz w:val="15"/>
          <w:szCs w:val="15"/>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74" w:lineRule="exact"/>
        <w:rPr>
          <w:sz w:val="20"/>
          <w:szCs w:val="20"/>
          <w:color w:val="auto"/>
        </w:rPr>
      </w:pPr>
    </w:p>
    <w:p>
      <w:pPr>
        <w:jc w:val="both"/>
        <w:ind w:right="2539" w:firstLine="480"/>
        <w:spacing w:after="0" w:line="265" w:lineRule="auto"/>
        <w:rPr>
          <w:sz w:val="20"/>
          <w:szCs w:val="20"/>
          <w:color w:val="auto"/>
        </w:rPr>
      </w:pPr>
      <w:r>
        <w:rPr>
          <w:rFonts w:ascii="Courier New" w:cs="Courier New" w:eastAsia="Courier New" w:hAnsi="Courier New"/>
          <w:sz w:val="15"/>
          <w:szCs w:val="15"/>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w:t>
      </w: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1" w:right="1440" w:bottom="1440" w:gutter="0" w:footer="0" w:header="0"/>
        </w:sectPr>
      </w:pPr>
    </w:p>
    <w:bookmarkStart w:id="206" w:name="page207"/>
    <w:bookmarkEnd w:id="206"/>
    <w:p>
      <w:pPr>
        <w:ind w:right="2539"/>
        <w:spacing w:after="0" w:line="244" w:lineRule="auto"/>
        <w:rPr>
          <w:sz w:val="20"/>
          <w:szCs w:val="20"/>
          <w:color w:val="auto"/>
        </w:rPr>
      </w:pPr>
      <w:r>
        <w:rPr>
          <w:rFonts w:ascii="Courier New" w:cs="Courier New" w:eastAsia="Courier New" w:hAnsi="Courier New"/>
          <w:sz w:val="16"/>
          <w:szCs w:val="16"/>
          <w:color w:val="auto"/>
        </w:rPr>
        <w:t>of business 15 days before the day of the mailing of a notice of redemption of any such Securities selected for redemption under Section 1103 and ending at the close of business on the day of such mailing, or (B) to register the transfer of or exchange any Security so selected for redemption in whole or in part, except the unredeemed portion of any Security being redeemed in part.</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provisions of Clauses (1), (2), (3) and (4) below shall apply only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Global Securities:</w:t>
      </w:r>
    </w:p>
    <w:p>
      <w:pPr>
        <w:spacing w:after="0" w:line="190" w:lineRule="exact"/>
        <w:rPr>
          <w:sz w:val="20"/>
          <w:szCs w:val="20"/>
          <w:color w:val="auto"/>
        </w:rPr>
      </w:pPr>
    </w:p>
    <w:p>
      <w:pPr>
        <w:ind w:right="2639" w:firstLine="479"/>
        <w:spacing w:after="0" w:line="244" w:lineRule="auto"/>
        <w:tabs>
          <w:tab w:leader="none" w:pos="865"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301.</w:t>
      </w:r>
    </w:p>
    <w:p>
      <w:pPr>
        <w:spacing w:after="0" w:line="190" w:lineRule="exact"/>
        <w:rPr>
          <w:rFonts w:ascii="Courier New" w:cs="Courier New" w:eastAsia="Courier New" w:hAnsi="Courier New"/>
          <w:sz w:val="16"/>
          <w:szCs w:val="16"/>
          <w:color w:val="auto"/>
        </w:rPr>
      </w:pPr>
    </w:p>
    <w:p>
      <w:pPr>
        <w:ind w:right="2719" w:firstLine="479"/>
        <w:spacing w:after="0" w:line="243" w:lineRule="auto"/>
        <w:tabs>
          <w:tab w:leader="none" w:pos="865"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89" w:lineRule="exact"/>
        <w:rPr>
          <w:rFonts w:ascii="Courier New" w:cs="Courier New" w:eastAsia="Courier New" w:hAnsi="Courier New"/>
          <w:sz w:val="16"/>
          <w:szCs w:val="16"/>
          <w:color w:val="auto"/>
        </w:rPr>
      </w:pPr>
    </w:p>
    <w:p>
      <w:pPr>
        <w:ind w:right="2639" w:firstLine="479"/>
        <w:spacing w:after="0" w:line="263" w:lineRule="auto"/>
        <w:tabs>
          <w:tab w:leader="none" w:pos="865"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306. Mutilated, Destroyed, Lost and Stolen Securities.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1" w:right="1440" w:bottom="1440" w:gutter="0" w:footer="0" w:header="0"/>
        </w:sectPr>
      </w:pPr>
    </w:p>
    <w:bookmarkStart w:id="207" w:name="page208"/>
    <w:bookmarkEnd w:id="207"/>
    <w:p>
      <w:pPr>
        <w:ind w:right="2719" w:firstLine="480"/>
        <w:spacing w:after="0" w:line="243" w:lineRule="auto"/>
        <w:rPr>
          <w:sz w:val="20"/>
          <w:szCs w:val="20"/>
          <w:color w:val="auto"/>
        </w:rPr>
      </w:pPr>
      <w:r>
        <w:rPr>
          <w:rFonts w:ascii="Courier New" w:cs="Courier New" w:eastAsia="Courier New" w:hAnsi="Courier New"/>
          <w:sz w:val="16"/>
          <w:szCs w:val="16"/>
          <w:color w:val="auto"/>
        </w:rPr>
        <w:t>In case any such mutilated, destroyed, lost or stolen Security has become or is about to become due and payable, the Company in its discretion may, instead of issuing a new Security, pay such Security.</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88"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The provisions of this Section are exclusive and shall preclude (to the extent lawful) all other rights and remedies with respect to the replacement or payment of mutilated, destroyed, lost or stolen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307. Payment of Interest; Interest Rights Preserved.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8"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88" w:lineRule="exact"/>
        <w:rPr>
          <w:sz w:val="20"/>
          <w:szCs w:val="20"/>
          <w:color w:val="auto"/>
        </w:rPr>
      </w:pPr>
    </w:p>
    <w:p>
      <w:pPr>
        <w:ind w:right="2539" w:firstLine="479"/>
        <w:spacing w:after="0" w:line="244" w:lineRule="auto"/>
        <w:tabs>
          <w:tab w:leader="none" w:pos="865"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w:t>
      </w:r>
    </w:p>
    <w:p>
      <w:pPr>
        <w:spacing w:after="0" w:line="37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1" w:right="1440" w:bottom="1440" w:gutter="0" w:footer="0" w:header="0"/>
        </w:sectPr>
      </w:pPr>
    </w:p>
    <w:bookmarkStart w:id="208" w:name="page209"/>
    <w:bookmarkEnd w:id="208"/>
    <w:p>
      <w:pPr>
        <w:ind w:right="2539"/>
        <w:spacing w:after="0" w:line="262" w:lineRule="auto"/>
        <w:rPr>
          <w:sz w:val="20"/>
          <w:szCs w:val="20"/>
          <w:color w:val="auto"/>
        </w:rPr>
      </w:pPr>
      <w:r>
        <w:rPr>
          <w:rFonts w:ascii="Courier New" w:cs="Courier New" w:eastAsia="Courier New" w:hAnsi="Courier New"/>
          <w:sz w:val="15"/>
          <w:szCs w:val="15"/>
          <w:color w:val="auto"/>
        </w:rPr>
        <w:t>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78" w:lineRule="exact"/>
        <w:rPr>
          <w:sz w:val="20"/>
          <w:szCs w:val="20"/>
          <w:color w:val="auto"/>
        </w:rPr>
      </w:pPr>
    </w:p>
    <w:p>
      <w:pPr>
        <w:ind w:right="2539" w:firstLine="479"/>
        <w:spacing w:after="0" w:line="244" w:lineRule="auto"/>
        <w:tabs>
          <w:tab w:leader="none" w:pos="865"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8"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Subject to the provisions of Section 1402, in the case of any Security (or any part thereof) which is converted after any Regular Record Date and on or prior to the next succeeding Interest Payment Date (other than any Security the principal of (or premium, if any, on) which shall become due and payable, whether at Stated Maturity or by declaration of acceleration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any one or more Predecessor Securities) is registered at the close of business on such Regular Record Date. Except as otherwise expressly provided in the immediately preceding sentence or in Section 1402, in the case of any Security (or any part thereof) which is converted, interest whose Stated Maturity is after the date of conversion of such Security (or such part thereof) shall not be payable.</w:t>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308. Persons Deemed Owners.</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309. Cancellation.</w:t>
      </w:r>
    </w:p>
    <w:p>
      <w:pPr>
        <w:spacing w:after="0" w:line="190"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1" w:right="1440" w:bottom="1440" w:gutter="0" w:footer="0" w:header="0"/>
        </w:sectPr>
      </w:pPr>
    </w:p>
    <w:bookmarkStart w:id="209" w:name="page210"/>
    <w:bookmarkEnd w:id="209"/>
    <w:p>
      <w:pPr>
        <w:ind w:right="2639"/>
        <w:spacing w:after="0" w:line="244" w:lineRule="auto"/>
        <w:rPr>
          <w:sz w:val="20"/>
          <w:szCs w:val="20"/>
          <w:color w:val="auto"/>
        </w:rPr>
      </w:pPr>
      <w:r>
        <w:rPr>
          <w:rFonts w:ascii="Courier New" w:cs="Courier New" w:eastAsia="Courier New" w:hAnsi="Courier New"/>
          <w:sz w:val="16"/>
          <w:szCs w:val="16"/>
          <w:color w:val="auto"/>
        </w:rPr>
        <w:t>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as directed by a Company Order.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310. Computation of Interest.</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Except as otherwise specified as contemplated by Section 301 for Securities of any series, interest on the Securities of each series shall be computed on the basis of a 360-day year of twelve 30-day months.</w:t>
      </w:r>
    </w:p>
    <w:p>
      <w:pPr>
        <w:spacing w:after="0" w:line="18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FOUR</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SATISFACTION AND DISCHARGE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401. Satisfaction and Discharge of Indenture.</w:t>
      </w:r>
    </w:p>
    <w:p>
      <w:pPr>
        <w:spacing w:after="0" w:line="190" w:lineRule="exact"/>
        <w:rPr>
          <w:sz w:val="20"/>
          <w:szCs w:val="20"/>
          <w:color w:val="auto"/>
        </w:rPr>
      </w:pPr>
    </w:p>
    <w:p>
      <w:pPr>
        <w:jc w:val="both"/>
        <w:ind w:right="2819" w:firstLine="480"/>
        <w:spacing w:after="0" w:line="244" w:lineRule="auto"/>
        <w:rPr>
          <w:sz w:val="20"/>
          <w:szCs w:val="20"/>
          <w:color w:val="auto"/>
        </w:rPr>
      </w:pPr>
      <w:r>
        <w:rPr>
          <w:rFonts w:ascii="Courier New" w:cs="Courier New" w:eastAsia="Courier New" w:hAnsi="Courier New"/>
          <w:sz w:val="16"/>
          <w:szCs w:val="16"/>
          <w:color w:val="auto"/>
        </w:rPr>
        <w:t>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185" w:lineRule="exact"/>
        <w:rPr>
          <w:sz w:val="20"/>
          <w:szCs w:val="20"/>
          <w:color w:val="auto"/>
        </w:rPr>
      </w:pPr>
    </w:p>
    <w:p>
      <w:pPr>
        <w:ind w:left="960" w:hanging="481"/>
        <w:spacing w:after="0"/>
        <w:tabs>
          <w:tab w:leader="none" w:pos="96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8" w:lineRule="exact"/>
        <w:rPr>
          <w:rFonts w:ascii="Courier New" w:cs="Courier New" w:eastAsia="Courier New" w:hAnsi="Courier New"/>
          <w:sz w:val="16"/>
          <w:szCs w:val="16"/>
          <w:color w:val="auto"/>
        </w:rPr>
      </w:pPr>
    </w:p>
    <w:p>
      <w:pPr>
        <w:ind w:left="1340" w:hanging="381"/>
        <w:spacing w:after="0"/>
        <w:tabs>
          <w:tab w:leader="none" w:pos="1340"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Securities theretofore authenticated and delivered (other than</w:t>
      </w:r>
    </w:p>
    <w:p>
      <w:pPr>
        <w:spacing w:after="0" w:line="5" w:lineRule="exact"/>
        <w:rPr>
          <w:rFonts w:ascii="Courier New" w:cs="Courier New" w:eastAsia="Courier New" w:hAnsi="Courier New"/>
          <w:sz w:val="16"/>
          <w:szCs w:val="16"/>
          <w:color w:val="auto"/>
        </w:rPr>
      </w:pPr>
    </w:p>
    <w:p>
      <w:pPr>
        <w:ind w:left="480"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Securities which have been destroyed, lost or stolen and which have been replaced or paid as provided in Section 306 and (ii) Securities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87" w:lineRule="exact"/>
        <w:rPr>
          <w:rFonts w:ascii="Courier New" w:cs="Courier New" w:eastAsia="Courier New" w:hAnsi="Courier New"/>
          <w:sz w:val="16"/>
          <w:szCs w:val="16"/>
          <w:color w:val="auto"/>
        </w:rPr>
      </w:pPr>
    </w:p>
    <w:p>
      <w:pPr>
        <w:ind w:left="480" w:right="2719" w:firstLine="479"/>
        <w:spacing w:after="0" w:line="242" w:lineRule="auto"/>
        <w:tabs>
          <w:tab w:leader="none" w:pos="1345"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Securities not theretofore delivered to the Trustee for cancellation</w:t>
      </w:r>
    </w:p>
    <w:p>
      <w:pPr>
        <w:spacing w:after="0" w:line="186" w:lineRule="exact"/>
        <w:rPr>
          <w:rFonts w:ascii="Courier New" w:cs="Courier New" w:eastAsia="Courier New" w:hAnsi="Courier New"/>
          <w:sz w:val="16"/>
          <w:szCs w:val="16"/>
          <w:color w:val="auto"/>
        </w:rPr>
      </w:pPr>
    </w:p>
    <w:p>
      <w:pPr>
        <w:ind w:left="1820" w:hanging="380"/>
        <w:spacing w:after="0"/>
        <w:tabs>
          <w:tab w:leader="none" w:pos="1820" w:val="left"/>
        </w:tabs>
        <w:numPr>
          <w:ilvl w:val="2"/>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become due and payable, or</w:t>
      </w:r>
    </w:p>
    <w:p>
      <w:pPr>
        <w:spacing w:after="0" w:line="190" w:lineRule="exact"/>
        <w:rPr>
          <w:rFonts w:ascii="Courier New" w:cs="Courier New" w:eastAsia="Courier New" w:hAnsi="Courier New"/>
          <w:sz w:val="16"/>
          <w:szCs w:val="16"/>
          <w:color w:val="auto"/>
        </w:rPr>
      </w:pPr>
    </w:p>
    <w:p>
      <w:pPr>
        <w:ind w:left="960" w:right="2639" w:firstLine="480"/>
        <w:spacing w:after="0" w:line="242" w:lineRule="auto"/>
        <w:tabs>
          <w:tab w:leader="none" w:pos="1921" w:val="left"/>
        </w:tabs>
        <w:numPr>
          <w:ilvl w:val="2"/>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become due and payable at their Stated Maturity within one year, or</w:t>
      </w:r>
    </w:p>
    <w:p>
      <w:pPr>
        <w:spacing w:after="0" w:line="188" w:lineRule="exact"/>
        <w:rPr>
          <w:rFonts w:ascii="Courier New" w:cs="Courier New" w:eastAsia="Courier New" w:hAnsi="Courier New"/>
          <w:sz w:val="16"/>
          <w:szCs w:val="16"/>
          <w:color w:val="auto"/>
        </w:rPr>
      </w:pPr>
    </w:p>
    <w:p>
      <w:pPr>
        <w:ind w:left="960" w:right="2719" w:firstLine="480"/>
        <w:spacing w:after="0" w:line="243" w:lineRule="auto"/>
        <w:tabs>
          <w:tab w:leader="none" w:pos="2017" w:val="left"/>
        </w:tabs>
        <w:numPr>
          <w:ilvl w:val="2"/>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to be called for redemption within one year under arrangements satisfactory to the Trustee for the giving of notice of redemption by the Trustee in the name, and at the expense, of the Company,</w:t>
      </w:r>
    </w:p>
    <w:p>
      <w:pPr>
        <w:spacing w:after="0" w:line="200" w:lineRule="exact"/>
        <w:rPr>
          <w:sz w:val="20"/>
          <w:szCs w:val="20"/>
          <w:color w:val="auto"/>
        </w:rPr>
      </w:pPr>
    </w:p>
    <w:p>
      <w:pPr>
        <w:spacing w:after="0" w:line="35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71" w:right="1440" w:bottom="1440" w:gutter="0" w:footer="0" w:header="0"/>
        </w:sectPr>
      </w:pPr>
    </w:p>
    <w:bookmarkStart w:id="210" w:name="page211"/>
    <w:bookmarkEnd w:id="210"/>
    <w:p>
      <w:pPr>
        <w:ind w:left="960" w:right="2539"/>
        <w:spacing w:after="0" w:line="244" w:lineRule="auto"/>
        <w:rPr>
          <w:sz w:val="20"/>
          <w:szCs w:val="20"/>
          <w:color w:val="auto"/>
        </w:rPr>
      </w:pPr>
      <w:r>
        <w:rPr>
          <w:rFonts w:ascii="Courier New" w:cs="Courier New" w:eastAsia="Courier New" w:hAnsi="Courier New"/>
          <w:sz w:val="16"/>
          <w:szCs w:val="16"/>
          <w:color w:val="auto"/>
        </w:rPr>
        <w:t>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89" w:lineRule="exact"/>
        <w:rPr>
          <w:sz w:val="20"/>
          <w:szCs w:val="20"/>
          <w:color w:val="auto"/>
        </w:rPr>
      </w:pPr>
    </w:p>
    <w:p>
      <w:pPr>
        <w:ind w:left="480" w:right="2719" w:firstLine="479"/>
        <w:spacing w:after="0" w:line="242" w:lineRule="auto"/>
        <w:tabs>
          <w:tab w:leader="none" w:pos="1345"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caused to be paid all other sums payable hereunder by the Company; and</w:t>
      </w:r>
    </w:p>
    <w:p>
      <w:pPr>
        <w:spacing w:after="0" w:line="188" w:lineRule="exact"/>
        <w:rPr>
          <w:rFonts w:ascii="Courier New" w:cs="Courier New" w:eastAsia="Courier New" w:hAnsi="Courier New"/>
          <w:sz w:val="16"/>
          <w:szCs w:val="16"/>
          <w:color w:val="auto"/>
        </w:rPr>
      </w:pPr>
    </w:p>
    <w:p>
      <w:pPr>
        <w:ind w:left="480" w:right="2639" w:firstLine="479"/>
        <w:spacing w:after="0" w:line="243" w:lineRule="auto"/>
        <w:tabs>
          <w:tab w:leader="none" w:pos="1345"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subclause (B) of Clause (1) of this Section, the obligations of the Trustee under Section 402 and the last paragraph of Section 1003 shall survive.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402. Application of Trust Money.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18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FIVE</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REMEDIES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501. Events of Default.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"Event of Default," wherever used herein with respect to Securities of any series, means any one of the following events (whatever the reason for such Event of Default and whether it shall be occasioned by the provisions of Article Fifteen or be voluntary or involuntary or be effected by operation of law or pursuant to any judgment, decree or order of any court or any order, rule or regulation of any administrative or governmental body):</w:t>
      </w:r>
    </w:p>
    <w:p>
      <w:pPr>
        <w:spacing w:after="0" w:line="188" w:lineRule="exact"/>
        <w:rPr>
          <w:sz w:val="20"/>
          <w:szCs w:val="20"/>
          <w:color w:val="auto"/>
        </w:rPr>
      </w:pPr>
    </w:p>
    <w:p>
      <w:pPr>
        <w:jc w:val="both"/>
        <w:ind w:right="2539" w:firstLine="479"/>
        <w:spacing w:after="0" w:line="243" w:lineRule="auto"/>
        <w:tabs>
          <w:tab w:leader="none" w:pos="865"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Security of that series when it becomes due and payable, and continuance of such default for a period of 30 days; or</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1" w:right="1440" w:bottom="1440" w:gutter="0" w:footer="0" w:header="0"/>
        </w:sectPr>
      </w:pPr>
    </w:p>
    <w:bookmarkStart w:id="211" w:name="page212"/>
    <w:bookmarkEnd w:id="211"/>
    <w:p>
      <w:pPr>
        <w:ind w:right="3199" w:firstLine="479"/>
        <w:spacing w:after="0" w:line="242" w:lineRule="auto"/>
        <w:tabs>
          <w:tab w:leader="none" w:pos="86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any premium on any Security of that series at its Maturity; or</w:t>
      </w:r>
    </w:p>
    <w:p>
      <w:pPr>
        <w:spacing w:after="0" w:line="188" w:lineRule="exact"/>
        <w:rPr>
          <w:rFonts w:ascii="Courier New" w:cs="Courier New" w:eastAsia="Courier New" w:hAnsi="Courier New"/>
          <w:sz w:val="16"/>
          <w:szCs w:val="16"/>
          <w:color w:val="auto"/>
        </w:rPr>
      </w:pPr>
    </w:p>
    <w:p>
      <w:pPr>
        <w:ind w:right="2639" w:firstLine="479"/>
        <w:spacing w:after="0" w:line="242" w:lineRule="auto"/>
        <w:tabs>
          <w:tab w:leader="none" w:pos="86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deposit of any sinking fund payment, when and as due by the terms of a Security of that series; or</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90"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90"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0" w:lineRule="exact"/>
        <w:rPr>
          <w:rFonts w:ascii="Courier New" w:cs="Courier New" w:eastAsia="Courier New" w:hAnsi="Courier New"/>
          <w:sz w:val="16"/>
          <w:szCs w:val="16"/>
          <w:color w:val="auto"/>
        </w:rPr>
      </w:pPr>
    </w:p>
    <w:p>
      <w:pPr>
        <w:ind w:left="860" w:hanging="381"/>
        <w:spacing w:after="0"/>
        <w:tabs>
          <w:tab w:leader="none" w:pos="86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Securities of that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series;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502. Acceleration of Maturity; Rescission and Annulment.</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an Event of Default (other than an Event of Default specified in Section 501(5) or 501(6)) with respect to Securities of any series at the time Outstanding occurs and is continuing, then in every such</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1" w:right="1440" w:bottom="1440" w:gutter="0" w:footer="0" w:header="0"/>
        </w:sectPr>
      </w:pPr>
    </w:p>
    <w:bookmarkStart w:id="212" w:name="page213"/>
    <w:bookmarkEnd w:id="212"/>
    <w:p>
      <w:pPr>
        <w:ind w:right="2539"/>
        <w:spacing w:after="0" w:line="244" w:lineRule="auto"/>
        <w:rPr>
          <w:sz w:val="20"/>
          <w:szCs w:val="20"/>
          <w:color w:val="auto"/>
        </w:rPr>
      </w:pPr>
      <w:r>
        <w:rPr>
          <w:rFonts w:ascii="Courier New" w:cs="Courier New" w:eastAsia="Courier New" w:hAnsi="Courier New"/>
          <w:sz w:val="16"/>
          <w:szCs w:val="16"/>
          <w:color w:val="auto"/>
        </w:rPr>
        <w:t>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Section 501(5) or 501 (6)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 Any payments by the Company on the Securities following any such acceleration will be subject to the subordination provisions of Article Fifteen to the extent provided therein.</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88" w:lineRule="exact"/>
        <w:rPr>
          <w:sz w:val="20"/>
          <w:szCs w:val="20"/>
          <w:color w:val="auto"/>
        </w:rPr>
      </w:pPr>
    </w:p>
    <w:p>
      <w:pPr>
        <w:ind w:left="960" w:right="2539" w:hanging="481"/>
        <w:spacing w:after="0" w:line="242" w:lineRule="auto"/>
        <w:tabs>
          <w:tab w:leader="none" w:pos="96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paid or deposited with the Trustee a sum sufficient to pay</w:t>
      </w:r>
    </w:p>
    <w:p>
      <w:pPr>
        <w:spacing w:after="0" w:line="186" w:lineRule="exact"/>
        <w:rPr>
          <w:rFonts w:ascii="Courier New" w:cs="Courier New" w:eastAsia="Courier New" w:hAnsi="Courier New"/>
          <w:sz w:val="16"/>
          <w:szCs w:val="16"/>
          <w:color w:val="auto"/>
        </w:rPr>
      </w:pPr>
    </w:p>
    <w:p>
      <w:pPr>
        <w:ind w:left="1440" w:hanging="481"/>
        <w:spacing w:after="0"/>
        <w:tabs>
          <w:tab w:leader="none" w:pos="1440"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overdue interest on all Securities of that series,</w:t>
      </w:r>
    </w:p>
    <w:p>
      <w:pPr>
        <w:spacing w:after="0" w:line="190" w:lineRule="exact"/>
        <w:rPr>
          <w:rFonts w:ascii="Courier New" w:cs="Courier New" w:eastAsia="Courier New" w:hAnsi="Courier New"/>
          <w:sz w:val="16"/>
          <w:szCs w:val="16"/>
          <w:color w:val="auto"/>
        </w:rPr>
      </w:pPr>
    </w:p>
    <w:p>
      <w:pPr>
        <w:ind w:left="1440" w:right="2539" w:hanging="481"/>
        <w:spacing w:after="0" w:line="243" w:lineRule="auto"/>
        <w:tabs>
          <w:tab w:leader="none" w:pos="1440"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89" w:lineRule="exact"/>
        <w:rPr>
          <w:rFonts w:ascii="Courier New" w:cs="Courier New" w:eastAsia="Courier New" w:hAnsi="Courier New"/>
          <w:sz w:val="16"/>
          <w:szCs w:val="16"/>
          <w:color w:val="auto"/>
        </w:rPr>
      </w:pPr>
    </w:p>
    <w:p>
      <w:pPr>
        <w:ind w:left="1440" w:right="2539" w:hanging="481"/>
        <w:spacing w:after="0" w:line="243" w:lineRule="auto"/>
        <w:tabs>
          <w:tab w:leader="none" w:pos="1440"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payment of such interest is lawful, interest upon overdue interest at the rate or rates prescribed therefor in such Securities, and</w:t>
      </w:r>
    </w:p>
    <w:p>
      <w:pPr>
        <w:spacing w:after="0" w:line="188" w:lineRule="exact"/>
        <w:rPr>
          <w:rFonts w:ascii="Courier New" w:cs="Courier New" w:eastAsia="Courier New" w:hAnsi="Courier New"/>
          <w:sz w:val="16"/>
          <w:szCs w:val="16"/>
          <w:color w:val="auto"/>
        </w:rPr>
      </w:pPr>
    </w:p>
    <w:p>
      <w:pPr>
        <w:ind w:left="1440" w:right="2639" w:hanging="481"/>
        <w:spacing w:after="0" w:line="243" w:lineRule="auto"/>
        <w:tabs>
          <w:tab w:leader="none" w:pos="1440"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sums paid or advanced by the Trustee hereunder and the reasonable compensation, expenses, disbursements and advances of the Trustee, its agents and counsel; and</w:t>
      </w:r>
    </w:p>
    <w:p>
      <w:pPr>
        <w:spacing w:after="0" w:line="189" w:lineRule="exact"/>
        <w:rPr>
          <w:sz w:val="20"/>
          <w:szCs w:val="20"/>
          <w:color w:val="auto"/>
        </w:rPr>
      </w:pPr>
    </w:p>
    <w:p>
      <w:pPr>
        <w:ind w:left="480" w:right="2539" w:firstLine="479"/>
        <w:spacing w:after="0" w:line="243" w:lineRule="auto"/>
        <w:tabs>
          <w:tab w:leader="none" w:pos="1345"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90"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No such rescission shall affect any subsequent default or impair any right consequent thereon.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503. Collection of Indebtedness and Suits for Enforcement by Trustee.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covenants that if</w:t>
      </w:r>
    </w:p>
    <w:p>
      <w:pPr>
        <w:spacing w:after="0" w:line="190" w:lineRule="exact"/>
        <w:rPr>
          <w:sz w:val="20"/>
          <w:szCs w:val="20"/>
          <w:color w:val="auto"/>
        </w:rPr>
      </w:pPr>
    </w:p>
    <w:p>
      <w:pPr>
        <w:ind w:right="2539" w:firstLine="479"/>
        <w:spacing w:after="0" w:line="243" w:lineRule="auto"/>
        <w:tabs>
          <w:tab w:leader="none" w:pos="865"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any interest on any Security when such interest becomes due and payable and such default continues for a period of 30 days, or</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71" w:right="1440" w:bottom="1440" w:gutter="0" w:footer="0" w:header="0"/>
        </w:sectPr>
      </w:pPr>
    </w:p>
    <w:bookmarkStart w:id="213" w:name="page214"/>
    <w:bookmarkEnd w:id="213"/>
    <w:p>
      <w:pPr>
        <w:ind w:right="2539" w:firstLine="479"/>
        <w:spacing w:after="0" w:line="242" w:lineRule="auto"/>
        <w:tabs>
          <w:tab w:leader="none" w:pos="865"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is made in the payment of the principal of (or premium, if any, on) any Security at the Maturity thereof,</w:t>
      </w:r>
    </w:p>
    <w:p>
      <w:pPr>
        <w:spacing w:after="0" w:line="189"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Company will, upon demand of the Trustee, but subject to the provisions of Article Fifteen,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504. Trustee May File Proofs of Claim.</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175"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505. Trustee May Enforce Claims Without Possession of Securities.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72" w:right="1440" w:bottom="1440" w:gutter="0" w:footer="0" w:header="0"/>
        </w:sectPr>
      </w:pPr>
    </w:p>
    <w:bookmarkStart w:id="214" w:name="page215"/>
    <w:bookmarkEnd w:id="214"/>
    <w:p>
      <w:pPr>
        <w:ind w:right="2719"/>
        <w:spacing w:after="0" w:line="244" w:lineRule="auto"/>
        <w:rPr>
          <w:sz w:val="20"/>
          <w:szCs w:val="20"/>
          <w:color w:val="auto"/>
        </w:rPr>
      </w:pPr>
      <w:r>
        <w:rPr>
          <w:rFonts w:ascii="Courier New" w:cs="Courier New" w:eastAsia="Courier New" w:hAnsi="Courier New"/>
          <w:sz w:val="16"/>
          <w:szCs w:val="16"/>
          <w:color w:val="auto"/>
        </w:rPr>
        <w:t>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506. Application of Money Collected.</w:t>
      </w:r>
    </w:p>
    <w:p>
      <w:pPr>
        <w:spacing w:after="0" w:line="190" w:lineRule="exact"/>
        <w:rPr>
          <w:sz w:val="20"/>
          <w:szCs w:val="20"/>
          <w:color w:val="auto"/>
        </w:rPr>
      </w:pPr>
    </w:p>
    <w:p>
      <w:pPr>
        <w:ind w:right="2539" w:firstLine="480"/>
        <w:spacing w:after="0" w:line="264" w:lineRule="auto"/>
        <w:rPr>
          <w:sz w:val="20"/>
          <w:szCs w:val="20"/>
          <w:color w:val="auto"/>
        </w:rPr>
      </w:pPr>
      <w:r>
        <w:rPr>
          <w:rFonts w:ascii="Courier New" w:cs="Courier New" w:eastAsia="Courier New" w:hAnsi="Courier New"/>
          <w:sz w:val="15"/>
          <w:szCs w:val="15"/>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74"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FIRST: To the payment of all amounts due the Trustee under Section 607; and</w:t>
      </w:r>
    </w:p>
    <w:p>
      <w:pPr>
        <w:spacing w:after="0" w:line="20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SECOND: Subject to Article Fifteen, to the payment of the amounts then due and unpaid for principal of and any premium, if any, and interest on the Securities in respect of which or for the benefit of which such money has been collected, ratably, without preference or priority of any kind, according to the amounts due and payable on such Securities for principal and any premium, if any, and interest,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507. Limitation on Suits.</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90" w:lineRule="exact"/>
        <w:rPr>
          <w:sz w:val="20"/>
          <w:szCs w:val="20"/>
          <w:color w:val="auto"/>
        </w:rPr>
      </w:pPr>
    </w:p>
    <w:p>
      <w:pPr>
        <w:ind w:right="2919" w:firstLine="479"/>
        <w:spacing w:after="0" w:line="242" w:lineRule="auto"/>
        <w:tabs>
          <w:tab w:leader="none" w:pos="865"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has previously given written notice to the Trustee of a continuing Event of Default with respect to the Securities of that series;</w:t>
      </w:r>
    </w:p>
    <w:p>
      <w:pPr>
        <w:spacing w:after="0" w:line="188"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89"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Holder or Holders have offered to the Trustee reasonable indemnity against the costs, expenses and liabilities to be incurred in compliance with such request;</w:t>
      </w:r>
    </w:p>
    <w:p>
      <w:pPr>
        <w:spacing w:after="0" w:line="188" w:lineRule="exact"/>
        <w:rPr>
          <w:rFonts w:ascii="Courier New" w:cs="Courier New" w:eastAsia="Courier New" w:hAnsi="Courier New"/>
          <w:sz w:val="16"/>
          <w:szCs w:val="16"/>
          <w:color w:val="auto"/>
        </w:rPr>
      </w:pPr>
    </w:p>
    <w:p>
      <w:pPr>
        <w:ind w:right="2719" w:firstLine="479"/>
        <w:spacing w:after="0" w:line="242" w:lineRule="auto"/>
        <w:tabs>
          <w:tab w:leader="none" w:pos="865"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88" w:lineRule="exact"/>
        <w:rPr>
          <w:rFonts w:ascii="Courier New" w:cs="Courier New" w:eastAsia="Courier New" w:hAnsi="Courier New"/>
          <w:sz w:val="16"/>
          <w:szCs w:val="16"/>
          <w:color w:val="auto"/>
        </w:rPr>
      </w:pPr>
    </w:p>
    <w:p>
      <w:pPr>
        <w:ind w:right="2639" w:firstLine="479"/>
        <w:spacing w:after="0" w:line="243" w:lineRule="auto"/>
        <w:tabs>
          <w:tab w:leader="none" w:pos="865"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60-day period by the Holders of a majority in principal amount of the Outstanding Securities of that series;</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71" w:right="1440" w:bottom="1440" w:gutter="0" w:footer="0" w:header="0"/>
        </w:sectPr>
      </w:pPr>
    </w:p>
    <w:bookmarkStart w:id="215" w:name="page216"/>
    <w:bookmarkEnd w:id="215"/>
    <w:p>
      <w:pPr>
        <w:ind w:right="2639"/>
        <w:spacing w:after="0" w:line="244" w:lineRule="auto"/>
        <w:rPr>
          <w:sz w:val="20"/>
          <w:szCs w:val="20"/>
          <w:color w:val="auto"/>
        </w:rPr>
      </w:pPr>
      <w:r>
        <w:rPr>
          <w:rFonts w:ascii="Courier New" w:cs="Courier New" w:eastAsia="Courier New" w:hAnsi="Courier New"/>
          <w:sz w:val="16"/>
          <w:szCs w:val="16"/>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8" w:lineRule="exact"/>
        <w:rPr>
          <w:sz w:val="20"/>
          <w:szCs w:val="20"/>
          <w:color w:val="auto"/>
        </w:rPr>
      </w:pPr>
    </w:p>
    <w:p>
      <w:pPr>
        <w:ind w:left="1240" w:right="2819" w:hanging="1248"/>
        <w:spacing w:after="0" w:line="242" w:lineRule="auto"/>
        <w:rPr>
          <w:sz w:val="20"/>
          <w:szCs w:val="20"/>
          <w:color w:val="auto"/>
        </w:rPr>
      </w:pPr>
      <w:r>
        <w:rPr>
          <w:rFonts w:ascii="Courier New" w:cs="Courier New" w:eastAsia="Courier New" w:hAnsi="Courier New"/>
          <w:sz w:val="16"/>
          <w:szCs w:val="16"/>
          <w:color w:val="auto"/>
        </w:rPr>
        <w:t>SECTION 508. Unconditional Right of Holders to Receive Principal, Premium and Interest and to Convert.</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Notwithstanding any other provision in this Indenture, but subject to the provisions of Article Fifteen,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on the Redemption Date), to convert such Securities in accordance with Article Fourteen and to institute suit for the enforcement of any such payment, and such rights shall not be impaired without the consent of such Holder.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509. Restoration of Rights and Remedies.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510. Rights and Remedies Cumulative.</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511. Delay or Omission Not Waiver.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(subject to the limitations contained in this Indenture) or by the Holders, as the case may be.</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71" w:right="1440" w:bottom="1440" w:gutter="0" w:footer="0" w:header="0"/>
        </w:sectPr>
      </w:pPr>
    </w:p>
    <w:bookmarkStart w:id="216" w:name="page217"/>
    <w:bookmarkEnd w:id="216"/>
    <w:p>
      <w:pPr>
        <w:spacing w:after="0"/>
        <w:rPr>
          <w:sz w:val="20"/>
          <w:szCs w:val="20"/>
          <w:color w:val="auto"/>
        </w:rPr>
      </w:pPr>
      <w:r>
        <w:rPr>
          <w:rFonts w:ascii="Courier New" w:cs="Courier New" w:eastAsia="Courier New" w:hAnsi="Courier New"/>
          <w:sz w:val="16"/>
          <w:szCs w:val="16"/>
          <w:color w:val="auto"/>
        </w:rPr>
        <w:t>SECTION 512. Control by Holders.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7" w:lineRule="exact"/>
        <w:rPr>
          <w:sz w:val="20"/>
          <w:szCs w:val="20"/>
          <w:color w:val="auto"/>
        </w:rPr>
      </w:pPr>
    </w:p>
    <w:p>
      <w:pPr>
        <w:ind w:right="2639" w:firstLine="479"/>
        <w:spacing w:after="0" w:line="243" w:lineRule="auto"/>
        <w:tabs>
          <w:tab w:leader="none" w:pos="865"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direction shall not be in conflict with any rule of law or with this Indenture and the Trustee shall not have determined that the action so directed would be unjustly prejudicial to Holders of Securities of that series, or any other series, not taking part in such direction, and</w:t>
      </w:r>
    </w:p>
    <w:p>
      <w:pPr>
        <w:spacing w:after="0" w:line="189" w:lineRule="exact"/>
        <w:rPr>
          <w:rFonts w:ascii="Courier New" w:cs="Courier New" w:eastAsia="Courier New" w:hAnsi="Courier New"/>
          <w:sz w:val="16"/>
          <w:szCs w:val="16"/>
          <w:color w:val="auto"/>
        </w:rPr>
      </w:pPr>
    </w:p>
    <w:p>
      <w:pPr>
        <w:ind w:right="3019" w:firstLine="479"/>
        <w:spacing w:after="0" w:line="242" w:lineRule="auto"/>
        <w:tabs>
          <w:tab w:leader="none" w:pos="865"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take any other action deemed proper by the Trustee which is not inconsistent with such direction or this Indenture.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513. Waiver of Past Defaults.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w:t>
      </w:r>
    </w:p>
    <w:p>
      <w:pPr>
        <w:spacing w:after="0" w:line="190" w:lineRule="exact"/>
        <w:rPr>
          <w:sz w:val="20"/>
          <w:szCs w:val="20"/>
          <w:color w:val="auto"/>
        </w:rPr>
      </w:pPr>
    </w:p>
    <w:p>
      <w:pPr>
        <w:ind w:right="2819" w:firstLine="479"/>
        <w:spacing w:after="0" w:line="242" w:lineRule="auto"/>
        <w:tabs>
          <w:tab w:leader="none" w:pos="865"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payment of the principal of or any premium or interest on any Security of such series, or</w:t>
      </w:r>
    </w:p>
    <w:p>
      <w:pPr>
        <w:spacing w:after="0" w:line="188" w:lineRule="exact"/>
        <w:rPr>
          <w:rFonts w:ascii="Courier New" w:cs="Courier New" w:eastAsia="Courier New" w:hAnsi="Courier New"/>
          <w:sz w:val="16"/>
          <w:szCs w:val="16"/>
          <w:color w:val="auto"/>
        </w:rPr>
      </w:pPr>
    </w:p>
    <w:p>
      <w:pPr>
        <w:ind w:right="2719" w:firstLine="479"/>
        <w:spacing w:after="0" w:line="243" w:lineRule="auto"/>
        <w:tabs>
          <w:tab w:leader="none" w:pos="865"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a covenant or provision hereof which under Article Nine cannot be modified or amended without the consent of the Holder of each Outstanding Security of such series affected.</w:t>
      </w:r>
    </w:p>
    <w:p>
      <w:pPr>
        <w:spacing w:after="0" w:line="189"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514. Undertaking for Costs.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that neither this Section nor the Trust Indenture Act shall be deemed to authorize any court to require such an undertaking or to make such an assessment in any suit instituted by the Company or in any suit for the enforcement of the right to convert any Security in accordance with Article Fourteen.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515. Waiver of Usury, Stay or Extension Laws.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70" w:right="1440" w:bottom="1440" w:gutter="0" w:footer="0" w:header="0"/>
        </w:sectPr>
      </w:pPr>
    </w:p>
    <w:bookmarkStart w:id="217" w:name="page218"/>
    <w:bookmarkEnd w:id="217"/>
    <w:p>
      <w:pPr>
        <w:ind w:right="2539"/>
        <w:spacing w:after="0" w:line="243" w:lineRule="auto"/>
        <w:rPr>
          <w:sz w:val="20"/>
          <w:szCs w:val="20"/>
          <w:color w:val="auto"/>
        </w:rPr>
      </w:pPr>
      <w:r>
        <w:rPr>
          <w:rFonts w:ascii="Courier New" w:cs="Courier New" w:eastAsia="Courier New" w:hAnsi="Courier New"/>
          <w:sz w:val="16"/>
          <w:szCs w:val="16"/>
          <w:color w:val="auto"/>
        </w:rPr>
        <w:t>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SIX</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THE TRUSTEE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601. Certain Duties and Responsibilities.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602. Notice of Defaults.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603. Certain Rights of Trustee.</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Subject to the provisions of Section 601:</w:t>
      </w:r>
    </w:p>
    <w:p>
      <w:pPr>
        <w:spacing w:after="0" w:line="190" w:lineRule="exact"/>
        <w:rPr>
          <w:sz w:val="20"/>
          <w:szCs w:val="20"/>
          <w:color w:val="auto"/>
        </w:rPr>
      </w:pPr>
    </w:p>
    <w:p>
      <w:pPr>
        <w:ind w:right="2539" w:firstLine="479"/>
        <w:spacing w:after="0" w:line="244" w:lineRule="auto"/>
        <w:tabs>
          <w:tab w:leader="none" w:pos="865"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87" w:lineRule="exact"/>
        <w:rPr>
          <w:rFonts w:ascii="Courier New" w:cs="Courier New" w:eastAsia="Courier New" w:hAnsi="Courier New"/>
          <w:sz w:val="16"/>
          <w:szCs w:val="16"/>
          <w:color w:val="auto"/>
        </w:rPr>
      </w:pPr>
    </w:p>
    <w:p>
      <w:pPr>
        <w:ind w:right="2539" w:firstLine="479"/>
        <w:spacing w:after="0" w:line="267" w:lineRule="auto"/>
        <w:tabs>
          <w:tab w:leader="none" w:pos="865"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1" w:lineRule="exact"/>
        <w:rPr>
          <w:rFonts w:ascii="Courier New" w:cs="Courier New" w:eastAsia="Courier New" w:hAnsi="Courier New"/>
          <w:sz w:val="15"/>
          <w:szCs w:val="15"/>
          <w:color w:val="auto"/>
        </w:rPr>
      </w:pPr>
    </w:p>
    <w:p>
      <w:pPr>
        <w:ind w:right="2539" w:firstLine="479"/>
        <w:spacing w:after="0" w:line="243" w:lineRule="auto"/>
        <w:tabs>
          <w:tab w:leader="none" w:pos="865"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administration of this Indenture the Trustee shall deem it desirable that a matter be proved or established prior to taking, suffering or omitting any action hereunder, the Trustee</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71" w:right="1440" w:bottom="1440" w:gutter="0" w:footer="0" w:header="0"/>
        </w:sectPr>
      </w:pPr>
    </w:p>
    <w:bookmarkStart w:id="218" w:name="page219"/>
    <w:bookmarkEnd w:id="218"/>
    <w:p>
      <w:pPr>
        <w:ind w:right="2539"/>
        <w:spacing w:after="0" w:line="242" w:lineRule="auto"/>
        <w:rPr>
          <w:sz w:val="20"/>
          <w:szCs w:val="20"/>
          <w:color w:val="auto"/>
        </w:rPr>
      </w:pPr>
      <w:r>
        <w:rPr>
          <w:rFonts w:ascii="Courier New" w:cs="Courier New" w:eastAsia="Courier New" w:hAnsi="Courier New"/>
          <w:sz w:val="16"/>
          <w:szCs w:val="16"/>
          <w:color w:val="auto"/>
        </w:rPr>
        <w:t>(unless other evidence be herein specifically prescribed) may, in the absence of bad faith on its part, rely upon an Officers' Certificate;</w:t>
      </w:r>
    </w:p>
    <w:p>
      <w:pPr>
        <w:spacing w:after="0" w:line="189" w:lineRule="exact"/>
        <w:rPr>
          <w:sz w:val="20"/>
          <w:szCs w:val="20"/>
          <w:color w:val="auto"/>
        </w:rPr>
      </w:pPr>
    </w:p>
    <w:p>
      <w:pPr>
        <w:ind w:right="2719" w:firstLine="479"/>
        <w:spacing w:after="0" w:line="243" w:lineRule="auto"/>
        <w:tabs>
          <w:tab w:leader="none" w:pos="865"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89"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89" w:lineRule="exact"/>
        <w:rPr>
          <w:rFonts w:ascii="Courier New" w:cs="Courier New" w:eastAsia="Courier New" w:hAnsi="Courier New"/>
          <w:sz w:val="16"/>
          <w:szCs w:val="16"/>
          <w:color w:val="auto"/>
        </w:rPr>
      </w:pPr>
    </w:p>
    <w:p>
      <w:pPr>
        <w:ind w:right="2819" w:firstLine="479"/>
        <w:spacing w:after="0" w:line="244" w:lineRule="auto"/>
        <w:tabs>
          <w:tab w:leader="none" w:pos="865"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604. Not Responsible for Recitals or Issuance of Securities.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605. May Hold Securities and Act as Trustee Under Other Indentures.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188"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Subject to the limitations imposed by the Trust Indenture Act, nothing in this Indenture shall prohibit the Trustee from becoming and acting as trustee under other indentures under which other</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71" w:right="1440" w:bottom="1440" w:gutter="0" w:footer="0" w:header="0"/>
        </w:sectPr>
      </w:pPr>
    </w:p>
    <w:bookmarkStart w:id="219" w:name="page220"/>
    <w:bookmarkEnd w:id="219"/>
    <w:p>
      <w:pPr>
        <w:ind w:right="2539"/>
        <w:spacing w:after="0" w:line="243" w:lineRule="auto"/>
        <w:rPr>
          <w:sz w:val="20"/>
          <w:szCs w:val="20"/>
          <w:color w:val="auto"/>
        </w:rPr>
      </w:pPr>
      <w:r>
        <w:rPr>
          <w:rFonts w:ascii="Courier New" w:cs="Courier New" w:eastAsia="Courier New" w:hAnsi="Courier New"/>
          <w:sz w:val="16"/>
          <w:szCs w:val="16"/>
          <w:color w:val="auto"/>
        </w:rPr>
        <w:t>securities, or certificates of interest of participation in other securities, of the Company are outstanding in the same manner as if it were not Trustee hereunder.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606. Money Held in Trust.</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607. Compensation and Reimbursement.</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agrees</w:t>
      </w:r>
    </w:p>
    <w:p>
      <w:pPr>
        <w:spacing w:after="0" w:line="190" w:lineRule="exact"/>
        <w:rPr>
          <w:sz w:val="20"/>
          <w:szCs w:val="20"/>
          <w:color w:val="auto"/>
        </w:rPr>
      </w:pPr>
    </w:p>
    <w:p>
      <w:pPr>
        <w:ind w:right="2539" w:firstLine="479"/>
        <w:spacing w:after="0" w:line="243" w:lineRule="auto"/>
        <w:tabs>
          <w:tab w:leader="none" w:pos="865"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608. Conflicting Interests.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609. Corporate Trustee Required; Eligibility.</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72" w:right="1440" w:bottom="1440" w:gutter="0" w:footer="0" w:header="0"/>
        </w:sectPr>
      </w:pPr>
    </w:p>
    <w:bookmarkStart w:id="220" w:name="page221"/>
    <w:bookmarkEnd w:id="220"/>
    <w:p>
      <w:pPr>
        <w:ind w:right="2539"/>
        <w:spacing w:after="0" w:line="244" w:lineRule="auto"/>
        <w:rPr>
          <w:sz w:val="20"/>
          <w:szCs w:val="20"/>
          <w:color w:val="auto"/>
        </w:rPr>
      </w:pPr>
      <w:r>
        <w:rPr>
          <w:rFonts w:ascii="Courier New" w:cs="Courier New" w:eastAsia="Courier New" w:hAnsi="Courier New"/>
          <w:sz w:val="16"/>
          <w:szCs w:val="16"/>
          <w:color w:val="auto"/>
        </w:rPr>
        <w:t>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610. Resignation and Removal; Appointment of Successor.</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8"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If at any time:</w:t>
      </w:r>
    </w:p>
    <w:p>
      <w:pPr>
        <w:spacing w:after="0" w:line="190" w:lineRule="exact"/>
        <w:rPr>
          <w:sz w:val="20"/>
          <w:szCs w:val="20"/>
          <w:color w:val="auto"/>
        </w:rPr>
      </w:pPr>
    </w:p>
    <w:p>
      <w:pPr>
        <w:ind w:right="2539" w:firstLine="479"/>
        <w:spacing w:after="0" w:line="243" w:lineRule="auto"/>
        <w:tabs>
          <w:tab w:leader="none" w:pos="865"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fail to comply with Section 608 after written request therefor by the Company or by any Holder who has been a bona fide Holder of a Security for at least six months, or</w:t>
      </w:r>
    </w:p>
    <w:p>
      <w:pPr>
        <w:spacing w:after="0" w:line="188"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cease to be eligible under Section 609 and shall fail to resign after written request therefor by the Company or by any such Holder, or</w:t>
      </w:r>
    </w:p>
    <w:p>
      <w:pPr>
        <w:spacing w:after="0" w:line="188" w:lineRule="exact"/>
        <w:rPr>
          <w:rFonts w:ascii="Courier New" w:cs="Courier New" w:eastAsia="Courier New" w:hAnsi="Courier New"/>
          <w:sz w:val="16"/>
          <w:szCs w:val="16"/>
          <w:color w:val="auto"/>
        </w:rPr>
      </w:pPr>
    </w:p>
    <w:p>
      <w:pPr>
        <w:ind w:right="2719" w:firstLine="479"/>
        <w:spacing w:after="0" w:line="244" w:lineRule="auto"/>
        <w:tabs>
          <w:tab w:leader="none" w:pos="865"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7"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88"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71" w:right="1440" w:bottom="1440" w:gutter="0" w:footer="0" w:header="0"/>
        </w:sectPr>
      </w:pPr>
    </w:p>
    <w:bookmarkStart w:id="221" w:name="page222"/>
    <w:bookmarkEnd w:id="221"/>
    <w:p>
      <w:pPr>
        <w:ind w:right="2539"/>
        <w:spacing w:after="0" w:line="261" w:lineRule="auto"/>
        <w:rPr>
          <w:sz w:val="20"/>
          <w:szCs w:val="20"/>
          <w:color w:val="auto"/>
        </w:rPr>
      </w:pPr>
      <w:r>
        <w:rPr>
          <w:rFonts w:ascii="Courier New" w:cs="Courier New" w:eastAsia="Courier New" w:hAnsi="Courier New"/>
          <w:sz w:val="15"/>
          <w:szCs w:val="15"/>
          <w:color w:val="auto"/>
        </w:rPr>
        <w:t>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the retiring Trustee may petition,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36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611. Acceptance of Appointment by Successor.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w:t>
      </w:r>
    </w:p>
    <w:p>
      <w:pPr>
        <w:spacing w:after="0" w:line="37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71" w:right="1440" w:bottom="1440" w:gutter="0" w:footer="0" w:header="0"/>
        </w:sectPr>
      </w:pPr>
    </w:p>
    <w:bookmarkStart w:id="222" w:name="page223"/>
    <w:bookmarkEnd w:id="222"/>
    <w:p>
      <w:pPr>
        <w:ind w:right="2639"/>
        <w:spacing w:after="0" w:line="261" w:lineRule="auto"/>
        <w:rPr>
          <w:sz w:val="20"/>
          <w:szCs w:val="20"/>
          <w:color w:val="auto"/>
        </w:rPr>
      </w:pPr>
      <w:r>
        <w:rPr>
          <w:rFonts w:ascii="Courier New" w:cs="Courier New" w:eastAsia="Courier New" w:hAnsi="Courier New"/>
          <w:sz w:val="15"/>
          <w:szCs w:val="15"/>
          <w:color w:val="auto"/>
        </w:rPr>
        <w:t>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84"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90" w:lineRule="exact"/>
        <w:rPr>
          <w:sz w:val="20"/>
          <w:szCs w:val="20"/>
          <w:color w:val="auto"/>
        </w:rPr>
      </w:pPr>
    </w:p>
    <w:p>
      <w:pPr>
        <w:jc w:val="both"/>
        <w:ind w:right="2919" w:firstLine="480"/>
        <w:spacing w:after="0" w:line="243" w:lineRule="auto"/>
        <w:rPr>
          <w:sz w:val="20"/>
          <w:szCs w:val="20"/>
          <w:color w:val="auto"/>
        </w:rPr>
      </w:pPr>
      <w:r>
        <w:rPr>
          <w:rFonts w:ascii="Courier New" w:cs="Courier New" w:eastAsia="Courier New" w:hAnsi="Courier New"/>
          <w:sz w:val="16"/>
          <w:szCs w:val="16"/>
          <w:color w:val="auto"/>
        </w:rPr>
        <w:t>No successor Trustee shall accept its appointment unless at the time of such acceptance such successor Trustee shall be qualified and eligible under this Article.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612. Merger, Conversion, Consolidation or Succession to Business.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613. Preferential Collection of Claims Against Company.</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614. Appointment of Authenticating Agent.</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72" w:right="1440" w:bottom="1440" w:gutter="0" w:footer="0" w:header="0"/>
        </w:sectPr>
      </w:pPr>
    </w:p>
    <w:bookmarkStart w:id="223" w:name="page224"/>
    <w:bookmarkEnd w:id="223"/>
    <w:p>
      <w:pPr>
        <w:ind w:right="2539"/>
        <w:spacing w:after="0" w:line="261" w:lineRule="auto"/>
        <w:rPr>
          <w:sz w:val="20"/>
          <w:szCs w:val="20"/>
          <w:color w:val="auto"/>
        </w:rPr>
      </w:pPr>
      <w:r>
        <w:rPr>
          <w:rFonts w:ascii="Courier New" w:cs="Courier New" w:eastAsia="Courier New" w:hAnsi="Courier New"/>
          <w:sz w:val="15"/>
          <w:szCs w:val="15"/>
          <w:color w:val="auto"/>
        </w:rPr>
        <w:t>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36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2"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90"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If an appointment with respect to one or more series is made pursuant to this Section 612, the Securities of such series may have endorsed thereon, in addition to the Trustee's certificate of authentication, an alternative certificate of authentication in the following form:</w:t>
      </w:r>
    </w:p>
    <w:p>
      <w:pPr>
        <w:spacing w:after="0" w:line="200" w:lineRule="exact"/>
        <w:rPr>
          <w:sz w:val="20"/>
          <w:szCs w:val="20"/>
          <w:color w:val="auto"/>
        </w:rPr>
      </w:pPr>
    </w:p>
    <w:p>
      <w:pPr>
        <w:spacing w:after="0" w:line="35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1" w:right="1440" w:bottom="1440" w:gutter="0" w:footer="0" w:header="0"/>
        </w:sectPr>
      </w:pPr>
    </w:p>
    <w:bookmarkStart w:id="224" w:name="page225"/>
    <w:bookmarkEnd w:id="224"/>
    <w:p>
      <w:pPr>
        <w:ind w:right="2639" w:firstLine="480"/>
        <w:spacing w:after="0" w:line="242" w:lineRule="auto"/>
        <w:rPr>
          <w:sz w:val="20"/>
          <w:szCs w:val="20"/>
          <w:color w:val="auto"/>
        </w:rPr>
      </w:pPr>
      <w:r>
        <w:rPr>
          <w:rFonts w:ascii="Courier New" w:cs="Courier New" w:eastAsia="Courier New" w:hAnsi="Courier New"/>
          <w:sz w:val="16"/>
          <w:szCs w:val="16"/>
          <w:color w:val="auto"/>
        </w:rPr>
        <w:t>This is one of the Securities of the series designated therein referred to in the within-mentioned Indenture.</w:t>
      </w:r>
    </w:p>
    <w:p>
      <w:pPr>
        <w:spacing w:after="0" w:line="3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As Trustee</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4"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As Authenticating Agent</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Authorized Officer</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SEVEN</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HOLDERS' LISTS AND REPORTS BY TRUSTEE AND COMPANY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701. Company to Furnish Trustee Names and Addresses of Holders.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Company will furnish or cause to be furnished to the Trustee</w:t>
      </w:r>
    </w:p>
    <w:p>
      <w:pPr>
        <w:spacing w:after="0" w:line="190" w:lineRule="exact"/>
        <w:rPr>
          <w:sz w:val="20"/>
          <w:szCs w:val="20"/>
          <w:color w:val="auto"/>
        </w:rPr>
      </w:pPr>
    </w:p>
    <w:p>
      <w:pPr>
        <w:ind w:right="2639" w:firstLine="479"/>
        <w:spacing w:after="0" w:line="243" w:lineRule="auto"/>
        <w:tabs>
          <w:tab w:leader="none" w:pos="865"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semi-annually, not later than 15 days after the Regular Record Date, a list, in such form as the Trustee may reasonably require, of the names and addresses of the Holders of Securities of each series as of such Regular Record Date, as the case may be, and</w:t>
      </w:r>
    </w:p>
    <w:p>
      <w:pPr>
        <w:spacing w:after="0" w:line="189" w:lineRule="exact"/>
        <w:rPr>
          <w:rFonts w:ascii="Courier New" w:cs="Courier New" w:eastAsia="Courier New" w:hAnsi="Courier New"/>
          <w:sz w:val="16"/>
          <w:szCs w:val="16"/>
          <w:color w:val="auto"/>
        </w:rPr>
      </w:pPr>
    </w:p>
    <w:p>
      <w:pPr>
        <w:ind w:right="2639" w:firstLine="479"/>
        <w:spacing w:after="0" w:line="243" w:lineRule="auto"/>
        <w:tabs>
          <w:tab w:leader="none" w:pos="865"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90"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provided that no such list need be furnished by the Company to the Trustee so long as the Trustee is acting as Security Registrar.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702. Preservation of Information; Communications to Holders.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Trustee shall preserve, in as current a form as is reasonably practicable, the names and addresses of Holders contained in the most recent list furnished to the Trustee as provided in Section 701, if any, and the names and addresses of Holders received by the Trustee in its capacity as Security Registrar. The Trustee may destroy any list furnished to it as provided in Section 701 upon receipt of a new list so furnished.</w:t>
      </w:r>
    </w:p>
    <w:p>
      <w:pPr>
        <w:spacing w:after="0" w:line="188"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200" w:lineRule="exact"/>
        <w:rPr>
          <w:sz w:val="20"/>
          <w:szCs w:val="20"/>
          <w:color w:val="auto"/>
        </w:rPr>
      </w:pPr>
    </w:p>
    <w:p>
      <w:pPr>
        <w:spacing w:after="0" w:line="35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72" w:right="1440" w:bottom="1440" w:gutter="0" w:footer="0" w:header="0"/>
        </w:sectPr>
      </w:pPr>
    </w:p>
    <w:bookmarkStart w:id="225" w:name="page226"/>
    <w:bookmarkEnd w:id="225"/>
    <w:p>
      <w:pPr>
        <w:ind w:right="2539" w:firstLine="480"/>
        <w:spacing w:after="0" w:line="244" w:lineRule="auto"/>
        <w:rPr>
          <w:sz w:val="20"/>
          <w:szCs w:val="20"/>
          <w:color w:val="auto"/>
        </w:rPr>
      </w:pPr>
      <w:r>
        <w:rPr>
          <w:rFonts w:ascii="Courier New" w:cs="Courier New" w:eastAsia="Courier New" w:hAnsi="Courier New"/>
          <w:sz w:val="16"/>
          <w:szCs w:val="16"/>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703. Reports by Trustee.</w:t>
      </w:r>
    </w:p>
    <w:p>
      <w:pPr>
        <w:spacing w:after="0" w:line="190" w:lineRule="exact"/>
        <w:rPr>
          <w:sz w:val="20"/>
          <w:szCs w:val="20"/>
          <w:color w:val="auto"/>
        </w:rPr>
      </w:pPr>
    </w:p>
    <w:p>
      <w:pPr>
        <w:jc w:val="both"/>
        <w:ind w:right="2719" w:firstLine="480"/>
        <w:spacing w:after="0" w:line="243" w:lineRule="auto"/>
        <w:rPr>
          <w:sz w:val="20"/>
          <w:szCs w:val="20"/>
          <w:color w:val="auto"/>
        </w:rPr>
      </w:pPr>
      <w:r>
        <w:rPr>
          <w:rFonts w:ascii="Courier New" w:cs="Courier New" w:eastAsia="Courier New" w:hAnsi="Courier New"/>
          <w:sz w:val="16"/>
          <w:szCs w:val="16"/>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Reports so required to be transmitted at stated intervals of not more than 12 months shall be transmitted no later than July 1 in each calendar year, commencing with the first July 1 after the first issuance of Securities pursuant to this Indenture.</w:t>
      </w:r>
    </w:p>
    <w:p>
      <w:pPr>
        <w:spacing w:after="0" w:line="190"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704. Reports by Company.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shall file with the Trustee and the Commission, and transmit to Holders, such information, documents and other reports, and such summaries thereof, as may be required pursuant to the Trust Indenture Act at the times and in the manner provided pursuant to the Trust Indenture Act; provided that any such information, documents or reports required to be filed with the Commission pursuant to Section 13 or 15(d) of the Exchange Act shall be filed with the Trustee within 15 days after the same is so required to be filed with the Commission.</w:t>
      </w:r>
    </w:p>
    <w:p>
      <w:pPr>
        <w:spacing w:after="0" w:line="18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EIGHT</w:t>
      </w:r>
    </w:p>
    <w:p>
      <w:pPr>
        <w:spacing w:after="0" w:line="188"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CONSOLIDATION, MERGER, CONVEYANCE, TRANSFER OR LEASE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801. Company May Consolidate, Etc., Only on Certain Terms.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Company shall not consolidate with or merge into any other Person (in a transaction in which the Company is not the surviving corporation) or convey, transfer or lease its properties and assets substantially as an entirety to any Person, unless:</w:t>
      </w:r>
    </w:p>
    <w:p>
      <w:pPr>
        <w:spacing w:after="0" w:line="190" w:lineRule="exact"/>
        <w:rPr>
          <w:sz w:val="20"/>
          <w:szCs w:val="20"/>
          <w:color w:val="auto"/>
        </w:rPr>
      </w:pPr>
    </w:p>
    <w:p>
      <w:pPr>
        <w:ind w:right="2539" w:firstLine="479"/>
        <w:spacing w:after="0" w:line="244" w:lineRule="auto"/>
        <w:tabs>
          <w:tab w:leader="none" w:pos="865"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consolidate with or merge into another Person (in an transaction in which the Company is not the surviving corporation)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71" w:right="1440" w:bottom="1440" w:gutter="0" w:footer="0" w:header="0"/>
        </w:sectPr>
      </w:pPr>
    </w:p>
    <w:bookmarkStart w:id="226" w:name="page227"/>
    <w:bookmarkEnd w:id="226"/>
    <w:p>
      <w:pPr>
        <w:ind w:right="2539"/>
        <w:spacing w:after="0" w:line="244" w:lineRule="auto"/>
        <w:rPr>
          <w:sz w:val="20"/>
          <w:szCs w:val="20"/>
          <w:color w:val="auto"/>
        </w:rPr>
      </w:pPr>
      <w:r>
        <w:rPr>
          <w:rFonts w:ascii="Courier New" w:cs="Courier New" w:eastAsia="Courier New" w:hAnsi="Courier New"/>
          <w:sz w:val="16"/>
          <w:szCs w:val="16"/>
          <w:color w:val="auto"/>
        </w:rPr>
        <w:t>limited liability company,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and the conversion rights shall be provided for in accordance with Article Fourteen, if applicable, or as otherwise specified pursuant to Section 301, by supplemental indenture satisfactory in form to the Trustee, executed and delivered to the Trustee, by the Person (if other than the Company) formed by such consolidation or into which the Company shall have been merged or by the Person which shall have acquired the Company's assets;</w:t>
      </w:r>
    </w:p>
    <w:p>
      <w:pPr>
        <w:spacing w:after="0" w:line="191" w:lineRule="exact"/>
        <w:rPr>
          <w:sz w:val="20"/>
          <w:szCs w:val="20"/>
          <w:color w:val="auto"/>
        </w:rPr>
      </w:pPr>
    </w:p>
    <w:p>
      <w:pPr>
        <w:ind w:right="2639" w:firstLine="479"/>
        <w:spacing w:after="0" w:line="244" w:lineRule="auto"/>
        <w:tabs>
          <w:tab w:leader="none" w:pos="865"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and</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802. Successor Substituted.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NINE</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SUPPLEMENTAL INDENTURES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901. Supplemental Indentures Without Consent of Holders.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200" w:lineRule="exact"/>
        <w:rPr>
          <w:sz w:val="20"/>
          <w:szCs w:val="20"/>
          <w:color w:val="auto"/>
        </w:rPr>
      </w:pPr>
    </w:p>
    <w:p>
      <w:pPr>
        <w:spacing w:after="0" w:line="35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71" w:right="1440" w:bottom="1440" w:gutter="0" w:footer="0" w:header="0"/>
        </w:sectPr>
      </w:pPr>
    </w:p>
    <w:bookmarkStart w:id="227" w:name="page228"/>
    <w:bookmarkEnd w:id="227"/>
    <w:p>
      <w:pPr>
        <w:ind w:left="-479" w:right="3299" w:firstLine="479"/>
        <w:spacing w:after="0" w:line="243" w:lineRule="auto"/>
        <w:tabs>
          <w:tab w:leader="none" w:pos="386"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the succession of another Person to the Company, or successive successions, and the assumption by any such successor of the covenants of the Company herein and in the Securities; or</w:t>
      </w:r>
    </w:p>
    <w:p>
      <w:pPr>
        <w:spacing w:after="0" w:line="188" w:lineRule="exact"/>
        <w:rPr>
          <w:rFonts w:ascii="Courier New" w:cs="Courier New" w:eastAsia="Courier New" w:hAnsi="Courier New"/>
          <w:sz w:val="16"/>
          <w:szCs w:val="16"/>
          <w:color w:val="auto"/>
        </w:rPr>
      </w:pPr>
    </w:p>
    <w:p>
      <w:pPr>
        <w:ind w:left="-479" w:right="2639" w:firstLine="479"/>
        <w:spacing w:after="0" w:line="244" w:lineRule="auto"/>
        <w:tabs>
          <w:tab w:leader="none" w:pos="386"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7" w:lineRule="exact"/>
        <w:rPr>
          <w:rFonts w:ascii="Courier New" w:cs="Courier New" w:eastAsia="Courier New" w:hAnsi="Courier New"/>
          <w:sz w:val="16"/>
          <w:szCs w:val="16"/>
          <w:color w:val="auto"/>
        </w:rPr>
      </w:pPr>
    </w:p>
    <w:p>
      <w:pPr>
        <w:ind w:left="-479" w:right="2539" w:firstLine="479"/>
        <w:spacing w:after="0" w:line="244" w:lineRule="auto"/>
        <w:tabs>
          <w:tab w:leader="none" w:pos="386"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87" w:lineRule="exact"/>
        <w:rPr>
          <w:rFonts w:ascii="Courier New" w:cs="Courier New" w:eastAsia="Courier New" w:hAnsi="Courier New"/>
          <w:sz w:val="16"/>
          <w:szCs w:val="16"/>
          <w:color w:val="auto"/>
        </w:rPr>
      </w:pPr>
    </w:p>
    <w:p>
      <w:pPr>
        <w:ind w:left="-479" w:right="2639" w:firstLine="479"/>
        <w:spacing w:after="0" w:line="244" w:lineRule="auto"/>
        <w:tabs>
          <w:tab w:leader="none" w:pos="386"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7" w:lineRule="exact"/>
        <w:rPr>
          <w:rFonts w:ascii="Courier New" w:cs="Courier New" w:eastAsia="Courier New" w:hAnsi="Courier New"/>
          <w:sz w:val="16"/>
          <w:szCs w:val="16"/>
          <w:color w:val="auto"/>
        </w:rPr>
      </w:pPr>
    </w:p>
    <w:p>
      <w:pPr>
        <w:ind w:left="-479" w:right="2539" w:firstLine="479"/>
        <w:spacing w:after="0" w:line="244" w:lineRule="auto"/>
        <w:tabs>
          <w:tab w:leader="none" w:pos="386"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86"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secure the Securities; or</w:t>
      </w:r>
    </w:p>
    <w:p>
      <w:pPr>
        <w:spacing w:after="0" w:line="190" w:lineRule="exact"/>
        <w:rPr>
          <w:rFonts w:ascii="Courier New" w:cs="Courier New" w:eastAsia="Courier New" w:hAnsi="Courier New"/>
          <w:sz w:val="16"/>
          <w:szCs w:val="16"/>
          <w:color w:val="auto"/>
        </w:rPr>
      </w:pPr>
    </w:p>
    <w:p>
      <w:pPr>
        <w:ind w:left="-479" w:right="2539" w:firstLine="479"/>
        <w:spacing w:after="0" w:line="242" w:lineRule="auto"/>
        <w:tabs>
          <w:tab w:leader="none" w:pos="386"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the form or terms of Securities of any series as permitted by Sections 201 and 301; or</w:t>
      </w:r>
    </w:p>
    <w:p>
      <w:pPr>
        <w:spacing w:after="0" w:line="188" w:lineRule="exact"/>
        <w:rPr>
          <w:rFonts w:ascii="Courier New" w:cs="Courier New" w:eastAsia="Courier New" w:hAnsi="Courier New"/>
          <w:sz w:val="16"/>
          <w:szCs w:val="16"/>
          <w:color w:val="auto"/>
        </w:rPr>
      </w:pPr>
    </w:p>
    <w:p>
      <w:pPr>
        <w:ind w:left="-479" w:right="2639" w:firstLine="479"/>
        <w:spacing w:after="0" w:line="264" w:lineRule="auto"/>
        <w:tabs>
          <w:tab w:leader="none" w:pos="386"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74" w:lineRule="exact"/>
        <w:rPr>
          <w:rFonts w:ascii="Courier New" w:cs="Courier New" w:eastAsia="Courier New" w:hAnsi="Courier New"/>
          <w:sz w:val="15"/>
          <w:szCs w:val="15"/>
          <w:color w:val="auto"/>
        </w:rPr>
      </w:pPr>
    </w:p>
    <w:p>
      <w:pPr>
        <w:ind w:left="-479" w:right="2719" w:firstLine="479"/>
        <w:spacing w:after="0" w:line="243" w:lineRule="auto"/>
        <w:tabs>
          <w:tab w:leader="none" w:pos="386"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provision with respect to the conversion rights of Holders pursuant to the requirements of Article Fourteen, including providing for the conversion of the securities into any security (other than the Common Stock of the Company) or property of the Company; or</w:t>
      </w:r>
    </w:p>
    <w:p>
      <w:pPr>
        <w:spacing w:after="0" w:line="189" w:lineRule="exact"/>
        <w:rPr>
          <w:rFonts w:ascii="Courier New" w:cs="Courier New" w:eastAsia="Courier New" w:hAnsi="Courier New"/>
          <w:sz w:val="16"/>
          <w:szCs w:val="16"/>
          <w:color w:val="auto"/>
        </w:rPr>
      </w:pPr>
    </w:p>
    <w:p>
      <w:pPr>
        <w:ind w:left="-479" w:right="2719" w:firstLine="479"/>
        <w:spacing w:after="0" w:line="243" w:lineRule="auto"/>
        <w:tabs>
          <w:tab w:leader="none" w:pos="482"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to correct or supplement any provision herein which may be defective or inconsistent with any other provision herein, or to make any other provisions with respect to matters or questions arising under this Indenture, provided that such action pursuant to this Clause</w:t>
      </w:r>
    </w:p>
    <w:p>
      <w:pPr>
        <w:spacing w:after="0" w:line="373"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9740"/>
          </w:cols>
          <w:pgMar w:left="719" w:top="671" w:right="1440" w:bottom="1440" w:gutter="0" w:footer="0" w:header="0"/>
        </w:sectPr>
      </w:pPr>
    </w:p>
    <w:bookmarkStart w:id="228" w:name="page229"/>
    <w:bookmarkEnd w:id="228"/>
    <w:p>
      <w:pPr>
        <w:ind w:left="1" w:right="2819" w:hanging="1"/>
        <w:spacing w:after="0" w:line="242" w:lineRule="auto"/>
        <w:tabs>
          <w:tab w:leader="none" w:pos="482"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adversely affect the interests of the Holders of Securities of any series in any material respect; or</w:t>
      </w:r>
    </w:p>
    <w:p>
      <w:pPr>
        <w:spacing w:after="0" w:line="188" w:lineRule="exact"/>
        <w:rPr>
          <w:rFonts w:ascii="Courier New" w:cs="Courier New" w:eastAsia="Courier New" w:hAnsi="Courier New"/>
          <w:sz w:val="16"/>
          <w:szCs w:val="16"/>
          <w:color w:val="auto"/>
        </w:rPr>
      </w:pPr>
    </w:p>
    <w:p>
      <w:pPr>
        <w:ind w:left="1" w:right="2539" w:firstLine="479"/>
        <w:spacing w:after="0" w:line="244" w:lineRule="auto"/>
        <w:tabs>
          <w:tab w:leader="none" w:pos="962" w:val="left"/>
        </w:tabs>
        <w:numPr>
          <w:ilvl w:val="1"/>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supplement any of the provisions of the Indenture to such extent as shall be necessary to permit or facilitate the defeasance and discharge of any series of Securities pursuant to Articles Four and Thirteen, provided that any such action shall not adversely affect the interests of the Holders of Securities of such series or any other series of Securities in any material respect.</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902. Supplemental Indentures With Consent of Holders.</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190" w:lineRule="exact"/>
        <w:rPr>
          <w:sz w:val="20"/>
          <w:szCs w:val="20"/>
          <w:color w:val="auto"/>
        </w:rPr>
      </w:pPr>
    </w:p>
    <w:p>
      <w:pPr>
        <w:ind w:left="1" w:right="2539" w:firstLine="479"/>
        <w:spacing w:after="0" w:line="244" w:lineRule="auto"/>
        <w:tabs>
          <w:tab w:leader="none" w:pos="866"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 modify the provisions of this Indenture with respect to the subordination of such series of Securities in a manner adverse to the Holders of Securities of such series, or</w:t>
      </w:r>
    </w:p>
    <w:p>
      <w:pPr>
        <w:spacing w:after="0" w:line="191" w:lineRule="exact"/>
        <w:rPr>
          <w:rFonts w:ascii="Courier New" w:cs="Courier New" w:eastAsia="Courier New" w:hAnsi="Courier New"/>
          <w:sz w:val="16"/>
          <w:szCs w:val="16"/>
          <w:color w:val="auto"/>
        </w:rPr>
      </w:pPr>
    </w:p>
    <w:p>
      <w:pPr>
        <w:ind w:left="1" w:right="2539" w:firstLine="479"/>
        <w:spacing w:after="0" w:line="244" w:lineRule="auto"/>
        <w:tabs>
          <w:tab w:leader="none" w:pos="866"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7" w:lineRule="exact"/>
        <w:rPr>
          <w:rFonts w:ascii="Courier New" w:cs="Courier New" w:eastAsia="Courier New" w:hAnsi="Courier New"/>
          <w:sz w:val="16"/>
          <w:szCs w:val="16"/>
          <w:color w:val="auto"/>
        </w:rPr>
      </w:pPr>
    </w:p>
    <w:p>
      <w:pPr>
        <w:ind w:left="1" w:right="2539" w:firstLine="479"/>
        <w:spacing w:after="0" w:line="244" w:lineRule="auto"/>
        <w:tabs>
          <w:tab w:leader="none" w:pos="866"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of the provisions of this Section, Section 513 or Section 1008,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1008, or the deletion of this proviso, in accordance with the requirements of Sections 611 and 901(8), or</w:t>
      </w:r>
    </w:p>
    <w:p>
      <w:pPr>
        <w:spacing w:after="0" w:line="372"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21"/>
          </w:cols>
          <w:pgMar w:left="239" w:top="672" w:right="1440" w:bottom="1440" w:gutter="0" w:footer="0" w:header="0"/>
        </w:sectPr>
      </w:pPr>
    </w:p>
    <w:bookmarkStart w:id="229" w:name="page230"/>
    <w:bookmarkEnd w:id="229"/>
    <w:p>
      <w:pPr>
        <w:ind w:right="2639" w:firstLine="479"/>
        <w:spacing w:after="0" w:line="243" w:lineRule="auto"/>
        <w:tabs>
          <w:tab w:leader="none" w:pos="865"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make any change that adversely affects the right to convert any security as provided in Article Fourteen or pursuant to Section 301 (except as permitted by Section 901(9)) or decrease the conversion rate or increase the conversion price of any such security.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88"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It shall not be necessary for any Act of Holders under this Section to approve the particular form of any proposed supplemental indenture, but it shall be sufficient if such Act shall approve the substance thereof.</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903. Execution of Supplemental Indentures.</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In executing, or accepting the additional trusts created by, any supplemental indenture permitted by this Article or the modifications thereby of the trusts created by this Indenture, the Trustee shall be entitled to receive, and (subject to Sections 601 and 603)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904. Effect of Supplemental Indentures.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905. Conformity with Trust Indenture Act.</w:t>
      </w:r>
    </w:p>
    <w:p>
      <w:pPr>
        <w:spacing w:after="0" w:line="190" w:lineRule="exact"/>
        <w:rPr>
          <w:sz w:val="20"/>
          <w:szCs w:val="20"/>
          <w:color w:val="auto"/>
        </w:rPr>
      </w:pPr>
    </w:p>
    <w:p>
      <w:pPr>
        <w:ind w:right="3199" w:firstLine="480"/>
        <w:spacing w:after="0" w:line="242" w:lineRule="auto"/>
        <w:rPr>
          <w:sz w:val="20"/>
          <w:szCs w:val="20"/>
          <w:color w:val="auto"/>
        </w:rPr>
      </w:pPr>
      <w:r>
        <w:rPr>
          <w:rFonts w:ascii="Courier New" w:cs="Courier New" w:eastAsia="Courier New" w:hAnsi="Courier New"/>
          <w:sz w:val="16"/>
          <w:szCs w:val="16"/>
          <w:color w:val="auto"/>
        </w:rPr>
        <w:t>Every supplemental indenture executed pursuant to this Article shall conform to the requirements of the Trust Indenture Act.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906. Reference in Securities to Supplemental Indentures.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71" w:right="1440" w:bottom="1440" w:gutter="0" w:footer="0" w:header="0"/>
        </w:sectPr>
      </w:pPr>
    </w:p>
    <w:bookmarkStart w:id="230" w:name="page231"/>
    <w:bookmarkEnd w:id="230"/>
    <w:p>
      <w:pPr>
        <w:spacing w:after="0"/>
        <w:rPr>
          <w:sz w:val="20"/>
          <w:szCs w:val="20"/>
          <w:color w:val="auto"/>
        </w:rPr>
      </w:pPr>
      <w:r>
        <w:rPr>
          <w:rFonts w:ascii="Courier New" w:cs="Courier New" w:eastAsia="Courier New" w:hAnsi="Courier New"/>
          <w:sz w:val="16"/>
          <w:szCs w:val="16"/>
          <w:color w:val="auto"/>
        </w:rPr>
        <w:t>SECTION 907. Subordination Unimpaired.</w:t>
      </w:r>
    </w:p>
    <w:p>
      <w:pPr>
        <w:spacing w:after="0" w:line="190" w:lineRule="exact"/>
        <w:rPr>
          <w:sz w:val="20"/>
          <w:szCs w:val="20"/>
          <w:color w:val="auto"/>
        </w:rPr>
      </w:pPr>
    </w:p>
    <w:p>
      <w:pPr>
        <w:ind w:right="2919" w:firstLine="480"/>
        <w:spacing w:after="0" w:line="243" w:lineRule="auto"/>
        <w:rPr>
          <w:sz w:val="20"/>
          <w:szCs w:val="20"/>
          <w:color w:val="auto"/>
        </w:rPr>
      </w:pPr>
      <w:r>
        <w:rPr>
          <w:rFonts w:ascii="Courier New" w:cs="Courier New" w:eastAsia="Courier New" w:hAnsi="Courier New"/>
          <w:sz w:val="16"/>
          <w:szCs w:val="16"/>
          <w:color w:val="auto"/>
        </w:rPr>
        <w:t>No provision in any supplemental indenture which affects the superior position of the holders of Senior Debt shall be effective against holders of Senior Debt.</w:t>
      </w:r>
    </w:p>
    <w:p>
      <w:pPr>
        <w:spacing w:after="0" w:line="18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TEN</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COVENANTS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1001. Payment of Principal, Premium and Interest.</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1002. Maintenance of Office or Agency.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1003. Money for Securities Payments to Be Held in Trust.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70" w:right="1440" w:bottom="1440" w:gutter="0" w:footer="0" w:header="0"/>
        </w:sectPr>
      </w:pPr>
    </w:p>
    <w:bookmarkStart w:id="231" w:name="page232"/>
    <w:bookmarkEnd w:id="231"/>
    <w:p>
      <w:pPr>
        <w:ind w:right="2539" w:firstLine="480"/>
        <w:spacing w:after="0" w:line="244" w:lineRule="auto"/>
        <w:rPr>
          <w:sz w:val="20"/>
          <w:szCs w:val="20"/>
          <w:color w:val="auto"/>
        </w:rPr>
      </w:pPr>
      <w:r>
        <w:rPr>
          <w:rFonts w:ascii="Courier New" w:cs="Courier New" w:eastAsia="Courier New" w:hAnsi="Courier New"/>
          <w:sz w:val="16"/>
          <w:szCs w:val="16"/>
          <w:color w:val="auto"/>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89"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Any money deposited with the Trustee or any Paying Agent, or then held by the Company, in trust for the payment of the principal of or any premium or interest on any Security of any series and remaining unclaimed for a period ending on the earlier of the date that is ten Business Days prior to the date such money would escheat to the State 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1004. Statement by Officers as to Default.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72" w:right="1440" w:bottom="1440" w:gutter="0" w:footer="0" w:header="0"/>
        </w:sectPr>
      </w:pPr>
    </w:p>
    <w:bookmarkStart w:id="232" w:name="page233"/>
    <w:bookmarkEnd w:id="232"/>
    <w:p>
      <w:pPr>
        <w:spacing w:after="0"/>
        <w:rPr>
          <w:sz w:val="20"/>
          <w:szCs w:val="20"/>
          <w:color w:val="auto"/>
        </w:rPr>
      </w:pPr>
      <w:r>
        <w:rPr>
          <w:rFonts w:ascii="Courier New" w:cs="Courier New" w:eastAsia="Courier New" w:hAnsi="Courier New"/>
          <w:sz w:val="16"/>
          <w:szCs w:val="16"/>
          <w:color w:val="auto"/>
        </w:rPr>
        <w:t>SECTION 1005. Existence.</w:t>
      </w:r>
    </w:p>
    <w:p>
      <w:pPr>
        <w:spacing w:after="0" w:line="190" w:lineRule="exact"/>
        <w:rPr>
          <w:sz w:val="20"/>
          <w:szCs w:val="20"/>
          <w:color w:val="auto"/>
        </w:rPr>
      </w:pPr>
    </w:p>
    <w:p>
      <w:pPr>
        <w:ind w:right="2819" w:firstLine="480"/>
        <w:spacing w:after="0" w:line="242" w:lineRule="auto"/>
        <w:rPr>
          <w:sz w:val="20"/>
          <w:szCs w:val="20"/>
          <w:color w:val="auto"/>
        </w:rPr>
      </w:pPr>
      <w:r>
        <w:rPr>
          <w:rFonts w:ascii="Courier New" w:cs="Courier New" w:eastAsia="Courier New" w:hAnsi="Courier New"/>
          <w:sz w:val="16"/>
          <w:szCs w:val="16"/>
          <w:color w:val="auto"/>
        </w:rPr>
        <w:t>Subject to Article Eight, the Company will do or cause to be done all things necessary to preserve and keep in full force and effect its existence.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1006. Maintenance of Properties.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will cause all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1007. Payment of Taxes and Other Claims.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will pay or discharge or cause to be paid or discharged, before the same shall become delinquent, (1) all taxes, assessments and governmental charges levied or imposed upon the Company or upon the income, profits or property of the Company, and (2) all lawful claims for labor, materials and supplies which, if unpaid, might by law become a lien upon the property of the Company; provided, however, that the Company shall not be required to pay or 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1008. Waiver of Certain Covenants.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Except as otherwise specified as contemplated by Section 301 for Securities of such series, the Company may, with respect to the Securities of any series, omit in any particular instance to comply with any term, provision or condition set forth in any covenant provided pursuant to Section 301(19), 901(2), 901(7), 1006 or 1007 for the benefit of the Holders of such series if before the time for such compliance the Holders of at least 50%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200" w:lineRule="exact"/>
        <w:rPr>
          <w:sz w:val="20"/>
          <w:szCs w:val="20"/>
          <w:color w:val="auto"/>
        </w:rPr>
      </w:pPr>
    </w:p>
    <w:p>
      <w:pPr>
        <w:spacing w:after="0" w:line="35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69" w:right="1440" w:bottom="1440" w:gutter="0" w:footer="0" w:header="0"/>
        </w:sectPr>
      </w:pPr>
    </w:p>
    <w:bookmarkStart w:id="233" w:name="page234"/>
    <w:bookmarkEnd w:id="233"/>
    <w:p>
      <w:pPr>
        <w:jc w:val="center"/>
        <w:ind w:right="2539"/>
        <w:spacing w:after="0"/>
        <w:rPr>
          <w:sz w:val="20"/>
          <w:szCs w:val="20"/>
          <w:color w:val="auto"/>
        </w:rPr>
      </w:pPr>
      <w:r>
        <w:rPr>
          <w:rFonts w:ascii="Courier New" w:cs="Courier New" w:eastAsia="Courier New" w:hAnsi="Courier New"/>
          <w:sz w:val="16"/>
          <w:szCs w:val="16"/>
          <w:color w:val="auto"/>
        </w:rPr>
        <w:t>ARTICLE ELEVEN</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REDEMPTION OF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1101. Applicability of Article.</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Securities of any series which are redeemable before their Stated Maturity shall be redeemable in accordance with their terms and (except as otherwise specified as contemplated by Section 301 for such Securities) in accordance with this Article.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1102. Election to Redeem; Notice to Trustee.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at least 60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1103. Selection by Trustee of Securities to Be Redeemed.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60 days prior to the Redemption Date by the Trustee, from the Outstanding Securities of such series not previously called for redemption, by such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60 days prior to the Redemption Date by the Trustee, from the Outstanding Securities of such series and specified tenor not previously called for redemption in accordance with the preceding sentence.</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shall be treated by the Trustee as Outstanding for the purpose of such selection.</w:t>
      </w:r>
    </w:p>
    <w:p>
      <w:pPr>
        <w:spacing w:after="0" w:line="200" w:lineRule="exact"/>
        <w:rPr>
          <w:sz w:val="20"/>
          <w:szCs w:val="20"/>
          <w:color w:val="auto"/>
        </w:rPr>
      </w:pPr>
    </w:p>
    <w:p>
      <w:pPr>
        <w:spacing w:after="0" w:line="35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70" w:right="1440" w:bottom="1440" w:gutter="0" w:footer="0" w:header="0"/>
        </w:sectPr>
      </w:pPr>
    </w:p>
    <w:bookmarkStart w:id="234" w:name="page235"/>
    <w:bookmarkEnd w:id="234"/>
    <w:p>
      <w:pPr>
        <w:jc w:val="both"/>
        <w:ind w:right="2539" w:firstLine="480"/>
        <w:spacing w:after="0" w:line="267" w:lineRule="auto"/>
        <w:rPr>
          <w:sz w:val="20"/>
          <w:szCs w:val="20"/>
          <w:color w:val="auto"/>
        </w:rPr>
      </w:pPr>
      <w:r>
        <w:rPr>
          <w:rFonts w:ascii="Courier New" w:cs="Courier New" w:eastAsia="Courier New" w:hAnsi="Courier New"/>
          <w:sz w:val="15"/>
          <w:szCs w:val="15"/>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88" w:lineRule="exact"/>
        <w:rPr>
          <w:sz w:val="20"/>
          <w:szCs w:val="20"/>
          <w:color w:val="auto"/>
        </w:rPr>
      </w:pPr>
    </w:p>
    <w:p>
      <w:pPr>
        <w:ind w:right="2639" w:firstLine="480"/>
        <w:spacing w:after="0" w:line="265" w:lineRule="auto"/>
        <w:rPr>
          <w:sz w:val="20"/>
          <w:szCs w:val="20"/>
          <w:color w:val="auto"/>
        </w:rPr>
      </w:pPr>
      <w:r>
        <w:rPr>
          <w:rFonts w:ascii="Courier New" w:cs="Courier New" w:eastAsia="Courier New" w:hAnsi="Courier New"/>
          <w:sz w:val="15"/>
          <w:szCs w:val="15"/>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1104. Notice of Redemption.</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Notice of redemption shall be given by first-class mail, postage prepaid, mailed not less than 30 nor more than 60 days prior to the Redemption Date, to each Holder of Securities to be redeemed, at its address appearing in the Security Register.</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All notices of redemption shall state:</w:t>
      </w:r>
    </w:p>
    <w:p>
      <w:pPr>
        <w:spacing w:after="0" w:line="188" w:lineRule="exact"/>
        <w:rPr>
          <w:sz w:val="20"/>
          <w:szCs w:val="20"/>
          <w:color w:val="auto"/>
        </w:rPr>
      </w:pPr>
    </w:p>
    <w:p>
      <w:pPr>
        <w:ind w:left="860" w:hanging="381"/>
        <w:spacing w:after="0"/>
        <w:tabs>
          <w:tab w:leader="none" w:pos="86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Date,</w:t>
      </w:r>
    </w:p>
    <w:p>
      <w:pPr>
        <w:spacing w:after="0" w:line="188" w:lineRule="exact"/>
        <w:rPr>
          <w:rFonts w:ascii="Courier New" w:cs="Courier New" w:eastAsia="Courier New" w:hAnsi="Courier New"/>
          <w:sz w:val="16"/>
          <w:szCs w:val="16"/>
          <w:color w:val="auto"/>
        </w:rPr>
      </w:pPr>
    </w:p>
    <w:p>
      <w:pPr>
        <w:ind w:left="860" w:hanging="381"/>
        <w:spacing w:after="0"/>
        <w:tabs>
          <w:tab w:leader="none" w:pos="860"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Price (including accrued interest, if any),</w:t>
      </w:r>
    </w:p>
    <w:p>
      <w:pPr>
        <w:spacing w:after="0" w:line="190"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87"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 the Redemption Date the Redemption Price will become due and payable upon each such Security to be redeemed and, if applicable, that interest thereon will cease to accrue on and after said date,</w:t>
      </w:r>
    </w:p>
    <w:p>
      <w:pPr>
        <w:spacing w:after="0" w:line="188" w:lineRule="exact"/>
        <w:rPr>
          <w:rFonts w:ascii="Courier New" w:cs="Courier New" w:eastAsia="Courier New" w:hAnsi="Courier New"/>
          <w:sz w:val="16"/>
          <w:szCs w:val="16"/>
          <w:color w:val="auto"/>
        </w:rPr>
      </w:pPr>
    </w:p>
    <w:p>
      <w:pPr>
        <w:ind w:right="2719" w:firstLine="479"/>
        <w:spacing w:after="0" w:line="242" w:lineRule="auto"/>
        <w:tabs>
          <w:tab w:leader="none" w:pos="865"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each such Security is to be surrendered for payment of the Redemption Price,</w:t>
      </w:r>
    </w:p>
    <w:p>
      <w:pPr>
        <w:spacing w:after="0" w:line="188" w:lineRule="exact"/>
        <w:rPr>
          <w:rFonts w:ascii="Courier New" w:cs="Courier New" w:eastAsia="Courier New" w:hAnsi="Courier New"/>
          <w:sz w:val="16"/>
          <w:szCs w:val="16"/>
          <w:color w:val="auto"/>
        </w:rPr>
      </w:pPr>
    </w:p>
    <w:p>
      <w:pPr>
        <w:ind w:right="2719" w:firstLine="479"/>
        <w:spacing w:after="0" w:line="243" w:lineRule="auto"/>
        <w:tabs>
          <w:tab w:leader="none" w:pos="865"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applicable, the conversion price, that the date on which the right to convert the principal of the Securities or the portions thereof to be redeemed will terminate will be the Redemption Date and the place or places where such Securities may be surrendered for conversion, and</w:t>
      </w:r>
    </w:p>
    <w:p>
      <w:pPr>
        <w:spacing w:after="0" w:line="200" w:lineRule="exact"/>
        <w:rPr>
          <w:sz w:val="20"/>
          <w:szCs w:val="20"/>
          <w:color w:val="auto"/>
        </w:rPr>
      </w:pPr>
    </w:p>
    <w:p>
      <w:pPr>
        <w:spacing w:after="0" w:line="35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71" w:right="1440" w:bottom="1440" w:gutter="0" w:footer="0" w:header="0"/>
        </w:sectPr>
      </w:pPr>
    </w:p>
    <w:bookmarkStart w:id="235" w:name="page236"/>
    <w:bookmarkEnd w:id="235"/>
    <w:p>
      <w:pPr>
        <w:ind w:left="481"/>
        <w:spacing w:after="0"/>
        <w:rPr>
          <w:sz w:val="20"/>
          <w:szCs w:val="20"/>
          <w:color w:val="auto"/>
        </w:rPr>
      </w:pPr>
      <w:r>
        <w:rPr>
          <w:rFonts w:ascii="Courier New" w:cs="Courier New" w:eastAsia="Courier New" w:hAnsi="Courier New"/>
          <w:sz w:val="16"/>
          <w:szCs w:val="16"/>
          <w:color w:val="auto"/>
        </w:rPr>
        <w:t>(7) that the redemption is for a sinking fund, if such is the case.</w:t>
      </w:r>
    </w:p>
    <w:p>
      <w:pPr>
        <w:spacing w:after="0" w:line="190" w:lineRule="exact"/>
        <w:rPr>
          <w:sz w:val="20"/>
          <w:szCs w:val="20"/>
          <w:color w:val="auto"/>
        </w:rPr>
      </w:pPr>
    </w:p>
    <w:p>
      <w:pPr>
        <w:ind w:left="1" w:right="2639" w:firstLine="480"/>
        <w:spacing w:after="0" w:line="267" w:lineRule="auto"/>
        <w:rPr>
          <w:sz w:val="20"/>
          <w:szCs w:val="20"/>
          <w:color w:val="auto"/>
        </w:rPr>
      </w:pPr>
      <w:r>
        <w:rPr>
          <w:rFonts w:ascii="Courier New" w:cs="Courier New" w:eastAsia="Courier New" w:hAnsi="Courier New"/>
          <w:sz w:val="15"/>
          <w:szCs w:val="15"/>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7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1105. Deposit of Redemption Price.</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On or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188"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If any Security called for redemption is converted, any money deposited with the Trustee or with a Paying Agent or so segregated and held in trust for the redemption of such Security shall (subject to the right of any Holder of such Security to receive interest as provided in the last paragraph of Section</w:t>
      </w:r>
    </w:p>
    <w:p>
      <w:pPr>
        <w:spacing w:after="0" w:line="5" w:lineRule="exact"/>
        <w:rPr>
          <w:sz w:val="20"/>
          <w:szCs w:val="20"/>
          <w:color w:val="auto"/>
        </w:rPr>
      </w:pPr>
    </w:p>
    <w:p>
      <w:pPr>
        <w:ind w:left="1" w:right="2639" w:hanging="1"/>
        <w:spacing w:after="0" w:line="242" w:lineRule="auto"/>
        <w:tabs>
          <w:tab w:leader="none" w:pos="482"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paid to the Company on Company Request, or if then held by the Company, shall be discharged from such trust.</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1106. Securities Payable on Redemption Date.</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191"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1107. Securities Redeemed in Part.</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Security without service charge, a new Security or</w:t>
      </w:r>
    </w:p>
    <w:p>
      <w:pPr>
        <w:spacing w:after="0" w:line="371"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21"/>
          </w:cols>
          <w:pgMar w:left="239" w:top="670" w:right="1440" w:bottom="1440" w:gutter="0" w:footer="0" w:header="0"/>
        </w:sectPr>
      </w:pPr>
    </w:p>
    <w:bookmarkStart w:id="236" w:name="page237"/>
    <w:bookmarkEnd w:id="236"/>
    <w:p>
      <w:pPr>
        <w:ind w:right="2639"/>
        <w:spacing w:after="0" w:line="243" w:lineRule="auto"/>
        <w:rPr>
          <w:sz w:val="20"/>
          <w:szCs w:val="20"/>
          <w:color w:val="auto"/>
        </w:rPr>
      </w:pPr>
      <w:r>
        <w:rPr>
          <w:rFonts w:ascii="Courier New" w:cs="Courier New" w:eastAsia="Courier New" w:hAnsi="Courier New"/>
          <w:sz w:val="16"/>
          <w:szCs w:val="16"/>
          <w:color w:val="auto"/>
        </w:rPr>
        <w:t>Securities of the same series and of like tenor, of any authorized denomination as requested by such Holder, in aggregate principal amount equal to and in exchange for the unredeemed portion of the principal of the Security so surrendered.</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ARTICLE TWELVE</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SINKING FUNDS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1201. Applicability of Article.</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The provisions of this Article shall be applicable to any sinking fund for the retirement of Securities of any series except as otherwise specified as contemplated by Section 301 for such Securities.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1202. Each sinking fund payment shall be applied to the redemption of Securities as provided for by the terms of such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1202. Satisfaction of Sinking Fund Payments with Securities.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1203. Redemption of Securities for Sinking Fund.</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Not less than 60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1202 and will also deliver to the Trustee any Securities to be so delivered. Not less than 30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w:t>
      </w:r>
    </w:p>
    <w:p>
      <w:pPr>
        <w:spacing w:after="0" w:line="37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71" w:right="1440" w:bottom="1440" w:gutter="0" w:footer="0" w:header="0"/>
        </w:sectPr>
      </w:pPr>
    </w:p>
    <w:bookmarkStart w:id="237" w:name="page238"/>
    <w:bookmarkEnd w:id="237"/>
    <w:p>
      <w:pPr>
        <w:ind w:right="2919"/>
        <w:spacing w:after="0" w:line="242" w:lineRule="auto"/>
        <w:rPr>
          <w:sz w:val="20"/>
          <w:szCs w:val="20"/>
          <w:color w:val="auto"/>
        </w:rPr>
      </w:pPr>
      <w:r>
        <w:rPr>
          <w:rFonts w:ascii="Courier New" w:cs="Courier New" w:eastAsia="Courier New" w:hAnsi="Courier New"/>
          <w:sz w:val="16"/>
          <w:szCs w:val="16"/>
          <w:color w:val="auto"/>
        </w:rPr>
        <w:t>redemption of such Securities shall be made upon the terms and in the manner stated in Sections 1106 and 1107.</w:t>
      </w:r>
    </w:p>
    <w:p>
      <w:pPr>
        <w:spacing w:after="0" w:line="18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THIRTEEN</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DEFEASANCE AND COVENANT DEFEASANCE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1301. Company's Option to Effect Defeasance or Covenant Defeasance.</w:t>
      </w:r>
    </w:p>
    <w:p>
      <w:pPr>
        <w:spacing w:after="0" w:line="190" w:lineRule="exact"/>
        <w:rPr>
          <w:sz w:val="20"/>
          <w:szCs w:val="20"/>
          <w:color w:val="auto"/>
        </w:rPr>
      </w:pPr>
    </w:p>
    <w:p>
      <w:pPr>
        <w:ind w:right="2639" w:firstLine="480"/>
        <w:spacing w:after="0" w:line="263" w:lineRule="auto"/>
        <w:rPr>
          <w:sz w:val="20"/>
          <w:szCs w:val="20"/>
          <w:color w:val="auto"/>
        </w:rPr>
      </w:pPr>
      <w:r>
        <w:rPr>
          <w:rFonts w:ascii="Courier New" w:cs="Courier New" w:eastAsia="Courier New" w:hAnsi="Courier New"/>
          <w:sz w:val="15"/>
          <w:szCs w:val="15"/>
          <w:color w:val="auto"/>
        </w:rPr>
        <w:t>The Company may elect, at its option at any time, to have Section 1302 or Section 1303 applied to any Securities or any series of Securities, as the case may be, designated pursuant to Section 301 as being defeasible pursuant to such Section 1302 or 1303, in accordance with any applicable requirements provided pursuant to Section 301 and upon compliance with the conditions set forth below in this Article. Any such election shall be evidenced by a Board Resolution or in another manner specified as contemplated by Section 301 for such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1302. Defeasance and Discharge.</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Upon the Company's exercise of its option (if any) to have this Section applied to any Securities or any series of Securities, as the case may be, the Company shall be deemed to have been discharged from its obligations, and the provisions of Article Fifteen shall cease to be effective, with respect to such Securities as provided in this Section on and after the date the conditions set forth in Section 1304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1304 and as more fully set forth in such Section, payments in respect of the principal of and any premium and interest on such Securities when payments are due, (2) the Company's obligations with respect to such Securities under Sections 304, 305, 306, 1002 and 1003, and, if applicable, Article Fourteen,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1303 applied to such Securities.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1303. Covenant Defeasance.</w:t>
      </w:r>
    </w:p>
    <w:p>
      <w:pPr>
        <w:spacing w:after="0" w:line="190" w:lineRule="exact"/>
        <w:rPr>
          <w:sz w:val="20"/>
          <w:szCs w:val="20"/>
          <w:color w:val="auto"/>
        </w:rPr>
      </w:pPr>
    </w:p>
    <w:p>
      <w:pPr>
        <w:ind w:right="2639" w:firstLine="480"/>
        <w:spacing w:after="0" w:line="262" w:lineRule="auto"/>
        <w:rPr>
          <w:sz w:val="20"/>
          <w:szCs w:val="20"/>
          <w:color w:val="auto"/>
        </w:rPr>
      </w:pPr>
      <w:r>
        <w:rPr>
          <w:rFonts w:ascii="Courier New" w:cs="Courier New" w:eastAsia="Courier New" w:hAnsi="Courier New"/>
          <w:sz w:val="15"/>
          <w:szCs w:val="15"/>
          <w:color w:val="auto"/>
        </w:rPr>
        <w:t>Upon the Company's exercise of its option (if any) to have this Section applied to any Securities or any series of Securities, as the case may be, (1) the Company shall be released from its obligations under Sections 1006 through 1007, inclusive, and any covenants provided pursuant to Section 301(19), 901(2) or 901(7) for the benefit of the Holders of such Securities and (2) the occurrence of any event specified in Sections 501(4) (with respect to any of Sections 1006 through 1007, inclusive, and any such covenants provided pursuant to Section 301(19), 901(2) or 901(7)), shall be deemed not to be or result</w:t>
      </w:r>
    </w:p>
    <w:p>
      <w:pPr>
        <w:spacing w:after="0" w:line="36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72" w:right="1440" w:bottom="1440" w:gutter="0" w:footer="0" w:header="0"/>
        </w:sectPr>
      </w:pPr>
    </w:p>
    <w:bookmarkStart w:id="238" w:name="page239"/>
    <w:bookmarkEnd w:id="238"/>
    <w:p>
      <w:pPr>
        <w:ind w:left="1" w:right="2539"/>
        <w:spacing w:after="0" w:line="244" w:lineRule="auto"/>
        <w:rPr>
          <w:sz w:val="20"/>
          <w:szCs w:val="20"/>
          <w:color w:val="auto"/>
        </w:rPr>
      </w:pPr>
      <w:r>
        <w:rPr>
          <w:rFonts w:ascii="Courier New" w:cs="Courier New" w:eastAsia="Courier New" w:hAnsi="Courier New"/>
          <w:sz w:val="16"/>
          <w:szCs w:val="16"/>
          <w:color w:val="auto"/>
        </w:rPr>
        <w:t>in an Event of Default, and (3) the provisions of Article Fifteen shall cease to be effective, in each case with respect to such Securities as provided in this Section on and after the date the conditions set forth in Section 1304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501(4)) or Article Fifteen,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1304. Conditions to Defeasance or Covenant Defeasance.</w:t>
      </w:r>
    </w:p>
    <w:p>
      <w:pPr>
        <w:spacing w:after="0" w:line="190" w:lineRule="exact"/>
        <w:rPr>
          <w:sz w:val="20"/>
          <w:szCs w:val="20"/>
          <w:color w:val="auto"/>
        </w:rPr>
      </w:pPr>
    </w:p>
    <w:p>
      <w:pPr>
        <w:ind w:left="481"/>
        <w:spacing w:after="0"/>
        <w:rPr>
          <w:sz w:val="20"/>
          <w:szCs w:val="20"/>
          <w:color w:val="auto"/>
        </w:rPr>
      </w:pPr>
      <w:r>
        <w:rPr>
          <w:rFonts w:ascii="Courier New" w:cs="Courier New" w:eastAsia="Courier New" w:hAnsi="Courier New"/>
          <w:sz w:val="15"/>
          <w:szCs w:val="15"/>
          <w:color w:val="auto"/>
        </w:rPr>
        <w:t>The following shall be the conditions to the application of Section 1302 or</w:t>
      </w:r>
    </w:p>
    <w:p>
      <w:pPr>
        <w:spacing w:after="0" w:line="1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1303 to any Securities or any series of Securities, as the case may be:</w:t>
      </w:r>
    </w:p>
    <w:p>
      <w:pPr>
        <w:spacing w:after="0" w:line="190" w:lineRule="exact"/>
        <w:rPr>
          <w:sz w:val="20"/>
          <w:szCs w:val="20"/>
          <w:color w:val="auto"/>
        </w:rPr>
      </w:pPr>
    </w:p>
    <w:p>
      <w:pPr>
        <w:ind w:left="1" w:right="2639" w:firstLine="479"/>
        <w:spacing w:after="0" w:line="260" w:lineRule="auto"/>
        <w:tabs>
          <w:tab w:leader="none" w:pos="866"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w:t>
      </w:r>
    </w:p>
    <w:p>
      <w:pPr>
        <w:spacing w:after="0" w:line="4" w:lineRule="exact"/>
        <w:rPr>
          <w:rFonts w:ascii="Courier New" w:cs="Courier New" w:eastAsia="Courier New" w:hAnsi="Courier New"/>
          <w:sz w:val="15"/>
          <w:szCs w:val="15"/>
          <w:color w:val="auto"/>
        </w:rPr>
      </w:pPr>
    </w:p>
    <w:p>
      <w:pPr>
        <w:jc w:val="both"/>
        <w:ind w:left="1" w:right="2539" w:hanging="1"/>
        <w:spacing w:after="0" w:line="260" w:lineRule="auto"/>
        <w:tabs>
          <w:tab w:leader="none" w:pos="386"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 Government Obligations which through the scheduled payment of principal and interest in respect thereof in accordance with their terms will provide, not later than one day before the due date of any payment, money in an amount, or</w:t>
      </w:r>
    </w:p>
    <w:p>
      <w:pPr>
        <w:ind w:left="381" w:hanging="381"/>
        <w:spacing w:after="0"/>
        <w:tabs>
          <w:tab w:leader="none" w:pos="381"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combination thereof, in each case sufficient, in the opinion of a</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96" w:lineRule="exact"/>
        <w:rPr>
          <w:rFonts w:ascii="Courier New" w:cs="Courier New" w:eastAsia="Courier New" w:hAnsi="Courier New"/>
          <w:sz w:val="16"/>
          <w:szCs w:val="16"/>
          <w:color w:val="auto"/>
        </w:rPr>
      </w:pPr>
    </w:p>
    <w:p>
      <w:pPr>
        <w:ind w:left="1" w:right="2539" w:firstLine="479"/>
        <w:spacing w:after="0" w:line="243" w:lineRule="auto"/>
        <w:tabs>
          <w:tab w:leader="none" w:pos="866" w:val="left"/>
        </w:tabs>
        <w:numPr>
          <w:ilvl w:val="1"/>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 election to have Section 1302 apply to any Securities or any series of Securities, as the case may be, the Company shall have delivered to the Trustee an Opinion of Counsel stating that (A) the Company has received from, or there has been published by, the Internal Revenue</w:t>
      </w:r>
    </w:p>
    <w:p>
      <w:pPr>
        <w:spacing w:after="0" w:line="37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21"/>
          </w:cols>
          <w:pgMar w:left="239" w:top="672" w:right="1440" w:bottom="1440" w:gutter="0" w:footer="0" w:header="0"/>
        </w:sectPr>
      </w:pPr>
    </w:p>
    <w:bookmarkStart w:id="239" w:name="page240"/>
    <w:bookmarkEnd w:id="239"/>
    <w:p>
      <w:pPr>
        <w:ind w:right="2539"/>
        <w:spacing w:after="0" w:line="244" w:lineRule="auto"/>
        <w:rPr>
          <w:sz w:val="20"/>
          <w:szCs w:val="20"/>
          <w:color w:val="auto"/>
        </w:rPr>
      </w:pPr>
      <w:r>
        <w:rPr>
          <w:rFonts w:ascii="Courier New" w:cs="Courier New" w:eastAsia="Courier New" w:hAnsi="Courier New"/>
          <w:sz w:val="16"/>
          <w:szCs w:val="16"/>
          <w:color w:val="auto"/>
        </w:rPr>
        <w:t>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89" w:lineRule="exact"/>
        <w:rPr>
          <w:sz w:val="20"/>
          <w:szCs w:val="20"/>
          <w:color w:val="auto"/>
        </w:rPr>
      </w:pPr>
    </w:p>
    <w:p>
      <w:pPr>
        <w:ind w:right="2539" w:firstLine="479"/>
        <w:spacing w:after="0" w:line="244" w:lineRule="auto"/>
        <w:tabs>
          <w:tab w:leader="none" w:pos="865"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 election to have Section 1303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88" w:lineRule="exact"/>
        <w:rPr>
          <w:rFonts w:ascii="Courier New" w:cs="Courier New" w:eastAsia="Courier New" w:hAnsi="Courier New"/>
          <w:sz w:val="16"/>
          <w:szCs w:val="16"/>
          <w:color w:val="auto"/>
        </w:rPr>
      </w:pPr>
    </w:p>
    <w:p>
      <w:pPr>
        <w:ind w:right="2639" w:firstLine="479"/>
        <w:spacing w:after="0" w:line="243" w:lineRule="auto"/>
        <w:tabs>
          <w:tab w:leader="none" w:pos="865"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89" w:lineRule="exact"/>
        <w:rPr>
          <w:rFonts w:ascii="Courier New" w:cs="Courier New" w:eastAsia="Courier New" w:hAnsi="Courier New"/>
          <w:sz w:val="16"/>
          <w:szCs w:val="16"/>
          <w:color w:val="auto"/>
        </w:rPr>
      </w:pPr>
    </w:p>
    <w:p>
      <w:pPr>
        <w:ind w:right="2539" w:firstLine="479"/>
        <w:spacing w:after="0" w:line="263" w:lineRule="auto"/>
        <w:tabs>
          <w:tab w:leader="none" w:pos="865"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501(5) and (6), at any time on or prior to the 90th day after the date of such deposit (it being understood that this condition shall not be deemed satisfied until after such 90th day).</w:t>
      </w:r>
    </w:p>
    <w:p>
      <w:pPr>
        <w:spacing w:after="0" w:line="176" w:lineRule="exact"/>
        <w:rPr>
          <w:rFonts w:ascii="Courier New" w:cs="Courier New" w:eastAsia="Courier New" w:hAnsi="Courier New"/>
          <w:sz w:val="15"/>
          <w:szCs w:val="15"/>
          <w:color w:val="auto"/>
        </w:rPr>
      </w:pPr>
    </w:p>
    <w:p>
      <w:pPr>
        <w:ind w:right="2719" w:firstLine="479"/>
        <w:spacing w:after="0" w:line="243" w:lineRule="auto"/>
        <w:tabs>
          <w:tab w:leader="none" w:pos="865"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cause the Trustee to have a conflicting interest within the meaning of the Trust Indenture Act (assuming all Securities are in default within the meaning of such Act).</w:t>
      </w:r>
    </w:p>
    <w:p>
      <w:pPr>
        <w:spacing w:after="0" w:line="188" w:lineRule="exact"/>
        <w:rPr>
          <w:rFonts w:ascii="Courier New" w:cs="Courier New" w:eastAsia="Courier New" w:hAnsi="Courier New"/>
          <w:sz w:val="16"/>
          <w:szCs w:val="16"/>
          <w:color w:val="auto"/>
        </w:rPr>
      </w:pPr>
    </w:p>
    <w:p>
      <w:pPr>
        <w:ind w:right="2639" w:firstLine="479"/>
        <w:spacing w:after="0" w:line="243" w:lineRule="auto"/>
        <w:tabs>
          <w:tab w:leader="none" w:pos="865"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a breach or violation of, or constitute a default under, any other agreement or instrument to which the Company is a party or by which it is bound.</w:t>
      </w:r>
    </w:p>
    <w:p>
      <w:pPr>
        <w:spacing w:after="0" w:line="188" w:lineRule="exact"/>
        <w:rPr>
          <w:rFonts w:ascii="Courier New" w:cs="Courier New" w:eastAsia="Courier New" w:hAnsi="Courier New"/>
          <w:sz w:val="16"/>
          <w:szCs w:val="16"/>
          <w:color w:val="auto"/>
        </w:rPr>
      </w:pPr>
    </w:p>
    <w:p>
      <w:pPr>
        <w:ind w:right="2639" w:firstLine="479"/>
        <w:spacing w:after="0" w:line="243" w:lineRule="auto"/>
        <w:tabs>
          <w:tab w:leader="none" w:pos="865"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such deposit, (A) no default in the payment of any principal of or premium or interest on any Senior Debt shall have occurred and be continuing, (B) no event of default with respect to any Senior Debt shall have resulted in such Senior Debt becoming, and continuing to be, due and payable prior to the date on which it would otherwise have become due and payable (unless payment of such Senior Debt has been made or duly provided for), and (C) no other event of default with respect to any Senior Debt shall have occurred and be continuing permitting (after notice or lapse of time or both) the holders of such Senior Debt (or a trustee on behalf of such holders) to declare such Senior Debt due and payable prior to the date on which it would otherwise have become due and payable.</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71" w:right="1440" w:bottom="1440" w:gutter="0" w:footer="0" w:header="0"/>
        </w:sectPr>
      </w:pPr>
    </w:p>
    <w:bookmarkStart w:id="240" w:name="page241"/>
    <w:bookmarkEnd w:id="240"/>
    <w:p>
      <w:pPr>
        <w:ind w:right="3119" w:firstLine="479"/>
        <w:spacing w:after="0" w:line="243" w:lineRule="auto"/>
        <w:tabs>
          <w:tab w:leader="none" w:pos="961"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90" w:lineRule="exact"/>
        <w:rPr>
          <w:sz w:val="20"/>
          <w:szCs w:val="20"/>
          <w:color w:val="auto"/>
        </w:rPr>
      </w:pPr>
    </w:p>
    <w:p>
      <w:pPr>
        <w:ind w:left="1340" w:right="3019" w:hanging="1344"/>
        <w:spacing w:after="0" w:line="242" w:lineRule="auto"/>
        <w:rPr>
          <w:sz w:val="20"/>
          <w:szCs w:val="20"/>
          <w:color w:val="auto"/>
        </w:rPr>
      </w:pPr>
      <w:r>
        <w:rPr>
          <w:rFonts w:ascii="Courier New" w:cs="Courier New" w:eastAsia="Courier New" w:hAnsi="Courier New"/>
          <w:sz w:val="16"/>
          <w:szCs w:val="16"/>
          <w:color w:val="auto"/>
        </w:rPr>
        <w:t>SECTION 1305. Deposited Money and U.S. Government Obligations to be Held in Trust; Miscellaneous Provisions.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Subject to the provisions of the last paragraph of Section 1003, all money and U.S. Government Obligations (including the proceeds thereof) deposited with the Trustee or other qualifying trustee (solely for purposes of this Section and Section 1306, the Trustee and any such other trustee are referred to collectively as the "Trustee") pursuant to Section 1304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Money and U.S. Government Obligations so held in trust shall not be subject to the provisions of Article Fifteen.</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Securities.</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Anything in this Article to the contrary notwithstanding, the Trustee shall deliver or pay to the Company from time to time upon Company Request any money or U.S. Government Obligations held by it as provided in Section 1304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1306. Reinstatement.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1302 or 1303 shall be revived and reinstated as though no deposit had occurred pursuant to this Article with respect to such Securities, until such time as the Trustee or Paying Agent is permitted to apply all money held in trust pursuant to Section 1305 with respect to such Securities in accordance with this Article; provided, however,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200" w:lineRule="exact"/>
        <w:rPr>
          <w:sz w:val="20"/>
          <w:szCs w:val="20"/>
          <w:color w:val="auto"/>
        </w:rPr>
      </w:pPr>
    </w:p>
    <w:p>
      <w:pPr>
        <w:spacing w:after="0" w:line="35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71" w:right="1440" w:bottom="1440" w:gutter="0" w:footer="0" w:header="0"/>
        </w:sectPr>
      </w:pPr>
    </w:p>
    <w:bookmarkStart w:id="241" w:name="page242"/>
    <w:bookmarkEnd w:id="241"/>
    <w:p>
      <w:pPr>
        <w:jc w:val="center"/>
        <w:ind w:right="2539"/>
        <w:spacing w:after="0"/>
        <w:rPr>
          <w:sz w:val="20"/>
          <w:szCs w:val="20"/>
          <w:color w:val="auto"/>
        </w:rPr>
      </w:pPr>
      <w:r>
        <w:rPr>
          <w:rFonts w:ascii="Courier New" w:cs="Courier New" w:eastAsia="Courier New" w:hAnsi="Courier New"/>
          <w:sz w:val="16"/>
          <w:szCs w:val="16"/>
          <w:color w:val="auto"/>
        </w:rPr>
        <w:t>ARTICLE FOURTEEN</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CONVERSION OF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1401. Applicability of Article.</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The provisions of this Article shall be applicable to the Securities of any series which are convertible into shares of Common Stock of the Company, and the issuance of such shares of Common Stock upon the conversion of such Securities, except as otherwise specified as contemplated by Section 301 for the Securities of such series.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1402. Exercise of Conversion Privilege.</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In order to exercise a conversion privilege, the Holder of a Security of a series with such a privilege shall surrender such Security to the Company at the office or agency maintained for that purpose pursuant to Section 1002, accompanied by a duly executed conversion notice to the Company substantially in the form set forth in Section 206 stating that the Holder elects to convert such Security or a specified portion thereof. Such notice shall also state, if different from the name and address of such Holder, the name or names (with address) in which the certificate or certificates for shares of Common Stock which shall be issuable on such conversion shall be issued. Securities surrendered for conversion shall (if so required by the Company or the Trustee) be duly endorsed by or accompanied by instruments of transfer in forms satisfactory to the Company and the Trustee duly executed by the registered Holder or its attorney duly authorized in writing; and Securities so surrendered for conversion (in whole or in part) during the period from the close of business on any Regular Record Date to the opening of business on the next succeeding Interest Payment Date (excluding Securities or portions thereof called for redemption during the period beginning at the close of business on a Regular Record Date and ending at the opening of business on the first Business Day after the next succeeding Interest Payment Date, or if such Interest Payment Date is not a Business Day, the second such Business Day) shall also be accompanied by payment in funds acceptable to the Company of an amount equal to the interest payable on such Interest Payment Date on the principal amount of such Security then being converted, and such interest shall be payable to such registered Holder notwithstanding the conversion of such Security, subject to the provisions of Section 307 relating to the payment of Defaulted Interest by the Company. As promptly as practicable after the receipt of such notice and of any payment required pursuant to a Board Resolution and, subject to Section 303, set forth, or determined in the manner provided, in an Officers' Certificate, or established in one or more indentures supplemental hereto setting forth the terms of such series of Security, and the surrender of such Security in accordance with such reasonable regulations as the Company may prescribe, the Company shall issue and shall deliver, at the office or agency at which such Security is surrendered, to such Holder or on its written order, a certificate or certificates for the number of full shares of Common Stock issuable upon the conversion of such Security (or specified portion thereof), in accordance with the provisions of such Board Resolution, Officers' Certificate or supplemental indenture, and cash as provided therein in respect of any fractional share of such Common Stock otherwise issuable upon such conversion. Such conversion shall be deemed to have been effected immediately prior to the close of business on the date on which such notice and such payment, if required, shall have been received in proper order for conversion by the Company and such Security shall have been surrendered as aforesaid (unless such Holder shall have so surrendered such Security and shall have instructed the Company to effect the conversion on a particular date following such surrender and such Holder shall be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69" w:right="1440" w:bottom="1440" w:gutter="0" w:footer="0" w:header="0"/>
        </w:sectPr>
      </w:pPr>
    </w:p>
    <w:bookmarkStart w:id="242" w:name="page243"/>
    <w:bookmarkEnd w:id="242"/>
    <w:p>
      <w:pPr>
        <w:ind w:right="2539"/>
        <w:spacing w:after="0" w:line="244" w:lineRule="auto"/>
        <w:rPr>
          <w:sz w:val="20"/>
          <w:szCs w:val="20"/>
          <w:color w:val="auto"/>
        </w:rPr>
      </w:pPr>
      <w:r>
        <w:rPr>
          <w:rFonts w:ascii="Courier New" w:cs="Courier New" w:eastAsia="Courier New" w:hAnsi="Courier New"/>
          <w:sz w:val="16"/>
          <w:szCs w:val="16"/>
          <w:color w:val="auto"/>
        </w:rPr>
        <w:t>convert such Security on such date, in which case such conversion shall be deemed to be effected immediately prior to the close of business on such date) and at such time the rights of the Holder of such Security as such Security Holder shall cease and the person or persons in whose name or names any certificate or certificates for shares of Common Stock of the Company shall be issuable upon such conversion shall be deemed to have become the Holder or Holders of record of the shares represented thereby. Except as set forth above and subject to the final paragraph of Section 307, no payment or adjustment shall be made upon any conversion on account of any interest accrued on the Securities (or any part thereof) surrendered for conversion or on account of any dividends on the Common Stock of the Company issued upon such conversion.</w:t>
      </w:r>
    </w:p>
    <w:p>
      <w:pPr>
        <w:spacing w:after="0" w:line="190" w:lineRule="exact"/>
        <w:rPr>
          <w:sz w:val="20"/>
          <w:szCs w:val="20"/>
          <w:color w:val="auto"/>
        </w:rPr>
      </w:pPr>
    </w:p>
    <w:p>
      <w:pPr>
        <w:ind w:right="2539" w:firstLine="480"/>
        <w:spacing w:after="0" w:line="264" w:lineRule="auto"/>
        <w:rPr>
          <w:sz w:val="20"/>
          <w:szCs w:val="20"/>
          <w:color w:val="auto"/>
        </w:rPr>
      </w:pPr>
      <w:r>
        <w:rPr>
          <w:rFonts w:ascii="Courier New" w:cs="Courier New" w:eastAsia="Courier New" w:hAnsi="Courier New"/>
          <w:sz w:val="15"/>
          <w:szCs w:val="15"/>
          <w:color w:val="auto"/>
        </w:rPr>
        <w:t>In the case of any Security which is converted in part only, upon such conversion the Company shall execute and the Trustee shall authenticate and deliver to or on the order of the Holder thereof, at the expense of the Company, a new Security or Securities of the same series, of authorized denominations, in aggregate principal amount equal to the unconverted portion of such Security.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1403. No Fractional Shares.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 fractional share of Common Stock of the Company shall be issued upon conversions of Securities of any series. If more than one Security shall be surrendered for conversion at one time by the same Holder, the number of full shares which shall be issuable upon conversion shall be computed on the basis of the aggregate principal amount of the Securities (or specified portions thereof to the extent permitted hereby) so surrendered. If, except for the provisions of this Section 1403, any Holder of a Security or Securities would be entitled to a fractional share of Common Stock of the Company upon the conversion of such Security or Securities, or specified portions thereof, the Company shall pay to such Holder an amount in cash equal to the current market value of such fractional share computed, (i) if such Common Stock is listed or admitted to unlisted trading privileges on a national securities exchange or market, on the basis of the last reported sale price regular way on such exchange or market on the last trading day prior to the date of conversion upon which such a sale shall have been effected, or (ii) if such Common Stock is not at the time so listed or admitted to unlisted trading privileges on a national securities exchange or market, on the basis of the average of the bid and asked prices of such Common Stock in the over-the-counter market, on the last trading day prior to the date of conversion, as reported by the National Quotation Bureau, Incorporated or similar organization if the National Quotation Bureau, Incorporated is no longer reporting such information, or if not so available, the fair market price as determined by the Board of Directors. For purposes of this Section, "trading day" shall mean each Monday, Tuesday, Wednesday, Thursday and Friday other than any day on which the Common Stock is not traded on the Nasdaq National Market, or if the Common Stock is not traded on the Nasdaq National Market, on the principal exchange or market on which the Common Stock is traded or quoted.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1404. Adjustment of Conversion Price.</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 conversion price of Securities of any series that is convertible into Common Stock of the Company shall be adjusted for any stock dividends, stock splits, reclassifications, combinations or</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72" w:right="1440" w:bottom="1440" w:gutter="0" w:footer="0" w:header="0"/>
        </w:sectPr>
      </w:pPr>
    </w:p>
    <w:bookmarkStart w:id="243" w:name="page244"/>
    <w:bookmarkEnd w:id="243"/>
    <w:p>
      <w:pPr>
        <w:ind w:right="2639"/>
        <w:spacing w:after="0" w:line="274" w:lineRule="auto"/>
        <w:rPr>
          <w:sz w:val="20"/>
          <w:szCs w:val="20"/>
          <w:color w:val="auto"/>
        </w:rPr>
      </w:pPr>
      <w:r>
        <w:rPr>
          <w:rFonts w:ascii="Courier New" w:cs="Courier New" w:eastAsia="Courier New" w:hAnsi="Courier New"/>
          <w:sz w:val="15"/>
          <w:szCs w:val="15"/>
          <w:color w:val="auto"/>
        </w:rPr>
        <w:t>similar transactions in accordance with the terms of the supplemental indenture or Board Resolutions setting forth the terms of the Securities of such series.</w:t>
      </w:r>
    </w:p>
    <w:p>
      <w:pPr>
        <w:spacing w:after="0" w:line="16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Whenever the conversion price is adjusted, the Company shall compute the adjusted conversion price in accordance with terms of the applicable Board Resolution or supplemental indenture and shall prepare an Officers' Certificate setting forth the adjusted conversion price and showing in reasonable detail the facts upon which such adjustment is based, and such certificate shall forthwith be filed at each office or agency maintained for the purpose of conversion of Securities pursuant to Section 1002 and, if different, with the Trustee. The Company shall forthwith cause a notice setting forth the adjusted conversion price to be mailed, first class postage prepaid, to each Holder of Securities of such series at its address appearing on the Security Register and to any conversion agent other than the Trustee.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1405. Notice of Certain Corporate Actions.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case:</w:t>
      </w:r>
    </w:p>
    <w:p>
      <w:pPr>
        <w:spacing w:after="0" w:line="190" w:lineRule="exact"/>
        <w:rPr>
          <w:sz w:val="20"/>
          <w:szCs w:val="20"/>
          <w:color w:val="auto"/>
        </w:rPr>
      </w:pPr>
    </w:p>
    <w:p>
      <w:pPr>
        <w:ind w:right="2539" w:firstLine="479"/>
        <w:spacing w:after="0" w:line="243" w:lineRule="auto"/>
        <w:tabs>
          <w:tab w:leader="none" w:pos="865"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declare a dividend (or any other distribution) on its Common Stock payable otherwise than in cash out of its retained earnings (other than a dividend for which approval of any shareholders of the Company is required) that would require an adjustment pursuant to Section 1404; or</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authorize the granting to all or substantially all of the holders of its Common Stock of rights, options or warrants to subscribe for or purchase any shares of capital stock of any class or of any other rights (other than any such grant for which approval of any shareholders of the Company is required); or</w:t>
      </w:r>
    </w:p>
    <w:p>
      <w:pPr>
        <w:spacing w:after="0" w:line="187"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any reclassification of the Common Stock of the Company (other than a subdivision or combination of its outstanding shares of Common Stock, or of any consolidation, merger or share exchange to which the Company is a party and for which approval of any shareholders of the Company is required), or of the sale of all or substantially all of the assets of the Company; or</w:t>
      </w:r>
    </w:p>
    <w:p>
      <w:pPr>
        <w:spacing w:after="0" w:line="187" w:lineRule="exact"/>
        <w:rPr>
          <w:rFonts w:ascii="Courier New" w:cs="Courier New" w:eastAsia="Courier New" w:hAnsi="Courier New"/>
          <w:sz w:val="16"/>
          <w:szCs w:val="16"/>
          <w:color w:val="auto"/>
        </w:rPr>
      </w:pPr>
    </w:p>
    <w:p>
      <w:pPr>
        <w:ind w:right="2639" w:firstLine="479"/>
        <w:spacing w:after="0" w:line="242" w:lineRule="auto"/>
        <w:tabs>
          <w:tab w:leader="none" w:pos="865"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voluntary or involuntary dissolution, liquidation or winding up of the Company;</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then the Company shall cause to be filed with the Trustee, and shall cause to be mailed to all Holders at their last addresses as they shall appear in the Security Register, at least 20 days (or 10 days in any case specified in Clause (1) or (2) above) prior to the applicable record date hereinafter specified, a notice stating (i) 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(ii) the date on which such reclassification, consolidation, merger, share exchange, sale,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w:t>
      </w:r>
    </w:p>
    <w:p>
      <w:pPr>
        <w:spacing w:after="0" w:line="200" w:lineRule="exact"/>
        <w:rPr>
          <w:sz w:val="20"/>
          <w:szCs w:val="20"/>
          <w:color w:val="auto"/>
        </w:rPr>
      </w:pPr>
    </w:p>
    <w:p>
      <w:pPr>
        <w:spacing w:after="0" w:line="35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71" w:right="1440" w:bottom="1440" w:gutter="0" w:footer="0" w:header="0"/>
        </w:sectPr>
      </w:pPr>
    </w:p>
    <w:bookmarkStart w:id="244" w:name="page245"/>
    <w:bookmarkEnd w:id="244"/>
    <w:p>
      <w:pPr>
        <w:ind w:right="2539"/>
        <w:spacing w:after="0" w:line="243" w:lineRule="auto"/>
        <w:rPr>
          <w:sz w:val="20"/>
          <w:szCs w:val="20"/>
          <w:color w:val="auto"/>
        </w:rPr>
      </w:pPr>
      <w:r>
        <w:rPr>
          <w:rFonts w:ascii="Courier New" w:cs="Courier New" w:eastAsia="Courier New" w:hAnsi="Courier New"/>
          <w:sz w:val="16"/>
          <w:szCs w:val="16"/>
          <w:color w:val="auto"/>
        </w:rPr>
        <w:t>share exchange, sale, dissolution, liquidation or winding up. If at any time the Trustee shall not be the conversion agent, a copy of such notice shall also forthwith be filed by the Company with the Trustee.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1406. Reservation of Shares of Common Stock.</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shall at all times reserve and keep available, free from preemptive rights, out of its authorized but unissued Common Stock, for the purpose of effecting the conversion of Securities, the full number of shares of Common Stock of the Company then issuable upon the conversion of all outstanding Securities of any series that has conversion rights.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1407. Payment of Certain Taxes Upon Conversion.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Except as provided in the next sentence, the Company will pay any and all taxes that may be payable in respect of the issue or delivery of shares of its Common Stock on conversion of Securities pursuant hereto. The Company shall not, however, be required to pay any tax which may be payable in respect of any transfer involved in the issue and delivery of shares of its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1408. Nonassessability.</w:t>
      </w:r>
    </w:p>
    <w:p>
      <w:pPr>
        <w:spacing w:after="0" w:line="190" w:lineRule="exact"/>
        <w:rPr>
          <w:sz w:val="20"/>
          <w:szCs w:val="20"/>
          <w:color w:val="auto"/>
        </w:rPr>
      </w:pPr>
    </w:p>
    <w:p>
      <w:pPr>
        <w:jc w:val="both"/>
        <w:ind w:right="3019" w:firstLine="480"/>
        <w:spacing w:after="0" w:line="267" w:lineRule="auto"/>
        <w:rPr>
          <w:sz w:val="20"/>
          <w:szCs w:val="20"/>
          <w:color w:val="auto"/>
        </w:rPr>
      </w:pPr>
      <w:r>
        <w:rPr>
          <w:rFonts w:ascii="Courier New" w:cs="Courier New" w:eastAsia="Courier New" w:hAnsi="Courier New"/>
          <w:sz w:val="15"/>
          <w:szCs w:val="15"/>
          <w:color w:val="auto"/>
        </w:rPr>
        <w:t>The Company covenants that all shares of its Common Stock which may be issued upon conversion of Securities will upon issue in accordance with the terms hereof be duly and validly issued and fully paid and nonassessable.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1409. Provision in Case of Consolidation, Merger or Sale of Assets.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case of any consolidation or merger of the Company with or into any other Person, any merger of another Person with or into the Company (other than a merger which does not result in any reclassification, conversion, exchange or cancellation of outstanding shares of Common Stock of the Company) or any conveyance, sale, transfer or lease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of a series then Outstanding that is convertible into Common Stock of the Company shall have the right thereafter (which right shall be the exclusive conversion right thereafter available to said Holder), during the period such Security shall be convertible, to convert such Security only into the kind and amount of securities, cash and other property receivable upon such consolidation, merger, conveyance, sale, transfer or lease by a holder of the number of shares of Common Stock of the Company into which such Security might have been converted immediately prior to such consolidation, merger, conveyance, sale, transfer or lease, assuming such holder of Common Stock of the Company (i) is not a Person with which the Company consolidated or merged with or into or which merged into or with the Company or to which such conveyance, sale, transfer or lease was made, as the case may be (a "Constituent Person"), or an Affiliate of a Constituent Person and (ii) failed</w:t>
      </w:r>
    </w:p>
    <w:p>
      <w:pPr>
        <w:spacing w:after="0" w:line="37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671" w:right="1440" w:bottom="1440" w:gutter="0" w:footer="0" w:header="0"/>
        </w:sectPr>
      </w:pPr>
    </w:p>
    <w:bookmarkStart w:id="245" w:name="page246"/>
    <w:bookmarkEnd w:id="245"/>
    <w:p>
      <w:pPr>
        <w:ind w:right="2539"/>
        <w:spacing w:after="0" w:line="244" w:lineRule="auto"/>
        <w:rPr>
          <w:sz w:val="20"/>
          <w:szCs w:val="20"/>
          <w:color w:val="auto"/>
        </w:rPr>
      </w:pPr>
      <w:r>
        <w:rPr>
          <w:rFonts w:ascii="Courier New" w:cs="Courier New" w:eastAsia="Courier New" w:hAnsi="Courier New"/>
          <w:sz w:val="16"/>
          <w:szCs w:val="16"/>
          <w:color w:val="auto"/>
        </w:rPr>
        <w:t>to exercise his rights of election, if any, as to the kind or amount of securities, cash and other property receivable upon such consolidation, merger, conveyance, sale, transfer or lease (provided that if the kind or amount of securities, cash and other property receivable upon such consolidation, merger, conveyance, sale, transfer, or lease is not the same for each share of Common Stock of the Company held immediately prior to such consolidation, merger, conveyance, sale, transfer or lease by others than a Constituent Person or an Affiliate thereof and in respect of which such rights of election shall not have been exercised ("Non-electing Share"), then for the purpose of this Section 1409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or in accordance with the terms of the supplemental indenture or Board Resolutions setting forth the terms of such adjustments. The above provisions of this Section 1409 shall similarly apply to successive consolidations, mergers, conveyances, sales, transfers or leases. Notice of the execution of such a supplemental indenture shall be given by the Company to the Holder of each Security of a series that is convertible into Common Stock of the Company as provided in Section 106 promptly upon such execution.</w:t>
      </w:r>
    </w:p>
    <w:p>
      <w:pPr>
        <w:spacing w:after="0" w:line="19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Neither the Trustee nor any conversion agent, if any, shall be under any responsibility to determine the correctness of any provisions contained in any such supplemental indenture relating either to the kind or amount of shares of stock or other securities or property or cash receivable by Holders of Securities of a series convertible into Common Stock of the Company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1410. Duties of Trustee Regarding Conversion.</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Neither the Trustee nor any conversion agent shall at any time be under any duty or responsibility to any Holder of Securities of any series that is convertible into Common Stock of the Company to determine whether any facts exist which may require any adjustment of the conversion price, or with respect to the nature or extent of any such adjustment when made, or with respect to the method employed, whether herein or in any supplemental indenture, any resolutions of the Board of Directors or written instrument executed by one or more officers of the Company provided to be employed in making the same. Neither the Trustee nor any conversion agent shall be accountable with respect to the validity or value (or the kind or amount) of any shares of Common Stock of the Company, or of any securities or property, which may at any time be issued or delivered upon the conversion of any Securities and neither the Trustee nor any conversion agent makes any representation with respect thereto. Subject to the provisions of Section 601, neither the Trustee nor any conversion agent shall be responsible for any failure of the Company to issue, transfer or deliver any shares of its Common Stock or stock certificates or other securities or property upon the surrender of any Security for the purpose of</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672" w:right="1440" w:bottom="1440" w:gutter="0" w:footer="0" w:header="0"/>
        </w:sectPr>
      </w:pPr>
    </w:p>
    <w:bookmarkStart w:id="246" w:name="page247"/>
    <w:bookmarkEnd w:id="246"/>
    <w:p>
      <w:pPr>
        <w:ind w:right="2719"/>
        <w:spacing w:after="0" w:line="243" w:lineRule="auto"/>
        <w:rPr>
          <w:sz w:val="20"/>
          <w:szCs w:val="20"/>
          <w:color w:val="auto"/>
        </w:rPr>
      </w:pPr>
      <w:r>
        <w:rPr>
          <w:rFonts w:ascii="Courier New" w:cs="Courier New" w:eastAsia="Courier New" w:hAnsi="Courier New"/>
          <w:sz w:val="16"/>
          <w:szCs w:val="16"/>
          <w:color w:val="auto"/>
        </w:rPr>
        <w:t>conversion or to comply with any of the covenants of the Company contained in this Article Fourteen or in the applicable supplemental indenture, resolutions of the Board of Directors or written instrument executed by one or more duly authorized officers of the Company.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1411. Repayment of Certain Funds Upon Conversion.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Any funds which at any time shall have been deposited by the Company or on its behalf with the Trustee or any other paying agent for the purpose of paying the principal of, and premium, if any, and interest, if any, on any of the Securities (including, but not limited to, funds deposited for the sinking fund referred to in Article Twelve hereof and funds deposited pursuant to Article Thirteen hereof) and which shall not be required for such purposes because of the conversion of such Securities as provided in this Article Fourteen shall after such conversion be repaid to the Company by the Trustee upon the Company's written request.</w:t>
      </w:r>
    </w:p>
    <w:p>
      <w:pPr>
        <w:spacing w:after="0" w:line="18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FIFTEEN</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SUBORDINATION OF SECURITIES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1501. Securities Subordinate to Senior Debt.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Except as otherwise provided in a supplemental indenture or pursuant to Section 301, the Company covenants and agrees, and each Holder of a Security, by its acceptance thereof, likewise covenants and agrees, that, to the extent and in the manner hereinafter set forth in this Article, the indebtedness represented by the Securities and the payment of the principal of and any premium and interest on each and all of the Securities or on the account of the purchase, redemption or other acquisition of the Securities or constituting a sinking fund or defeasance payment by the Company to the Trustee or any Paying Agent, as the case may be, in accordance with Article Twelve or Article Thirteen, respectively, on the Securities are hereby expressly made subordinate and subject in right of payment to the prior payment in full of all Senior Debt. Notwithstanding the foregoing, the Article Fifteen shall not apply to the application of any amounts deposited with the Trustee or any Paying Agent pursuant to any sinking fund requirement or defeasance which, at the time such amounts were deposited with the Trustee or Paying Agent, as the case may be, such deposits were not prohibited by the provisions of this Article Fifteen ("Previous Payments").</w:t>
      </w:r>
    </w:p>
    <w:p>
      <w:pPr>
        <w:spacing w:after="0" w:line="193" w:lineRule="exact"/>
        <w:rPr>
          <w:sz w:val="20"/>
          <w:szCs w:val="20"/>
          <w:color w:val="auto"/>
        </w:rPr>
      </w:pPr>
    </w:p>
    <w:p>
      <w:pPr>
        <w:ind w:right="2639" w:firstLine="576"/>
        <w:spacing w:after="0" w:line="262" w:lineRule="auto"/>
        <w:rPr>
          <w:sz w:val="20"/>
          <w:szCs w:val="20"/>
          <w:color w:val="auto"/>
        </w:rPr>
      </w:pPr>
      <w:r>
        <w:rPr>
          <w:rFonts w:ascii="Courier New" w:cs="Courier New" w:eastAsia="Courier New" w:hAnsi="Courier New"/>
          <w:sz w:val="15"/>
          <w:szCs w:val="15"/>
          <w:color w:val="auto"/>
        </w:rPr>
        <w:t>The expressions "prior payment in full," "payment in full" and "paid in full" and any other similar term or phrase when used in this Article Fifteen with respect to Senior Debt shall mean in the case of Senior Debt consisting of contingent obligations in respect of letters of credit (or local guaranties, as applicable), bankers' acceptances, interest rate protection agreements or currency exchange or purchase agreements, the setting apart of cash or other payment acceptable to holders of such Senior Debt sufficient to discharge such portions of Senior Debt in an account for the exclusive benefit of the holders thereof, in which account such holders shall be granted by the Company a first priority perfected security interest, which first priority perfected security interest shall have been retained by the holders of Senior Debt for a period of time in excess of all applicable preference or other similar periods, if any, under applicable bankruptcy, insolvency or creditors' rights laws.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1502. Payment Over of Proceeds Upon Dissolution, Etc.</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the event of (a) any insolvency or bankruptcy case or proceeding, or any receivership, liquidation, reorganization, debt restructuring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the holders of Senior Debt shall be entitled to receive payment in full of all amounts due or to become due on or in respect of all Senior Debt, in cash or other payment satisfactory to the holders of Senior Debt, before the Holders of the Securities are entitled to receive any payment on account of principal of or any premium or interest on the Securities or on account of the purchase, redemption or other acquisition of Securities or constituting a sinking fund or defeasance payment by the Company to the Trustee or the Paying Agent, as the case may be, in accordance with Article Twelve or Article Thirteen, respectively, on the Securities (other than Previous Payments), and to that end the holders of Senior Debt or their representative or representatives or the trustee or trustees under any indenture under which any instruments evidencing any of such Senior Debt may have been issued shall be entitled to receive, for application to the payment thereof, any payment or distribution of any kind or character, whether in cash, property or securities, which may be payable or deliverable in respect of the Securities in any such case, proceeding,</w:t>
      </w:r>
    </w:p>
    <w:p>
      <w:pPr>
        <w:spacing w:after="0" w:line="1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671" w:right="1440" w:bottom="641" w:gutter="0" w:footer="0" w:header="0"/>
        </w:sectPr>
      </w:pPr>
    </w:p>
    <w:bookmarkStart w:id="247" w:name="page248"/>
    <w:bookmarkEnd w:id="247"/>
    <w:p>
      <w:pPr>
        <w:ind w:right="2719"/>
        <w:spacing w:after="0" w:line="243" w:lineRule="auto"/>
        <w:rPr>
          <w:sz w:val="20"/>
          <w:szCs w:val="20"/>
          <w:color w:val="auto"/>
        </w:rPr>
      </w:pPr>
      <w:r>
        <w:rPr>
          <w:rFonts w:ascii="Courier New" w:cs="Courier New" w:eastAsia="Courier New" w:hAnsi="Courier New"/>
          <w:sz w:val="16"/>
          <w:szCs w:val="16"/>
          <w:color w:val="auto"/>
        </w:rPr>
        <w:t>dissolution, liquidation or other winding up or event, to the extent necessary to pay all Senior Debt in full in cash or other payment satisfactory to the holders of Senior Debt, after giving effect to any concurrent payment or distribution to or for the holders of other Senior Debt.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the event that, notwithstanding the foregoing provisions of this Section, the Trustee or the Holder of any Security shall have received any payment or distribution of assets of the Company of any kind or character, whether in cash, property or securities, before all Senior Debt is paid in full in cash or other payment satisfactory to the holders of Senior Debt, then and in such event such payment or distribution shall be paid over or delivered forthwith to the trustee in bankruptcy, receiver, liquidating trustee, custodian, assignee, agent or other Person making payment or distribution of assets of the Company for application to the payment of all Senior Debt remaining unpaid, to the extent necessary to pay all Senior Debt in full, after giving effect to any concurrent payment or distribution to or for the holders of Senior Debt.</w:t>
      </w:r>
    </w:p>
    <w:p>
      <w:pPr>
        <w:spacing w:after="0" w:line="191"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For purposes of this Article only, the words "cash, property or securities" shall not be deemed to include shares of stock of the Company as reorganized or readjusted, or securities of the Company or any other corporation provided for by a plan of reorganization or readjustment which are subordinated in right of payment to all Senior Debt which may at the time be outstanding to substantially the same extent as, or to a greater extent than, the Securities are so subordinated as provided in this Article. The consolidation of the Company with, or the merger of the Company into, another Person or the liquidation or dissolution of the Company following the conveyance or transfer of its properties and assets substantially as an entirety to another Person upon the terms and conditions set forth in Article Eight shall not be deemed a dissolution, winding up, liquidation, reorganization, assignment for the benefit of creditors or marshaling of assets and liabilities of the Company for the purposes of this Section if the Person formed by such consolidation or into which the Company is merged or which acquires by conveyance or transfer such properties and assets substantially as an entirety, as the case may be, shall, as a part of such consolidation, merger, conveyance or transfer, comply with the conditions set forth in Article Eight.</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1503. Prior Payment to Senior Debt Upon Acceleration of Securities.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the event that any Securities are declared due and payable before their Stated Maturity, then and in such event the holders of the Senior Debt outstanding at the time such Securities so become due and payable shall be entitled to receive payment in full in cash or other payment satisfactory to the holders of Senior Debt of all amounts due or to become due on or in respect of all Senior Debt, before the Holders of the Securities are entitled to receive any payment by the Company on account of the principal of or any premium or interest on the Securities or on account of the purchase, redemption or other acquisition of Securities or constituting any sinking fund or defeasance payment by the Company to the Trustee or the Paying Agent, as the case may be, in accordance with Article Twelve or Article Thirteen, respectively, on the Securities (other than Previous Payments); provided, however, that nothing in this Section shall prevent the satisfaction of any sinking fund payment in accordance with Article Twelve by delivering and crediting pursuant to Section 1202 Securities which have been acquired (upon redemption or otherwise) prior to such declaration of acceleration or which have been converted pursuant to Article Fourteen. If the payment of Securities is accelerated because of an Event of Default, the Company and the Trustee shall promptly notify holders of Senior Debt of the acceleration.</w:t>
      </w:r>
    </w:p>
    <w:p>
      <w:pPr>
        <w:spacing w:after="0" w:line="194"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In the event that, notwithstanding the foregoing, the Company shall make any payment to the Trustee or the Holder of any Security prohibited by the foregoing provisions of this Section, and if such</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672" w:right="1440" w:bottom="1440" w:gutter="0" w:footer="0" w:header="0"/>
        </w:sectPr>
      </w:pPr>
    </w:p>
    <w:bookmarkStart w:id="248" w:name="page249"/>
    <w:bookmarkEnd w:id="248"/>
    <w:p>
      <w:pPr>
        <w:jc w:val="both"/>
        <w:ind w:right="2539"/>
        <w:spacing w:after="0" w:line="243" w:lineRule="auto"/>
        <w:rPr>
          <w:sz w:val="20"/>
          <w:szCs w:val="20"/>
          <w:color w:val="auto"/>
        </w:rPr>
      </w:pPr>
      <w:r>
        <w:rPr>
          <w:rFonts w:ascii="Courier New" w:cs="Courier New" w:eastAsia="Courier New" w:hAnsi="Courier New"/>
          <w:sz w:val="16"/>
          <w:szCs w:val="16"/>
          <w:color w:val="auto"/>
        </w:rPr>
        <w:t>fact shall, at or prior to the time of such payment, have been made known to the Trustee or, as the case may be, such Holder, then and in such event such payment shall be paid over and delivered forthwith to the Company.</w:t>
      </w:r>
    </w:p>
    <w:p>
      <w:pPr>
        <w:spacing w:after="0" w:line="189"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The provisions of this Section shall not apply to any payment with respect to which Section 1502 would be applicable.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1504. No Payment in Certain Circumstances.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may not make any payment of principal of, or premium, if any, or interest on the Securities or on account of the purchase, redemption or other acquisition of Securities or constituting any sinking fund or defeasance payment by the Company to the Trustee or the Paying Agent, as the case may be, in accordance with Article Twelve or Article Thirteen, respectively, on the Securities (other than Previous Payments), if:</w:t>
      </w:r>
    </w:p>
    <w:p>
      <w:pPr>
        <w:spacing w:after="0" w:line="188" w:lineRule="exact"/>
        <w:rPr>
          <w:sz w:val="20"/>
          <w:szCs w:val="20"/>
          <w:color w:val="auto"/>
        </w:rPr>
      </w:pPr>
    </w:p>
    <w:p>
      <w:pPr>
        <w:ind w:left="480" w:right="2639" w:firstLine="479"/>
        <w:spacing w:after="0" w:line="244" w:lineRule="auto"/>
        <w:tabs>
          <w:tab w:leader="none" w:pos="1345"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in the payment of principal, premium, if any, or interest (including a default under any redemption or repurchase obligation) or other amounts with respect to any Senior Debt occurs and is continuing (or, in the case of Senior Debt for which there is a period of grace, in the event of such a default that continues beyond the period of grace, if any, specified in the instrument or lease evidencing such Senior Debt) unless and until such default shall have been cured or waived or shall have ceased to exist; or</w:t>
      </w:r>
    </w:p>
    <w:p>
      <w:pPr>
        <w:spacing w:after="0" w:line="188" w:lineRule="exact"/>
        <w:rPr>
          <w:rFonts w:ascii="Courier New" w:cs="Courier New" w:eastAsia="Courier New" w:hAnsi="Courier New"/>
          <w:sz w:val="16"/>
          <w:szCs w:val="16"/>
          <w:color w:val="auto"/>
        </w:rPr>
      </w:pPr>
    </w:p>
    <w:p>
      <w:pPr>
        <w:ind w:left="480" w:right="2539" w:firstLine="479"/>
        <w:spacing w:after="0" w:line="244" w:lineRule="auto"/>
        <w:tabs>
          <w:tab w:leader="none" w:pos="1441"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other than a payment default, on any Designated Senior Debt occurs and is continuing that then permits holders of such Designated Senior Debt to accelerate its maturity and the Trustee receives a notice of the default (a "Payment Blockage Notice") from the Company, a holder of such Designated Senior Debt or a Representative of such Designated Senior Debt;</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provided, however, that nothing in this Section shall prevent the satisfaction of any sinking fund payment in accordance with Article Twelve by delivering and crediting pursuant to Section 1202 Securities which have been acquired (upon redemption or otherwise) prior to such declaration of acceleration or which have been converted pursuant to Article Fourteen.</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the Trustee receives any Payment Blockage Notice pursuant to clause (ii) above, no subsequent Payment Blockage Notice shall be effective for purposes of this Section unless and until at least 365 days shall have elapsed since the initial effectiveness of the immediately prior Payment Blockage Notice. No nonpayment default that existed or was continuing on the date of delivery of any Payment Blockage Notice to the Trustee shall be, or be made, the basis for a subsequent Payment Blockage Notice.</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may and shall resume payments on and distributions in respect of the Securities and may purchase, redeem or otherwise acquire Securities and may make a sinking find or defeasance payment to the Trustee or Paying Agent, as the case may be, in accordance with Article Twelve or Article Thirteen, respectively, on the Securities, upon the earlier of:</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 the date upon which the default is cured or waived or ceases to exist,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w:t>
      </w:r>
    </w:p>
    <w:p>
      <w:pPr>
        <w:spacing w:after="0" w:line="190" w:lineRule="exact"/>
        <w:rPr>
          <w:sz w:val="20"/>
          <w:szCs w:val="20"/>
          <w:color w:val="auto"/>
        </w:rPr>
      </w:pPr>
    </w:p>
    <w:p>
      <w:pPr>
        <w:ind w:right="2919" w:firstLine="479"/>
        <w:spacing w:after="0" w:line="242" w:lineRule="auto"/>
        <w:tabs>
          <w:tab w:leader="none" w:pos="865"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default referred to in clause (ii) above, 179 days after the Payment Blockage Notice is received,</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671" w:right="1440" w:bottom="1440" w:gutter="0" w:footer="0" w:header="0"/>
        </w:sectPr>
      </w:pPr>
    </w:p>
    <w:bookmarkStart w:id="249" w:name="page250"/>
    <w:bookmarkEnd w:id="249"/>
    <w:p>
      <w:pPr>
        <w:ind w:right="2639"/>
        <w:spacing w:after="0" w:line="244" w:lineRule="auto"/>
        <w:rPr>
          <w:sz w:val="20"/>
          <w:szCs w:val="20"/>
          <w:color w:val="auto"/>
        </w:rPr>
      </w:pPr>
      <w:r>
        <w:rPr>
          <w:rFonts w:ascii="Courier New" w:cs="Courier New" w:eastAsia="Courier New" w:hAnsi="Courier New"/>
          <w:sz w:val="16"/>
          <w:szCs w:val="16"/>
          <w:color w:val="auto"/>
        </w:rPr>
        <w:t>unless this Article Fifteen otherwise prohibits the payment or distribution at the time of such payment or distribution (including, without limitation, in the case of a default referred to in clause (ii) above, as a result of a payment default with respect to the applicable Senior Debt as a consequence of the acceleration of the maturity thereof or otherwise).</w:t>
      </w:r>
    </w:p>
    <w:p>
      <w:pPr>
        <w:spacing w:after="0" w:line="187" w:lineRule="exact"/>
        <w:rPr>
          <w:sz w:val="20"/>
          <w:szCs w:val="20"/>
          <w:color w:val="auto"/>
        </w:rPr>
      </w:pPr>
    </w:p>
    <w:p>
      <w:pPr>
        <w:ind w:right="2539" w:firstLine="384"/>
        <w:spacing w:after="0" w:line="244" w:lineRule="auto"/>
        <w:rPr>
          <w:sz w:val="20"/>
          <w:szCs w:val="20"/>
          <w:color w:val="auto"/>
        </w:rPr>
      </w:pPr>
      <w:r>
        <w:rPr>
          <w:rFonts w:ascii="Courier New" w:cs="Courier New" w:eastAsia="Courier New" w:hAnsi="Courier New"/>
          <w:sz w:val="16"/>
          <w:szCs w:val="16"/>
          <w:color w:val="auto"/>
        </w:rPr>
        <w:t>In the event that, notwithstanding the foregoing, the Company shall make any payment to the Trustee or the Holder of any Security prohibited by the foregoing provisions of this Section, and if such fact shall, at or prior to the time of such payment, have been made known to the Trustee or, as the case may be, such Holder, then and in such event such payment shall be paid over and delivered forthwith to the Company.</w:t>
      </w:r>
    </w:p>
    <w:p>
      <w:pPr>
        <w:spacing w:after="0" w:line="188" w:lineRule="exact"/>
        <w:rPr>
          <w:sz w:val="20"/>
          <w:szCs w:val="20"/>
          <w:color w:val="auto"/>
        </w:rPr>
      </w:pPr>
    </w:p>
    <w:p>
      <w:pPr>
        <w:ind w:right="2719" w:firstLine="384"/>
        <w:spacing w:after="0" w:line="242" w:lineRule="auto"/>
        <w:rPr>
          <w:sz w:val="20"/>
          <w:szCs w:val="20"/>
          <w:color w:val="auto"/>
        </w:rPr>
      </w:pPr>
      <w:r>
        <w:rPr>
          <w:rFonts w:ascii="Courier New" w:cs="Courier New" w:eastAsia="Courier New" w:hAnsi="Courier New"/>
          <w:sz w:val="16"/>
          <w:szCs w:val="16"/>
          <w:color w:val="auto"/>
        </w:rPr>
        <w:t>The provisions of this Section shall not apply to any payment with respect to which Section 1502 would be applicable.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1505. Payment Permitted If No Default.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Nothing contained in this Article or elsewhere in this Indenture or in any of the Securities shall prevent (a) the Company, at any time except during the pendency of any case, proceeding, dissolution, liquidation or other winding up, debt restructuring, assignment for the benefit of creditors or other marshaling of assets and liabilities of the Company referred to in Section 1502 or under the conditions described in Section 1503 or 1504, from making payments at any time of principal of and any premium or interest on the Securities or on account of the purchase, redemption or other acquisition of Securities, or (b) the application by the Trustee of any money deposited with it hereunder to the payment of or on account of the principal of and any premium or interest on the Securities or on account of the purchase, redemption or other acquisition of Securities or the retention of such payment by the Holders, if, at the time of such application by the Trustee, it did not have knowledge that such payment would have been prohibited by the provisions of this Article.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1506. Subrogation to Rights of Holders of Senior Debt.</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Subject to the payment in full of all Senior Debt, the Holders of the Securities shall be subrogated to the rights of the holders of such Senior Debt to receive payments and distributions of cash, property and securities applicable to the Senior Debt until the principal of and any premium and interest on the Securities shall be paid in full. For purposes of such subrogation, no payments or distributions to the holders of the Senior Debt of any cash, property or securities to which the Holders of the Securities or the Trustee would be entitled except for the provisions of this Article, and no payments over pursuant to the provisions of this Article to the holders of Senior Debt by Holders of the Securities or the Trustee, shall, as among the Company, its creditors other than holders of Senior Debt and the Holders of the Securities, be deemed to be a payment or distribution by the Company to or on account of the Senior Debt.</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1507. Provisions Solely to Define Relative Rights.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provisions of this Article are and are intended solely for the purpose of defining the relative rights of the Holders of the Securities on the one hand and the holders of Senior Debt on the other hand. Nothing contained in this Article or elsewhere in this Indenture or in the Securities is intended to or shall (a) impair, as among the Company, its creditors other than holders of Senior Debt and the Holders of the Securities, the obligation of the Company, which is absolute and unconditional (and which, subject to the rights under this Article of the holders of Senior Debt, is intended to rank equally with all other general obligations of the Company), to pay to the Holders of the Securities the principal of and any premium and interest on the Securities as and when the same shall become due and payable in accordance with their terms; or (b) affect the relative rights against the Company of the Holders of the Securities and creditors of the Company other than the holders of Senior Debt; or (c) prevent the Trustee or the Holder of any Security from exercising all remedies otherwise permitted by applicable law upon default under this Indenture, subject to the rights, if any, under this Article of the holders of Senior Debt to receive cash, property and securities otherwise payable or deliverable to the Trustee or such Holder.</w:t>
      </w:r>
    </w:p>
    <w:p>
      <w:pPr>
        <w:spacing w:after="0" w:line="19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671" w:right="1440" w:bottom="1440" w:gutter="0" w:footer="0" w:header="0"/>
        </w:sectPr>
      </w:pPr>
    </w:p>
    <w:bookmarkStart w:id="250" w:name="page251"/>
    <w:bookmarkEnd w:id="250"/>
    <w:p>
      <w:pPr>
        <w:spacing w:after="0"/>
        <w:rPr>
          <w:sz w:val="20"/>
          <w:szCs w:val="20"/>
          <w:color w:val="auto"/>
        </w:rPr>
      </w:pPr>
      <w:r>
        <w:rPr>
          <w:rFonts w:ascii="Courier New" w:cs="Courier New" w:eastAsia="Courier New" w:hAnsi="Courier New"/>
          <w:sz w:val="16"/>
          <w:szCs w:val="16"/>
          <w:color w:val="auto"/>
        </w:rPr>
        <w:t>SECTION 1508. Trustee to Effectuate Subordination.</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Each Holder of a Security by its acceptance thereof authorizes and directs the Trustee on its behalf to take such action as may be necessary or appropriate to effectuate the subordination provided in this Article and appoints the Trustee its attorney-in-fact for any and all such purposes.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1509. No Waiver of Subordination Provisions.</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No right of any present or future holder of any Senior Debt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any such holder may have or be otherwise charged with.</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Without in any way limiting the generality of the foregoing paragraph, the holders of Senior Debt may, at any time and from time to time, without the consent of or notice to the Trustee or the Holders of the Securities, without incurring responsibility to the Holders of the Securities and without impairing or releasing the subordination provided in this Article or the obligations hereunder of the Holders of the Securities to the holders of Senior Debt, do any one or more of the following: (i) change the manner, place or terms of payment or extend the time of payment of, or renew or alter, Senior Debt, or otherwise amend or supplement in any manner Senior Debt or any instrument evidencing the same or any agreement under which Senior Debt is outstanding; (ii) sell, exchange, release or otherwise dispose of any property pledged, mortgaged or otherwise securing Senior Debt; (iii) release any Person liable in any manner for the collection of Senior Debt; and (iv) exercise or refrain from exercising any rights against the Company and any other Person.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1510. Notice to Trustee.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Company shall give prompt written notice to the Trustee of any fact known to the Company which would prohibit the making of any payment to or by the Trustee in respect of the Securities. Notwithstanding the provisions of this Article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Debt or from any trustee or other Representative therefor; and, prior to the receipt of any such written notice, the Trustee, subject to the provisions of Section 601, shall be entitled in all respects to assume that no such facts exist; provided, however, that if the Trustee shall not have received the notice provided for in this Section by at least 12:00 noon New York City time one Business Day prior to the date upon which by the terms hereof any money may become payable for any purpose (including, without limitation, the payment of the principal of and any premium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after 12:00 noon New York time one Business Day prior to such date.</w:t>
      </w:r>
    </w:p>
    <w:p>
      <w:pPr>
        <w:spacing w:after="0" w:line="19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669" w:right="1440" w:bottom="1440" w:gutter="0" w:footer="0" w:header="0"/>
        </w:sectPr>
      </w:pPr>
    </w:p>
    <w:bookmarkStart w:id="251" w:name="page252"/>
    <w:bookmarkEnd w:id="251"/>
    <w:p>
      <w:pPr>
        <w:ind w:right="2539" w:firstLine="480"/>
        <w:spacing w:after="0" w:line="244" w:lineRule="auto"/>
        <w:rPr>
          <w:sz w:val="20"/>
          <w:szCs w:val="20"/>
          <w:color w:val="auto"/>
        </w:rPr>
      </w:pPr>
      <w:r>
        <w:rPr>
          <w:rFonts w:ascii="Courier New" w:cs="Courier New" w:eastAsia="Courier New" w:hAnsi="Courier New"/>
          <w:sz w:val="16"/>
          <w:szCs w:val="16"/>
          <w:color w:val="auto"/>
        </w:rPr>
        <w:t>Subject to the provisions of Section 601, the Trustee shall be entitled to rely on the delivery to it of a written notice by a Person representing himself to be a holder of Senior Debt (or a trustee or other Representative therefor) to establish that such notice has been given by a holder of Senior Debt (or a trustee or other Representative therefor). In the event that the Trustee determines in good faith that further evidence is required with respect to the right of any Person as a holder of Senior Debt to participate in any payment or distribution pursuant to this Article, the Trustee may request such Person to furnish evidence to the reasonable satisfaction of the Trustee as to the amount of Senior Debt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1511. Reliance on Judicial Order or Certificate of Liquidating Agent.</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Upon any payment or distribution of assets of the Company referred to in this Article, the Trustee, subject to the provisions of Section 601,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Debt and other indebtedness of the Company, the amount thereof or payable thereon, the amount or amounts paid or distributed thereon and all other facts pertinent thereto or to this Article.</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1512. Trustee Not Fiduciary for Holders of Senior Debt.</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Trustee, in its capacity as trustee under this Indenture, shall not be deemed to owe any fiduciary duty to the holders of Senior Debt and shall not be liable to any such holders if it shall in good faith mistakenly pay over or distribute to Holders of Securities or to the Company or to any other Person cash, property or securities to which any holders of Senior Debt shall be entitled by virtue of this Article or otherwise.</w:t>
      </w:r>
    </w:p>
    <w:p>
      <w:pPr>
        <w:spacing w:after="0" w:line="188" w:lineRule="exact"/>
        <w:rPr>
          <w:sz w:val="20"/>
          <w:szCs w:val="20"/>
          <w:color w:val="auto"/>
        </w:rPr>
      </w:pPr>
    </w:p>
    <w:p>
      <w:pPr>
        <w:ind w:left="1340" w:right="3199" w:hanging="1344"/>
        <w:spacing w:after="0" w:line="242" w:lineRule="auto"/>
        <w:rPr>
          <w:sz w:val="20"/>
          <w:szCs w:val="20"/>
          <w:color w:val="auto"/>
        </w:rPr>
      </w:pPr>
      <w:r>
        <w:rPr>
          <w:rFonts w:ascii="Courier New" w:cs="Courier New" w:eastAsia="Courier New" w:hAnsi="Courier New"/>
          <w:sz w:val="16"/>
          <w:szCs w:val="16"/>
          <w:color w:val="auto"/>
        </w:rPr>
        <w:t>SECTION 1513. Rights of Trustee as Holder of Senior Debt; Preservation of Trustee's Rights.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Trustee in its individual capacity shall be entitled to all the rights set forth in this Article with respect to any Senior Debt which may at any time be held by it, to the same extent as any other holder of Senior Debt, and nothing in this Indenture shall deprive the Trustee of any of its rights as such holder.</w:t>
      </w:r>
    </w:p>
    <w:p>
      <w:pPr>
        <w:spacing w:after="0" w:line="187" w:lineRule="exact"/>
        <w:rPr>
          <w:sz w:val="20"/>
          <w:szCs w:val="20"/>
          <w:color w:val="auto"/>
        </w:rPr>
      </w:pPr>
    </w:p>
    <w:p>
      <w:pPr>
        <w:ind w:right="3119" w:firstLine="480"/>
        <w:spacing w:after="0" w:line="242" w:lineRule="auto"/>
        <w:rPr>
          <w:sz w:val="20"/>
          <w:szCs w:val="20"/>
          <w:color w:val="auto"/>
        </w:rPr>
      </w:pPr>
      <w:r>
        <w:rPr>
          <w:rFonts w:ascii="Courier New" w:cs="Courier New" w:eastAsia="Courier New" w:hAnsi="Courier New"/>
          <w:sz w:val="16"/>
          <w:szCs w:val="16"/>
          <w:color w:val="auto"/>
        </w:rPr>
        <w:t>Nothing in this Article shall apply to claims of, or payments to, the Trustee under or pursuant to Section 607.</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1514. Article Applicable to Paying Agents.</w:t>
      </w:r>
    </w:p>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672" w:right="1440" w:bottom="1440" w:gutter="0" w:footer="0" w:header="0"/>
        </w:sectPr>
      </w:pPr>
    </w:p>
    <w:bookmarkStart w:id="252" w:name="page253"/>
    <w:bookmarkEnd w:id="252"/>
    <w:p>
      <w:pPr>
        <w:ind w:left="1" w:right="2539" w:firstLine="480"/>
        <w:spacing w:after="0" w:line="244" w:lineRule="auto"/>
        <w:rPr>
          <w:sz w:val="20"/>
          <w:szCs w:val="20"/>
          <w:color w:val="auto"/>
        </w:rPr>
      </w:pPr>
      <w:r>
        <w:rPr>
          <w:rFonts w:ascii="Courier New" w:cs="Courier New" w:eastAsia="Courier New" w:hAnsi="Courier New"/>
          <w:sz w:val="16"/>
          <w:szCs w:val="16"/>
          <w:color w:val="auto"/>
        </w:rPr>
        <w:t>In case at any time any Paying Agent other than the Trustee shall have been appointed by the Company and be then acting hereunder, the term "Trustee" as used in this Article shall in such case (unless the context otherwise requires) be construed as extending to and including such Paying Agent within its meaning as fully for all intents and purposes as if such Paying Agent were named in this Article in addition to or in place of the Trustee; provided, however, that Section 1512 shall not apply to the Company or any Affiliate of the Company if it or such Affiliate acts as Paying Agent.</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1515. Certain Conversions Deemed Payment.</w:t>
      </w:r>
    </w:p>
    <w:p>
      <w:pPr>
        <w:spacing w:after="0" w:line="190"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For the purposes of this Article only, (1) the issuance and delivery of junior securities upon conversion of Securities in accordance with Article Fourteen shall not be deemed to constitute a payment or distribution on account of the principal of or any premium or interest on Securities or on account of the purchase, redemption or other acquisition of Securities, and (2) the payment, issuance or delivery of cash, property or securities (other than junior securities and cash paid for fractional shares) upon conversion of a Security shall be deemed to constitute payment on account of the principal of such Security. For the purposes of this Section, the term "junior securities" means</w:t>
      </w:r>
    </w:p>
    <w:p>
      <w:pPr>
        <w:spacing w:after="0" w:line="6" w:lineRule="exact"/>
        <w:rPr>
          <w:sz w:val="20"/>
          <w:szCs w:val="20"/>
          <w:color w:val="auto"/>
        </w:rPr>
      </w:pPr>
    </w:p>
    <w:p>
      <w:pPr>
        <w:ind w:left="1" w:right="2639" w:hanging="1"/>
        <w:spacing w:after="0" w:line="244" w:lineRule="auto"/>
        <w:tabs>
          <w:tab w:leader="none" w:pos="386"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any stock of any class of the Company and (b) securities of the Company which are subordinated in right of payment to all Senior Debt which may be outstanding at the time of issuance or delivery of such securities to substantially the same extent as, or to a greater extent than, the Securities are so subordinated as provided in this Article.</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1516. Obligations of Company and Right to Convert Unconditional.</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Nothing contained in this Article or elsewhere in this Indenture or in the Securities is intended to or shall impair, as among the Company, its creditors other than holders of Senior Debt and the Holders of the Securities, the obligation of the Company, which is absolute and unconditional, to pay to the Holders of the Securities the principal of and any premium and interest on the Securities as and when the same shall become due and payable in accordance with their terms, or affect the relative rights of the Holders of the Securities and creditors of the Company other than the holders of Senior Debt, nor shall anything herein or therein prevent the Trustee or the Holder of any Securities from exercising all remedies otherwise permitted by applicable law upon default under this Indenture, subject to the rights, if any, under this Article of the holders of Senior Debt in respect of cash, property or securities of the Company received upon the exercise of any such remedy.</w:t>
      </w:r>
    </w:p>
    <w:p>
      <w:pPr>
        <w:spacing w:after="0" w:line="191"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Nothing contained in this Article or elsewhere in this Indenture or in the Securities is intended to or shall impair, as among the Company, its creditors other than holders of Senior Debt and the Holders of the Securities, the right, which is absolute and unconditional, of the Holder of any Security to convert such Security in accordance with Article Fourteen (if applicable).</w:t>
      </w:r>
    </w:p>
    <w:p>
      <w:pPr>
        <w:spacing w:after="0" w:line="187" w:lineRule="exact"/>
        <w:rPr>
          <w:sz w:val="20"/>
          <w:szCs w:val="20"/>
          <w:color w:val="auto"/>
        </w:rPr>
      </w:pPr>
    </w:p>
    <w:p>
      <w:pPr>
        <w:ind w:left="1341" w:right="3199" w:hanging="1344"/>
        <w:spacing w:after="0" w:line="242" w:lineRule="auto"/>
        <w:rPr>
          <w:sz w:val="20"/>
          <w:szCs w:val="20"/>
          <w:color w:val="auto"/>
        </w:rPr>
      </w:pPr>
      <w:r>
        <w:rPr>
          <w:rFonts w:ascii="Courier New" w:cs="Courier New" w:eastAsia="Courier New" w:hAnsi="Courier New"/>
          <w:sz w:val="16"/>
          <w:szCs w:val="16"/>
          <w:color w:val="auto"/>
        </w:rPr>
        <w:t>SECTION 1517. Reliance by Holders of Senior Indebtedness on Subordination Provisions.</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Each Holder by accepting a Security acknowledges and agrees that the foregoing subordination provisions are, and are intended to be, an inducement and an consideration to each holder of any Senior Debt, whether such Senior Debt was created or acquired before or after the issuance of the Securities, to acquire and continue to hold, or to continue to hold, such Senior Debt and such holder of Senior Debt, shall be deemed conclusively to have relied on such subordination provisions in acquiring and continuing to hold, or in continuing to hold, such Senior Debt, and no amendment or modification of the provisions contained herein shall diminish the rights of such holders of Senior Debt unless such holders shall have agreed in writing hereto.</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21"/>
          </w:cols>
          <w:pgMar w:left="239" w:top="671" w:right="1440" w:bottom="1440" w:gutter="0" w:footer="0" w:header="0"/>
        </w:sectPr>
      </w:pPr>
    </w:p>
    <w:bookmarkStart w:id="253" w:name="page254"/>
    <w:bookmarkEnd w:id="253"/>
    <w:p>
      <w:pPr>
        <w:ind w:right="2919" w:firstLine="480"/>
        <w:spacing w:after="0" w:line="242" w:lineRule="auto"/>
        <w:rPr>
          <w:sz w:val="20"/>
          <w:szCs w:val="20"/>
          <w:color w:val="auto"/>
        </w:rPr>
      </w:pPr>
      <w:r>
        <w:rPr>
          <w:rFonts w:ascii="Courier New" w:cs="Courier New" w:eastAsia="Courier New" w:hAnsi="Courier New"/>
          <w:sz w:val="16"/>
          <w:szCs w:val="16"/>
          <w:color w:val="auto"/>
        </w:rPr>
        <w:t>IN WITNESS WHEREOF, the parties hereto have caused this Indenture to be duly executed all as of the day and year first above written.</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MICRON TECHNOLOGY, INC.</w:t>
      </w:r>
    </w:p>
    <w:p>
      <w:pPr>
        <w:spacing w:after="0" w:line="200" w:lineRule="exact"/>
        <w:rPr>
          <w:sz w:val="20"/>
          <w:szCs w:val="20"/>
          <w:color w:val="auto"/>
        </w:rPr>
      </w:pPr>
    </w:p>
    <w:p>
      <w:pPr>
        <w:spacing w:after="0" w:line="35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By:_____________________________________</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NORWEST BANK MINNESOTA, NATIONAL ASSOCIATION,</w:t>
      </w:r>
    </w:p>
    <w:p>
      <w:pPr>
        <w:spacing w:after="0" w:line="1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as Trustee</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By:______________________________________</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671" w:right="1440" w:bottom="1440" w:gutter="0" w:footer="0" w:header="0"/>
        </w:sectPr>
      </w:pPr>
    </w:p>
    <w:bookmarkStart w:id="254" w:name="page255"/>
    <w:bookmarkEnd w:id="254"/>
    <w:p>
      <w:pPr>
        <w:ind w:left="3160"/>
        <w:spacing w:after="0"/>
        <w:rPr>
          <w:sz w:val="20"/>
          <w:szCs w:val="20"/>
          <w:color w:val="auto"/>
        </w:rPr>
      </w:pPr>
      <w:r>
        <w:rPr>
          <w:rFonts w:ascii="Courier New" w:cs="Courier New" w:eastAsia="Courier New" w:hAnsi="Courier New"/>
          <w:sz w:val="16"/>
          <w:szCs w:val="16"/>
          <w:color w:val="auto"/>
        </w:rPr>
        <w:t>Exhibit 5.1</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May 29, 1997</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8000 S. Federal Way</w:t>
      </w:r>
    </w:p>
    <w:p>
      <w:pPr>
        <w:spacing w:after="0" w:line="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Boise, Idaho</w:t>
        <w:tab/>
        <w:t>83707</w:t>
      </w:r>
    </w:p>
    <w:p>
      <w:pPr>
        <w:spacing w:after="0" w:line="188" w:lineRule="exact"/>
        <w:rPr>
          <w:sz w:val="20"/>
          <w:szCs w:val="20"/>
          <w:color w:val="auto"/>
        </w:rPr>
      </w:pPr>
    </w:p>
    <w:p>
      <w:pPr>
        <w:ind w:left="480"/>
        <w:spacing w:after="0"/>
        <w:tabs>
          <w:tab w:leader="none" w:pos="940" w:val="left"/>
        </w:tabs>
        <w:rPr>
          <w:sz w:val="20"/>
          <w:szCs w:val="20"/>
          <w:color w:val="auto"/>
        </w:rPr>
      </w:pPr>
      <w:r>
        <w:rPr>
          <w:rFonts w:ascii="Courier New" w:cs="Courier New" w:eastAsia="Courier New" w:hAnsi="Courier New"/>
          <w:sz w:val="16"/>
          <w:szCs w:val="16"/>
          <w:color w:val="auto"/>
        </w:rPr>
        <w:t>Re:</w:t>
        <w:tab/>
        <w:t>Micron Technology, Inc.</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Registration Statement on Form S-3</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At your request, we have examined the Registration Statement on Form S-3 (No. 333-18441), including Amendment No. 1 thereto (the "Registration Statement"), filed or to be filed by Micron Technology, Inc., a Delaware corporation (the "Company"), with the Securities and Exchange Commission in connection with the registration pursuant to the Securities Act of 1933, as amended (the "Act"), of the Company's debt securities (the "Debt Securities") and shares of the Company's Common Stock, $0.10 par value per share (the "Common Stock"), with an aggregate offering price of up to $1,000,000,000 or the equivalent thereof in one or more foreign currencies or composite currencies. The Debt Securities and the Common Stock are to be sold from time to time as set forth in the Registration Statement, the Prospectus contained therein (the "Prospectus") and the supplements to the Prospectus (the "Prospectus Supplements"). The Debt Securities may be either senior debt securities (the "Senior Debt Securities") or subordinated debt securities (the "Subordinated Debt Securities"). The Senior Debt Securities are to be issued pursuant to a Senior Indenture, which has been filed as an exhibit to the Registration Statement (the "Senior Indenture"), to be entered into between the Company and Norwest Bank Minnesota, National Association, as Trustee (the "Senior Trustee"). The Subordinated Debt Securities are to be issued pursuant to a Subordinated Indenture, which has been filed as an exhibit to the Registration Statement (the "Subordinated Indenture"), to be entered into between the Company and Norwest Bank Minnesota, National Association, as Trustee (the "Subordinated Trustee"). The shares of Common Stock are to be sold pursuant to an Underwriting Agreement (Common Stock) (the "Common Stock Underwriting Agreement") and the Debt Securities are to be sold pursuant to an Underwriting Agreement (Debt Securities) (the "Debt Securities Underwriting Agreement") or an Underwriting Agreement (Convertible Debt Securities) (the "Convertible Debt Securities Underwriting Agreement"), in substantially the respective forms filed as exhibits to the Registration</w:t>
      </w:r>
    </w:p>
    <w:p>
      <w:pPr>
        <w:sectPr>
          <w:pgSz w:w="11900" w:h="16838" w:orient="portrait"/>
          <w:cols w:equalWidth="0" w:num="1">
            <w:col w:w="10219"/>
          </w:cols>
          <w:pgMar w:left="240" w:top="510" w:right="1440" w:bottom="1440" w:gutter="0" w:footer="0" w:header="0"/>
        </w:sectPr>
      </w:pPr>
    </w:p>
    <w:bookmarkStart w:id="255" w:name="page256"/>
    <w:bookmarkEnd w:id="255"/>
    <w:p>
      <w:pPr>
        <w:spacing w:after="0"/>
        <w:rPr>
          <w:sz w:val="20"/>
          <w:szCs w:val="20"/>
          <w:color w:val="auto"/>
        </w:rPr>
      </w:pPr>
      <w:r>
        <w:rPr>
          <w:rFonts w:ascii="Courier New" w:cs="Courier New" w:eastAsia="Courier New" w:hAnsi="Courier New"/>
          <w:sz w:val="16"/>
          <w:szCs w:val="16"/>
          <w:color w:val="auto"/>
        </w:rPr>
        <w:t>Micron Technology,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29,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190" w:lineRule="exact"/>
        <w:rPr>
          <w:sz w:val="20"/>
          <w:szCs w:val="20"/>
          <w:color w:val="auto"/>
        </w:rPr>
      </w:pPr>
    </w:p>
    <w:p>
      <w:pPr>
        <w:ind w:right="3199"/>
        <w:spacing w:after="0" w:line="242" w:lineRule="auto"/>
        <w:rPr>
          <w:sz w:val="20"/>
          <w:szCs w:val="20"/>
          <w:color w:val="auto"/>
        </w:rPr>
      </w:pPr>
      <w:r>
        <w:rPr>
          <w:rFonts w:ascii="Courier New" w:cs="Courier New" w:eastAsia="Courier New" w:hAnsi="Courier New"/>
          <w:sz w:val="16"/>
          <w:szCs w:val="16"/>
          <w:color w:val="auto"/>
        </w:rPr>
        <w:t>Statement. The Debt Securities are to be issued in the forms filed as an exhibit to the Registration Statement.</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 have examined instruments, documents and records which we deemed relevant and necessary for the basis of our opinion hereinafter expressed. In such examination, we have assumed (a) the authenticity of original documents and the genuineness of all signatures, (b) the conformity to the originals of all documents submitted to us as copies and (c) the truth, accuracy, and completeness of the information, representations and warranties contained in the records, documents, instruments and certificates we have reviewed.</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Based on such examination, we are of the opinion that:</w:t>
      </w:r>
    </w:p>
    <w:p>
      <w:pPr>
        <w:spacing w:after="0" w:line="190" w:lineRule="exact"/>
        <w:rPr>
          <w:sz w:val="20"/>
          <w:szCs w:val="20"/>
          <w:color w:val="auto"/>
        </w:rPr>
      </w:pPr>
    </w:p>
    <w:p>
      <w:pPr>
        <w:ind w:right="2539" w:firstLine="479"/>
        <w:spacing w:after="0" w:line="262" w:lineRule="auto"/>
        <w:tabs>
          <w:tab w:leader="none" w:pos="865"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issuance of Senior Debt Securities has been duly authorized by appropriate corporate action and the Senior Debt Securities, in the form filed as an exhibit to the Registration Statement, have been duly completed, executed, authenticated and delivered in accordance with the Senior Indenture and sold pursuant to the Debt Securities Underwriting Agreement or the Convertible Debt Securities Underwriting Agreement and as described in the Registration Statement, any amendment thereto, the Prospectus and any Prospectus Supplement relating thereto, the Senior Debt Securities will be legal, valid and binding obligations of the Company, entitled to the benefits of the Senior Indenture.</w:t>
      </w:r>
    </w:p>
    <w:p>
      <w:pPr>
        <w:spacing w:after="0" w:line="178" w:lineRule="exact"/>
        <w:rPr>
          <w:rFonts w:ascii="Courier New" w:cs="Courier New" w:eastAsia="Courier New" w:hAnsi="Courier New"/>
          <w:sz w:val="15"/>
          <w:szCs w:val="15"/>
          <w:color w:val="auto"/>
        </w:rPr>
      </w:pPr>
    </w:p>
    <w:p>
      <w:pPr>
        <w:ind w:right="2539" w:firstLine="479"/>
        <w:spacing w:after="0" w:line="244" w:lineRule="auto"/>
        <w:tabs>
          <w:tab w:leader="none" w:pos="865"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issuance of Subordinated Debt Securities has been duly authorized by appropriate corporate action and the Subordinated Debt Securities, in the form filed as an exhibit to the Registration Statement, have been duly completed, executed, authenticated and delivered in accordance with the Subordinated Indenture and sold pursuant to the Debt Securities Underwriting Agreement or the Convertible Debt Securities Underwriting Agreement and as described in the Registration Statement, any amendment thereto, the Prospectus and any Prospectus Supplement relating thereto, the Subordinated Debt Securities will be legal, valid and binding obligations of the Company, entitled to the benefits of the Subordinated Indenture.</w:t>
      </w:r>
    </w:p>
    <w:p>
      <w:pPr>
        <w:spacing w:after="0" w:line="189" w:lineRule="exact"/>
        <w:rPr>
          <w:rFonts w:ascii="Courier New" w:cs="Courier New" w:eastAsia="Courier New" w:hAnsi="Courier New"/>
          <w:sz w:val="16"/>
          <w:szCs w:val="16"/>
          <w:color w:val="auto"/>
        </w:rPr>
      </w:pPr>
    </w:p>
    <w:p>
      <w:pPr>
        <w:ind w:right="2719" w:firstLine="479"/>
        <w:spacing w:after="0" w:line="244" w:lineRule="auto"/>
        <w:tabs>
          <w:tab w:leader="none" w:pos="865"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the issuance of the shares of Common Stock has been duly authorized by appropriate corporate action and the shares of Common Stock have been duly issued, sold and delivered in accordance with the Common Stock Underwriting Agreement and as described in the Registration Statement, any amendment thereto, the Prospectus and the Prospectus Supplement relating thereto, the shares of Common Stock will be legally issued, fully paid and nonassessable.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Our opinion that any document is legal, valid and binding is qualified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ectPr>
          <w:pgSz w:w="11900" w:h="16838" w:orient="portrait"/>
          <w:cols w:equalWidth="0" w:num="1">
            <w:col w:w="10219"/>
          </w:cols>
          <w:pgMar w:left="240" w:top="669" w:right="1440" w:bottom="1440" w:gutter="0" w:footer="0" w:header="0"/>
        </w:sectPr>
      </w:pPr>
    </w:p>
    <w:bookmarkStart w:id="256" w:name="page257"/>
    <w:bookmarkEnd w:id="256"/>
    <w:p>
      <w:pPr>
        <w:spacing w:after="0"/>
        <w:rPr>
          <w:sz w:val="20"/>
          <w:szCs w:val="20"/>
          <w:color w:val="auto"/>
        </w:rPr>
      </w:pPr>
      <w:r>
        <w:rPr>
          <w:rFonts w:ascii="Courier New" w:cs="Courier New" w:eastAsia="Courier New" w:hAnsi="Courier New"/>
          <w:sz w:val="16"/>
          <w:szCs w:val="16"/>
          <w:color w:val="auto"/>
        </w:rPr>
        <w:t>Micron Technology,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29,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w:t>
      </w:r>
    </w:p>
    <w:p>
      <w:pPr>
        <w:spacing w:after="0" w:line="190" w:lineRule="exact"/>
        <w:rPr>
          <w:sz w:val="20"/>
          <w:szCs w:val="20"/>
          <w:color w:val="auto"/>
        </w:rPr>
      </w:pPr>
    </w:p>
    <w:p>
      <w:pPr>
        <w:ind w:right="3019" w:firstLine="479"/>
        <w:spacing w:after="0" w:line="243" w:lineRule="auto"/>
        <w:tabs>
          <w:tab w:leader="none" w:pos="865"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imposed by bankruptcy, insolvency, reorganization, arrangement, fraudulent conveyance, moratorium or other laws relating to or affecting the rights of creditors generally; and</w:t>
      </w:r>
    </w:p>
    <w:p>
      <w:pPr>
        <w:spacing w:after="0" w:line="188" w:lineRule="exact"/>
        <w:rPr>
          <w:rFonts w:ascii="Courier New" w:cs="Courier New" w:eastAsia="Courier New" w:hAnsi="Courier New"/>
          <w:sz w:val="16"/>
          <w:szCs w:val="16"/>
          <w:color w:val="auto"/>
        </w:rPr>
      </w:pPr>
    </w:p>
    <w:p>
      <w:pPr>
        <w:ind w:right="2639" w:firstLine="479"/>
        <w:spacing w:after="0" w:line="243" w:lineRule="auto"/>
        <w:tabs>
          <w:tab w:leader="none" w:pos="865"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principles of equity, including without limitation concepts of materiality, reasonableness, good faith and fair dealing, and the possible unavailability of specific performance or injunctive relief, regardless of whether such enforceability is considered in a proceeding in equity or at law.</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We hereby consent to the filing of this opinion as an exhibit to the above-referenced Registration Statement and to the use of our name wherever it appears in the Registration Statement, the Prospectus, the Prospectus Supplement, and in any amendment or supplement thereto. In giving such consent, we do not believe that we are "experts" within the meaning of such term as used in the Act or the rules and regulations of the Securities and Exchange Commission issued thereunder with respect to any part of the Registration Statement, including this opinion as an exhibit or otherwise.</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Very truly yours,</w:t>
      </w:r>
    </w:p>
    <w:p>
      <w:pPr>
        <w:spacing w:after="0" w:line="37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WILSON SONSINI GOODRICH &amp; ROSATI,</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Professional Corporation</w:t>
      </w:r>
    </w:p>
    <w:p>
      <w:pPr>
        <w:sectPr>
          <w:pgSz w:w="11900" w:h="16838" w:orient="portrait"/>
          <w:cols w:equalWidth="0" w:num="1">
            <w:col w:w="10219"/>
          </w:cols>
          <w:pgMar w:left="240" w:top="670" w:right="1440" w:bottom="1440" w:gutter="0" w:footer="0" w:header="0"/>
        </w:sectPr>
      </w:pPr>
    </w:p>
    <w:bookmarkStart w:id="257" w:name="page258"/>
    <w:bookmarkEnd w:id="257"/>
    <w:p>
      <w:pPr>
        <w:ind w:left="6540"/>
        <w:spacing w:after="0"/>
        <w:rPr>
          <w:sz w:val="20"/>
          <w:szCs w:val="20"/>
          <w:color w:val="auto"/>
        </w:rPr>
      </w:pPr>
      <w:r>
        <w:rPr>
          <w:rFonts w:ascii="Courier New" w:cs="Courier New" w:eastAsia="Courier New" w:hAnsi="Courier New"/>
          <w:sz w:val="16"/>
          <w:szCs w:val="16"/>
          <w:color w:val="auto"/>
        </w:rPr>
        <w:t>EXHIBIT 12.1</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MICRON TECHNOLOGY, INC.</w:t>
      </w:r>
    </w:p>
    <w:p>
      <w:pPr>
        <w:spacing w:after="0" w:line="188"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COMPUTATION OF RATIO OF EARNINGS TO FIXED CHARGES</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(IN MILLIONS EXCEPT RATIO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YEARS ENDED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5"/>
        </w:trPr>
        <w:tc>
          <w:tcPr>
            <w:tcW w:w="2360" w:type="dxa"/>
            <w:vAlign w:val="bottom"/>
          </w:tcPr>
          <w:p>
            <w:pPr>
              <w:spacing w:after="0"/>
              <w:rPr>
                <w:sz w:val="16"/>
                <w:szCs w:val="16"/>
                <w:color w:val="auto"/>
              </w:rPr>
            </w:pPr>
          </w:p>
        </w:tc>
        <w:tc>
          <w:tcPr>
            <w:tcW w:w="442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6"/>
                <w:szCs w:val="16"/>
                <w:color w:val="auto"/>
              </w:rPr>
            </w:pPr>
          </w:p>
        </w:tc>
      </w:tr>
      <w:tr>
        <w:trPr>
          <w:trHeight w:val="185"/>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9"/>
              </w:rPr>
              <w:t>SIX MONTHS</w:t>
            </w:r>
          </w:p>
        </w:tc>
      </w:tr>
      <w:tr>
        <w:trPr>
          <w:trHeight w:val="185"/>
        </w:trPr>
        <w:tc>
          <w:tcPr>
            <w:tcW w:w="2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ENDED</w:t>
            </w:r>
          </w:p>
        </w:tc>
      </w:tr>
      <w:tr>
        <w:trPr>
          <w:trHeight w:val="185"/>
        </w:trPr>
        <w:tc>
          <w:tcPr>
            <w:tcW w:w="2360" w:type="dxa"/>
            <w:vAlign w:val="bottom"/>
          </w:tcPr>
          <w:p>
            <w:pPr>
              <w:spacing w:after="0"/>
              <w:rPr>
                <w:sz w:val="16"/>
                <w:szCs w:val="16"/>
                <w:color w:val="auto"/>
              </w:rPr>
            </w:pPr>
          </w:p>
        </w:tc>
        <w:tc>
          <w:tcPr>
            <w:tcW w:w="3540" w:type="dxa"/>
            <w:vAlign w:val="bottom"/>
            <w:gridSpan w:val="7"/>
          </w:tcPr>
          <w:p>
            <w:pPr>
              <w:ind w:left="40"/>
              <w:spacing w:after="0"/>
              <w:rPr>
                <w:sz w:val="20"/>
                <w:szCs w:val="20"/>
                <w:color w:val="auto"/>
              </w:rPr>
            </w:pPr>
            <w:r>
              <w:rPr>
                <w:rFonts w:ascii="Courier New" w:cs="Courier New" w:eastAsia="Courier New" w:hAnsi="Courier New"/>
                <w:sz w:val="16"/>
                <w:szCs w:val="16"/>
                <w:color w:val="auto"/>
              </w:rPr>
              <w:t>SEPT. 3, SEPT. 2, SEPT. 1, AUG. 31,</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AUG. 29,</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8"/>
              </w:rPr>
              <w:t>FEB. 27,</w:t>
            </w:r>
          </w:p>
        </w:tc>
      </w:tr>
      <w:tr>
        <w:trPr>
          <w:trHeight w:val="185"/>
        </w:trPr>
        <w:tc>
          <w:tcPr>
            <w:tcW w:w="2360" w:type="dxa"/>
            <w:vAlign w:val="bottom"/>
          </w:tcPr>
          <w:p>
            <w:pPr>
              <w:spacing w:after="0"/>
              <w:rPr>
                <w:sz w:val="16"/>
                <w:szCs w:val="16"/>
                <w:color w:val="auto"/>
              </w:rPr>
            </w:pP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1992</w:t>
            </w:r>
          </w:p>
        </w:tc>
        <w:tc>
          <w:tcPr>
            <w:tcW w:w="24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1993</w:t>
            </w:r>
          </w:p>
        </w:tc>
        <w:tc>
          <w:tcPr>
            <w:tcW w:w="24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3"/>
              </w:rPr>
              <w:t>1994</w:t>
            </w:r>
          </w:p>
        </w:tc>
        <w:tc>
          <w:tcPr>
            <w:tcW w:w="180" w:type="dxa"/>
            <w:vAlign w:val="bottom"/>
          </w:tcPr>
          <w:p>
            <w:pPr>
              <w:spacing w:after="0"/>
              <w:rPr>
                <w:sz w:val="16"/>
                <w:szCs w:val="16"/>
                <w:color w:val="auto"/>
              </w:rPr>
            </w:pPr>
          </w:p>
        </w:tc>
        <w:tc>
          <w:tcPr>
            <w:tcW w:w="7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8"/>
              </w:rPr>
              <w:t>1995</w:t>
            </w:r>
          </w:p>
        </w:tc>
        <w:tc>
          <w:tcPr>
            <w:tcW w:w="8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1996</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rPr>
              <w:t>1997</w:t>
            </w:r>
          </w:p>
        </w:tc>
      </w:tr>
      <w:tr>
        <w:trPr>
          <w:trHeight w:val="185"/>
        </w:trPr>
        <w:tc>
          <w:tcPr>
            <w:tcW w:w="2360" w:type="dxa"/>
            <w:vAlign w:val="bottom"/>
          </w:tcPr>
          <w:p>
            <w:pPr>
              <w:spacing w:after="0"/>
              <w:rPr>
                <w:sz w:val="16"/>
                <w:szCs w:val="16"/>
                <w:color w:val="auto"/>
              </w:rPr>
            </w:pP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6"/>
              </w:rPr>
              <w:t>--------</w:t>
            </w:r>
          </w:p>
        </w:tc>
        <w:tc>
          <w:tcPr>
            <w:tcW w:w="18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 ----------</w:t>
            </w:r>
          </w:p>
        </w:tc>
      </w:tr>
      <w:tr>
        <w:trPr>
          <w:trHeight w:val="370"/>
        </w:trPr>
        <w:tc>
          <w:tcPr>
            <w:tcW w:w="2360" w:type="dxa"/>
            <w:vAlign w:val="bottom"/>
          </w:tcPr>
          <w:p>
            <w:pPr>
              <w:spacing w:after="0"/>
              <w:rPr>
                <w:sz w:val="20"/>
                <w:szCs w:val="20"/>
                <w:color w:val="auto"/>
              </w:rPr>
            </w:pPr>
            <w:r>
              <w:rPr>
                <w:rFonts w:ascii="Courier New" w:cs="Courier New" w:eastAsia="Courier New" w:hAnsi="Courier New"/>
                <w:sz w:val="16"/>
                <w:szCs w:val="16"/>
                <w:color w:val="auto"/>
              </w:rPr>
              <w:t>Income before income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taxes..................</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$ 9.6</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$162.6</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$625.8</w:t>
            </w:r>
          </w:p>
        </w:tc>
        <w:tc>
          <w:tcPr>
            <w:tcW w:w="9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6"/>
              </w:rPr>
              <w:t>$1,350.5</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$950.5</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$319.6</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Adjustments to income</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360" w:type="dxa"/>
            <w:vAlign w:val="bottom"/>
          </w:tcPr>
          <w:p>
            <w:pPr>
              <w:ind w:left="100"/>
              <w:spacing w:after="0"/>
              <w:rPr>
                <w:sz w:val="20"/>
                <w:szCs w:val="20"/>
                <w:color w:val="auto"/>
              </w:rPr>
            </w:pPr>
            <w:r>
              <w:rPr>
                <w:rFonts w:ascii="Courier New" w:cs="Courier New" w:eastAsia="Courier New" w:hAnsi="Courier New"/>
                <w:sz w:val="16"/>
                <w:szCs w:val="16"/>
                <w:color w:val="auto"/>
              </w:rPr>
              <w:t>before income taxes:</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8.4</w:t>
            </w:r>
          </w:p>
        </w:tc>
        <w:tc>
          <w:tcPr>
            <w:tcW w:w="24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7.8</w:t>
            </w:r>
          </w:p>
        </w:tc>
        <w:tc>
          <w:tcPr>
            <w:tcW w:w="24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5.8</w:t>
            </w:r>
          </w:p>
        </w:tc>
        <w:tc>
          <w:tcPr>
            <w:tcW w:w="18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7.3</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8.6</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2360" w:type="dxa"/>
            <w:vAlign w:val="bottom"/>
          </w:tcPr>
          <w:p>
            <w:pPr>
              <w:spacing w:after="0"/>
              <w:rPr>
                <w:sz w:val="16"/>
                <w:szCs w:val="16"/>
                <w:color w:val="auto"/>
              </w:rPr>
            </w:pP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6"/>
              </w:rPr>
              <w:t>--------</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Adjusted income before</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income taxes...........</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$18.0</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$170.4</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$631.6</w:t>
            </w:r>
          </w:p>
        </w:tc>
        <w:tc>
          <w:tcPr>
            <w:tcW w:w="9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6"/>
              </w:rPr>
              <w:t>$1,357.8</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$959.1</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$322.5</w:t>
            </w:r>
          </w:p>
        </w:tc>
      </w:tr>
      <w:tr>
        <w:trPr>
          <w:trHeight w:val="185"/>
        </w:trPr>
        <w:tc>
          <w:tcPr>
            <w:tcW w:w="2360" w:type="dxa"/>
            <w:vAlign w:val="bottom"/>
          </w:tcPr>
          <w:p>
            <w:pPr>
              <w:spacing w:after="0"/>
              <w:rPr>
                <w:sz w:val="16"/>
                <w:szCs w:val="16"/>
                <w:color w:val="auto"/>
              </w:rPr>
            </w:pP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6"/>
              </w:rPr>
              <w:t>========</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$ 8.4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5.8</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7.3</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  8.6</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$12.4</w:t>
            </w: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Adjustments to</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360" w:type="dxa"/>
            <w:vAlign w:val="bottom"/>
          </w:tcPr>
          <w:p>
            <w:pPr>
              <w:ind w:left="280"/>
              <w:spacing w:after="0"/>
              <w:rPr>
                <w:sz w:val="20"/>
                <w:szCs w:val="20"/>
                <w:color w:val="auto"/>
              </w:rPr>
            </w:pPr>
            <w:r>
              <w:rPr>
                <w:rFonts w:ascii="Courier New" w:cs="Courier New" w:eastAsia="Courier New" w:hAnsi="Courier New"/>
                <w:sz w:val="16"/>
                <w:szCs w:val="16"/>
                <w:color w:val="auto"/>
              </w:rPr>
              <w:t>interest expense:</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360" w:type="dxa"/>
            <w:vAlign w:val="bottom"/>
          </w:tcPr>
          <w:p>
            <w:pPr>
              <w:ind w:left="380"/>
              <w:spacing w:after="0"/>
              <w:rPr>
                <w:sz w:val="20"/>
                <w:szCs w:val="20"/>
                <w:color w:val="auto"/>
              </w:rPr>
            </w:pPr>
            <w:r>
              <w:rPr>
                <w:rFonts w:ascii="Courier New" w:cs="Courier New" w:eastAsia="Courier New" w:hAnsi="Courier New"/>
                <w:sz w:val="16"/>
                <w:szCs w:val="16"/>
                <w:color w:val="auto"/>
              </w:rPr>
              <w:t>Capitalized</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interest...........</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0.2</w:t>
            </w:r>
          </w:p>
        </w:tc>
        <w:tc>
          <w:tcPr>
            <w:tcW w:w="24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0.3</w:t>
            </w:r>
          </w:p>
        </w:tc>
        <w:tc>
          <w:tcPr>
            <w:tcW w:w="240" w:type="dxa"/>
            <w:vAlign w:val="bottom"/>
          </w:tcPr>
          <w:p>
            <w:pPr>
              <w:spacing w:after="0"/>
              <w:rPr>
                <w:sz w:val="16"/>
                <w:szCs w:val="16"/>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2.6</w:t>
            </w:r>
          </w:p>
        </w:tc>
        <w:tc>
          <w:tcPr>
            <w:tcW w:w="18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4.9</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7.5</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2.9</w:t>
            </w:r>
          </w:p>
        </w:tc>
      </w:tr>
      <w:tr>
        <w:trPr>
          <w:trHeight w:val="185"/>
        </w:trPr>
        <w:tc>
          <w:tcPr>
            <w:tcW w:w="2360" w:type="dxa"/>
            <w:vAlign w:val="bottom"/>
          </w:tcPr>
          <w:p>
            <w:pPr>
              <w:spacing w:after="0"/>
              <w:rPr>
                <w:sz w:val="16"/>
                <w:szCs w:val="16"/>
                <w:color w:val="auto"/>
              </w:rPr>
            </w:pP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6"/>
              </w:rPr>
              <w:t>--------</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2360" w:type="dxa"/>
            <w:vAlign w:val="bottom"/>
          </w:tcPr>
          <w:p>
            <w:pPr>
              <w:ind w:left="200"/>
              <w:spacing w:after="0"/>
              <w:rPr>
                <w:sz w:val="20"/>
                <w:szCs w:val="20"/>
                <w:color w:val="auto"/>
              </w:rPr>
            </w:pPr>
            <w:r>
              <w:rPr>
                <w:rFonts w:ascii="Courier New" w:cs="Courier New" w:eastAsia="Courier New" w:hAnsi="Courier New"/>
                <w:sz w:val="16"/>
                <w:szCs w:val="16"/>
                <w:color w:val="auto"/>
              </w:rPr>
              <w:t>Adjusted interest</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expense..............</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$ 8.6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12.2</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$ 16.1</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$15.3</w:t>
            </w:r>
          </w:p>
        </w:tc>
      </w:tr>
      <w:tr>
        <w:trPr>
          <w:trHeight w:val="185"/>
        </w:trPr>
        <w:tc>
          <w:tcPr>
            <w:tcW w:w="2360" w:type="dxa"/>
            <w:vAlign w:val="bottom"/>
          </w:tcPr>
          <w:p>
            <w:pPr>
              <w:spacing w:after="0"/>
              <w:rPr>
                <w:sz w:val="16"/>
                <w:szCs w:val="16"/>
                <w:color w:val="auto"/>
              </w:rPr>
            </w:pP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6"/>
              </w:rPr>
              <w:t>========</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2360" w:type="dxa"/>
            <w:vAlign w:val="bottom"/>
          </w:tcPr>
          <w:p>
            <w:pPr>
              <w:spacing w:after="0"/>
              <w:rPr>
                <w:sz w:val="20"/>
                <w:szCs w:val="20"/>
                <w:color w:val="auto"/>
              </w:rPr>
            </w:pPr>
            <w:r>
              <w:rPr>
                <w:rFonts w:ascii="Courier New" w:cs="Courier New" w:eastAsia="Courier New" w:hAnsi="Courier New"/>
                <w:sz w:val="16"/>
                <w:szCs w:val="16"/>
                <w:color w:val="auto"/>
              </w:rPr>
              <w:t>Ratio of earnings to</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fixed charges..........</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2.1x</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21.0x</w:t>
            </w:r>
          </w:p>
        </w:tc>
        <w:tc>
          <w:tcPr>
            <w:tcW w:w="2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75.2x</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111.3x</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59.6x</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21.0x</w:t>
            </w:r>
          </w:p>
        </w:tc>
      </w:tr>
    </w:tbl>
    <w:p>
      <w:pPr>
        <w:sectPr>
          <w:pgSz w:w="11900" w:h="16838" w:orient="portrait"/>
          <w:cols w:equalWidth="0" w:num="1">
            <w:col w:w="10219"/>
          </w:cols>
          <w:pgMar w:left="240" w:top="509" w:right="1440" w:bottom="1440" w:gutter="0" w:footer="0" w:header="0"/>
        </w:sectPr>
      </w:pPr>
    </w:p>
    <w:bookmarkStart w:id="258" w:name="page259"/>
    <w:bookmarkEnd w:id="258"/>
    <w:p>
      <w:pPr>
        <w:jc w:val="right"/>
        <w:ind w:right="2639"/>
        <w:spacing w:after="0"/>
        <w:rPr>
          <w:sz w:val="20"/>
          <w:szCs w:val="20"/>
          <w:color w:val="auto"/>
        </w:rPr>
      </w:pPr>
      <w:r>
        <w:rPr>
          <w:rFonts w:ascii="Courier New" w:cs="Courier New" w:eastAsia="Courier New" w:hAnsi="Courier New"/>
          <w:sz w:val="16"/>
          <w:szCs w:val="16"/>
          <w:color w:val="auto"/>
        </w:rPr>
        <w:t>EXHIBIT 23.1</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90" w:lineRule="exact"/>
        <w:rPr>
          <w:sz w:val="20"/>
          <w:szCs w:val="20"/>
          <w:color w:val="auto"/>
        </w:rPr>
      </w:pPr>
    </w:p>
    <w:p>
      <w:pPr>
        <w:ind w:right="2819" w:firstLine="192"/>
        <w:spacing w:after="0" w:line="244" w:lineRule="auto"/>
        <w:rPr>
          <w:sz w:val="20"/>
          <w:szCs w:val="20"/>
          <w:color w:val="auto"/>
        </w:rPr>
      </w:pPr>
      <w:r>
        <w:rPr>
          <w:rFonts w:ascii="Courier New" w:cs="Courier New" w:eastAsia="Courier New" w:hAnsi="Courier New"/>
          <w:sz w:val="16"/>
          <w:szCs w:val="16"/>
          <w:color w:val="auto"/>
        </w:rPr>
        <w:t>We consent to the incorporation by reference in this Amendment No. 1 to registration statement on Form S-3 to be filed on June 2, 1997 of our report dated September 19, 1996, except as to the Stock Purchase Plans Note to Consolidated Financial Statements the date of which is September 30, 1996, on our audits of the consolidated financial statements of Micron Technology, Inc., as of August 29, 1996 and August 31, 1995, and for each of the three years in the period ended August 29, 1996, which report is included in the 1996 Annual Report on Form 10-K and Form 10-K/A of Micron Technology, Inc. filed with the Securities and Exchange Commission pursuant to the Securities Exchange Act of 1934. We also consent to the reference to our firm under the caption "Experts."</w:t>
      </w:r>
    </w:p>
    <w:p>
      <w:pPr>
        <w:spacing w:after="0" w:line="18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 Coopers &amp; Lybrand L.L.P.</w:t>
      </w:r>
    </w:p>
    <w:p>
      <w:pPr>
        <w:spacing w:after="0" w:line="188"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COOPERS &amp; LYBRAND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Boise, Idaho</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30, 1997</w:t>
      </w:r>
    </w:p>
    <w:p>
      <w:pPr>
        <w:sectPr>
          <w:pgSz w:w="11900" w:h="16838" w:orient="portrait"/>
          <w:cols w:equalWidth="0" w:num="1">
            <w:col w:w="10219"/>
          </w:cols>
          <w:pgMar w:left="240" w:top="509" w:right="1440" w:bottom="1440" w:gutter="0" w:footer="0" w:header="0"/>
        </w:sectPr>
      </w:pPr>
    </w:p>
    <w:bookmarkStart w:id="259" w:name="page260"/>
    <w:bookmarkEnd w:id="259"/>
    <w:p>
      <w:pPr>
        <w:jc w:val="right"/>
        <w:ind w:right="2539"/>
        <w:spacing w:after="0"/>
        <w:rPr>
          <w:sz w:val="20"/>
          <w:szCs w:val="20"/>
          <w:color w:val="auto"/>
        </w:rPr>
      </w:pPr>
      <w:r>
        <w:rPr>
          <w:rFonts w:ascii="Courier New" w:cs="Courier New" w:eastAsia="Courier New" w:hAnsi="Courier New"/>
          <w:sz w:val="16"/>
          <w:szCs w:val="16"/>
          <w:color w:val="auto"/>
        </w:rPr>
        <w:t>EXHIBIT 25.1</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8" w:lineRule="exact"/>
        <w:rPr>
          <w:sz w:val="20"/>
          <w:szCs w:val="20"/>
          <w:color w:val="auto"/>
        </w:rPr>
      </w:pPr>
    </w:p>
    <w:p>
      <w:pPr>
        <w:jc w:val="center"/>
        <w:ind w:right="2638"/>
        <w:spacing w:after="0"/>
        <w:tabs>
          <w:tab w:leader="none" w:pos="180" w:val="left"/>
        </w:tabs>
        <w:rPr>
          <w:sz w:val="20"/>
          <w:szCs w:val="20"/>
          <w:color w:val="auto"/>
        </w:rPr>
      </w:pPr>
      <w:r>
        <w:rPr>
          <w:rFonts w:ascii="Courier New" w:cs="Courier New" w:eastAsia="Courier New" w:hAnsi="Courier New"/>
          <w:sz w:val="16"/>
          <w:szCs w:val="16"/>
          <w:color w:val="auto"/>
        </w:rPr>
        <w:t>Washington, D.C.</w:t>
        <w:tab/>
        <w:t>20549</w:t>
      </w:r>
    </w:p>
    <w:p>
      <w:pPr>
        <w:spacing w:after="0" w:line="4"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_____________________________</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FORM T-1</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STATEMENT OF ELIGIBILITY</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UNDER THE TRUST INDENTURE ACT OF 1939 OF A</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CORPORATION DESIGNATED TO ACT AS TRUSTEE</w:t>
      </w:r>
    </w:p>
    <w:p>
      <w:pPr>
        <w:spacing w:after="0" w:line="4"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_____________________________</w:t>
      </w:r>
    </w:p>
    <w:p>
      <w:pPr>
        <w:spacing w:after="0" w:line="188"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X   CHECK IF AN APPLICATION TO DETERMINE ELIGIBILITY OF A TRUSTEE PURSUANT TO</w:t>
      </w:r>
    </w:p>
    <w:p>
      <w:pPr>
        <w:spacing w:after="0" w:line="3" w:lineRule="exact"/>
        <w:rPr>
          <w:sz w:val="20"/>
          <w:szCs w:val="20"/>
          <w:color w:val="auto"/>
        </w:rPr>
      </w:pPr>
    </w:p>
    <w:p>
      <w:pPr>
        <w:ind w:left="201" w:hanging="201"/>
        <w:spacing w:after="0"/>
        <w:tabs>
          <w:tab w:leader="none" w:pos="201"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SECTION 305(b) (2)</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NORWEST BANK MINNESOTA, NATIONAL ASSOCIATION</w:t>
      </w:r>
    </w:p>
    <w:p>
      <w:pPr>
        <w:spacing w:after="0" w:line="4"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(Exact name of trustee as specified in its charter)</w:t>
      </w:r>
    </w:p>
    <w:p>
      <w:pPr>
        <w:sectPr>
          <w:pgSz w:w="11900" w:h="16838" w:orient="portrait"/>
          <w:cols w:equalWidth="0" w:num="1">
            <w:col w:w="10221"/>
          </w:cols>
          <w:pgMar w:left="239" w:top="509" w:right="1440" w:bottom="1440" w:gutter="0" w:footer="0" w:header="0"/>
        </w:sectPr>
      </w:pPr>
    </w:p>
    <w:p>
      <w:pPr>
        <w:spacing w:after="0" w:line="190" w:lineRule="exact"/>
        <w:rPr>
          <w:sz w:val="20"/>
          <w:szCs w:val="20"/>
          <w:color w:val="auto"/>
        </w:rPr>
      </w:pPr>
    </w:p>
    <w:p>
      <w:pPr>
        <w:ind w:left="1" w:right="620"/>
        <w:spacing w:after="0" w:line="243" w:lineRule="auto"/>
        <w:rPr>
          <w:sz w:val="20"/>
          <w:szCs w:val="20"/>
          <w:color w:val="auto"/>
        </w:rPr>
      </w:pPr>
      <w:r>
        <w:rPr>
          <w:rFonts w:ascii="Courier New" w:cs="Courier New" w:eastAsia="Courier New" w:hAnsi="Courier New"/>
          <w:sz w:val="16"/>
          <w:szCs w:val="16"/>
          <w:color w:val="auto"/>
        </w:rPr>
        <w:t>A U.S. NATIONAL BANKING ASSOCIATION (Jurisdiction of incorporation or organization if not a U.S. national bank)</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41-1592157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373" w:lineRule="exact"/>
        <w:rPr>
          <w:sz w:val="20"/>
          <w:szCs w:val="20"/>
          <w:color w:val="auto"/>
        </w:rPr>
      </w:pPr>
    </w:p>
    <w:p>
      <w:pPr>
        <w:sectPr>
          <w:pgSz w:w="11900" w:h="16838" w:orient="portrait"/>
          <w:cols w:equalWidth="0" w:num="2">
            <w:col w:w="3981" w:space="720"/>
            <w:col w:w="5519"/>
          </w:cols>
          <w:pgMar w:left="239" w:top="509"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SIXTH STREET AND MARQUETTE AVENUE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Minneapolis, Minnesota</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55479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98" w:lineRule="exact"/>
        <w:rPr>
          <w:sz w:val="20"/>
          <w:szCs w:val="20"/>
          <w:color w:val="auto"/>
        </w:rPr>
      </w:pPr>
    </w:p>
    <w:p>
      <w:pPr>
        <w:sectPr>
          <w:pgSz w:w="11900" w:h="16838" w:orient="portrait"/>
          <w:cols w:equalWidth="0" w:num="2">
            <w:col w:w="3981" w:space="720"/>
            <w:col w:w="5519"/>
          </w:cols>
          <w:pgMar w:left="239" w:top="509" w:right="1440" w:bottom="1440" w:gutter="0" w:footer="0" w:header="0"/>
          <w:type w:val="continuous"/>
        </w:sectPr>
      </w:pPr>
    </w:p>
    <w:p>
      <w:pPr>
        <w:ind w:left="2201"/>
        <w:spacing w:after="0"/>
        <w:rPr>
          <w:sz w:val="20"/>
          <w:szCs w:val="20"/>
          <w:color w:val="auto"/>
        </w:rPr>
      </w:pPr>
      <w:r>
        <w:rPr>
          <w:rFonts w:ascii="Courier New" w:cs="Courier New" w:eastAsia="Courier New" w:hAnsi="Courier New"/>
          <w:sz w:val="16"/>
          <w:szCs w:val="16"/>
          <w:color w:val="auto"/>
        </w:rPr>
        <w:t>Stanley S. Stroup, General Counsel</w:t>
      </w:r>
    </w:p>
    <w:p>
      <w:pPr>
        <w:spacing w:after="0" w:line="4"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NORWEST BANK MINNESOTA, NATIONAL ASSOCIATION</w:t>
      </w:r>
    </w:p>
    <w:p>
      <w:pPr>
        <w:spacing w:after="0" w:line="4"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color w:val="auto"/>
        </w:rPr>
        <w:t>Sixth Street and Marquette Avenue</w:t>
      </w:r>
    </w:p>
    <w:p>
      <w:pPr>
        <w:spacing w:after="0" w:line="4" w:lineRule="exact"/>
        <w:rPr>
          <w:sz w:val="20"/>
          <w:szCs w:val="20"/>
          <w:color w:val="auto"/>
        </w:rPr>
      </w:pPr>
    </w:p>
    <w:p>
      <w:pPr>
        <w:ind w:left="2401"/>
        <w:spacing w:after="0"/>
        <w:tabs>
          <w:tab w:leader="none" w:pos="4681" w:val="left"/>
        </w:tabs>
        <w:rPr>
          <w:sz w:val="20"/>
          <w:szCs w:val="20"/>
          <w:color w:val="auto"/>
        </w:rPr>
      </w:pPr>
      <w:r>
        <w:rPr>
          <w:rFonts w:ascii="Courier New" w:cs="Courier New" w:eastAsia="Courier New" w:hAnsi="Courier New"/>
          <w:sz w:val="16"/>
          <w:szCs w:val="16"/>
          <w:color w:val="auto"/>
        </w:rPr>
        <w:t>Minneapolis, Minnesota</w:t>
        <w:tab/>
        <w:t>55479</w:t>
      </w:r>
    </w:p>
    <w:p>
      <w:pPr>
        <w:spacing w:after="0" w:line="4" w:lineRule="exact"/>
        <w:rPr>
          <w:sz w:val="20"/>
          <w:szCs w:val="20"/>
          <w:color w:val="auto"/>
        </w:rPr>
      </w:pPr>
    </w:p>
    <w:p>
      <w:pPr>
        <w:ind w:left="3741" w:hanging="571"/>
        <w:spacing w:after="0"/>
        <w:tabs>
          <w:tab w:leader="none" w:pos="3741"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667-1234</w:t>
      </w:r>
    </w:p>
    <w:p>
      <w:pPr>
        <w:spacing w:after="0" w:line="3" w:lineRule="exact"/>
        <w:rPr>
          <w:rFonts w:ascii="Courier New" w:cs="Courier New" w:eastAsia="Courier New" w:hAnsi="Courier New"/>
          <w:sz w:val="16"/>
          <w:szCs w:val="16"/>
          <w:color w:val="auto"/>
        </w:rPr>
      </w:pPr>
    </w:p>
    <w:p>
      <w:pPr>
        <w:ind w:left="2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(Agent for Service)</w:t>
      </w:r>
    </w:p>
    <w:p>
      <w:pPr>
        <w:spacing w:after="0" w:line="4"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_____________________________</w:t>
      </w:r>
    </w:p>
    <w:p>
      <w:pPr>
        <w:spacing w:after="0" w:line="188"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MICRON TECHNOLOGY,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(Exact name of obligor as specified in its charter)</w:t>
      </w:r>
    </w:p>
    <w:p>
      <w:pPr>
        <w:sectPr>
          <w:pgSz w:w="11900" w:h="16838" w:orient="portrait"/>
          <w:cols w:equalWidth="0" w:num="1">
            <w:col w:w="10221"/>
          </w:cols>
          <w:pgMar w:left="239" w:top="509" w:right="1440" w:bottom="1440" w:gutter="0" w:footer="0" w:header="0"/>
          <w:type w:val="continuous"/>
        </w:sectPr>
      </w:pP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(State or other jurisdiction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75-1618004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97" w:lineRule="exact"/>
        <w:rPr>
          <w:sz w:val="20"/>
          <w:szCs w:val="20"/>
          <w:color w:val="auto"/>
        </w:rPr>
      </w:pPr>
    </w:p>
    <w:p>
      <w:pPr>
        <w:sectPr>
          <w:pgSz w:w="11900" w:h="16838" w:orient="portrait"/>
          <w:cols w:equalWidth="0" w:num="2">
            <w:col w:w="3701" w:space="720"/>
            <w:col w:w="5799"/>
          </w:cols>
          <w:pgMar w:left="239" w:top="509"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8000 SOUTH FEDERAL WAY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BOISE, ID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83707-0006</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98" w:lineRule="exact"/>
        <w:rPr>
          <w:sz w:val="20"/>
          <w:szCs w:val="20"/>
          <w:color w:val="auto"/>
        </w:rPr>
      </w:pPr>
    </w:p>
    <w:p>
      <w:pPr>
        <w:sectPr>
          <w:pgSz w:w="11900" w:h="16838" w:orient="portrait"/>
          <w:cols w:equalWidth="0" w:num="2">
            <w:col w:w="3841" w:space="580"/>
            <w:col w:w="5799"/>
          </w:cols>
          <w:pgMar w:left="239" w:top="509" w:right="1440" w:bottom="1440" w:gutter="0" w:footer="0" w:header="0"/>
          <w:type w:val="continuous"/>
        </w:sectPr>
      </w:pPr>
    </w:p>
    <w:p>
      <w:pPr>
        <w:ind w:left="2401"/>
        <w:spacing w:after="0"/>
        <w:rPr>
          <w:sz w:val="20"/>
          <w:szCs w:val="20"/>
          <w:color w:val="auto"/>
        </w:rPr>
      </w:pPr>
      <w:r>
        <w:rPr>
          <w:rFonts w:ascii="Courier New" w:cs="Courier New" w:eastAsia="Courier New" w:hAnsi="Courier New"/>
          <w:sz w:val="16"/>
          <w:szCs w:val="16"/>
          <w:color w:val="auto"/>
        </w:rPr>
        <w:t>_____________________________</w:t>
      </w:r>
    </w:p>
    <w:p>
      <w:pPr>
        <w:spacing w:after="0" w:line="4"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SENIOR DEBT SECURITIES</w:t>
      </w:r>
    </w:p>
    <w:p>
      <w:pPr>
        <w:spacing w:after="0" w:line="4"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(Title of the indenture securities)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9" w:top="509" w:right="1440" w:bottom="1440" w:gutter="0" w:footer="0" w:header="0"/>
          <w:type w:val="continuous"/>
        </w:sectPr>
      </w:pPr>
    </w:p>
    <w:bookmarkStart w:id="260" w:name="page261"/>
    <w:bookmarkEnd w:id="260"/>
    <w:p>
      <w:pPr>
        <w:spacing w:after="0"/>
        <w:tabs>
          <w:tab w:leader="none" w:pos="840" w:val="left"/>
          <w:tab w:leader="none" w:pos="2960" w:val="left"/>
        </w:tabs>
        <w:rPr>
          <w:sz w:val="20"/>
          <w:szCs w:val="20"/>
          <w:color w:val="auto"/>
        </w:rPr>
      </w:pPr>
      <w:r>
        <w:rPr>
          <w:rFonts w:ascii="Courier New" w:cs="Courier New" w:eastAsia="Courier New" w:hAnsi="Courier New"/>
          <w:sz w:val="16"/>
          <w:szCs w:val="16"/>
          <w:color w:val="auto"/>
        </w:rPr>
        <w:t>Item 1.</w:t>
        <w:tab/>
        <w:t>General Information.</w:t>
      </w:r>
      <w:r>
        <w:rPr>
          <w:sz w:val="20"/>
          <w:szCs w:val="20"/>
          <w:color w:val="auto"/>
        </w:rPr>
        <w:tab/>
      </w:r>
      <w:r>
        <w:rPr>
          <w:rFonts w:ascii="Courier New" w:cs="Courier New" w:eastAsia="Courier New" w:hAnsi="Courier New"/>
          <w:sz w:val="15"/>
          <w:szCs w:val="15"/>
          <w:color w:val="auto"/>
        </w:rPr>
        <w:t>Furnish the following information as to the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trustee:</w:t>
      </w:r>
    </w:p>
    <w:p>
      <w:pPr>
        <w:spacing w:after="0" w:line="190" w:lineRule="exact"/>
        <w:rPr>
          <w:sz w:val="20"/>
          <w:szCs w:val="20"/>
          <w:color w:val="auto"/>
        </w:rPr>
      </w:pPr>
    </w:p>
    <w:p>
      <w:pPr>
        <w:ind w:left="1440" w:right="2819" w:hanging="481"/>
        <w:spacing w:after="0" w:line="242" w:lineRule="auto"/>
        <w:tabs>
          <w:tab w:leader="none" w:pos="144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 each examining or supervising authority to which it is subject.</w:t>
      </w:r>
    </w:p>
    <w:p>
      <w:pPr>
        <w:spacing w:after="0" w:line="188" w:lineRule="exact"/>
        <w:rPr>
          <w:rFonts w:ascii="Courier New" w:cs="Courier New" w:eastAsia="Courier New" w:hAnsi="Courier New"/>
          <w:sz w:val="16"/>
          <w:szCs w:val="16"/>
          <w:color w:val="auto"/>
        </w:rPr>
      </w:pPr>
    </w:p>
    <w:p>
      <w:pPr>
        <w:ind w:left="1440" w:right="695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Comptroller of the Currency Treasury Department Washington, D.C.</w:t>
      </w:r>
    </w:p>
    <w:p>
      <w:pPr>
        <w:spacing w:after="0" w:line="189" w:lineRule="exact"/>
        <w:rPr>
          <w:rFonts w:ascii="Courier New" w:cs="Courier New" w:eastAsia="Courier New" w:hAnsi="Courier New"/>
          <w:sz w:val="16"/>
          <w:szCs w:val="16"/>
          <w:color w:val="auto"/>
        </w:rPr>
      </w:pPr>
    </w:p>
    <w:p>
      <w:pPr>
        <w:ind w:left="1440" w:right="675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Federal Deposit Insurance Corporation Washington, D.C.</w:t>
      </w:r>
    </w:p>
    <w:p>
      <w:pPr>
        <w:spacing w:after="0" w:line="186" w:lineRule="exact"/>
        <w:rPr>
          <w:rFonts w:ascii="Courier New" w:cs="Courier New" w:eastAsia="Courier New" w:hAnsi="Courier New"/>
          <w:sz w:val="16"/>
          <w:szCs w:val="16"/>
          <w:color w:val="auto"/>
        </w:rPr>
      </w:pPr>
    </w:p>
    <w:p>
      <w:pPr>
        <w:ind w:left="14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Governors</w:t>
      </w:r>
    </w:p>
    <w:p>
      <w:pPr>
        <w:spacing w:after="0" w:line="5" w:lineRule="exact"/>
        <w:rPr>
          <w:rFonts w:ascii="Courier New" w:cs="Courier New" w:eastAsia="Courier New" w:hAnsi="Courier New"/>
          <w:sz w:val="16"/>
          <w:szCs w:val="16"/>
          <w:color w:val="auto"/>
        </w:rPr>
      </w:pPr>
    </w:p>
    <w:p>
      <w:pPr>
        <w:ind w:left="1440" w:right="59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Federal Reserve System Washington, D.C.</w:t>
      </w:r>
    </w:p>
    <w:p>
      <w:pPr>
        <w:spacing w:after="0" w:line="188" w:lineRule="exact"/>
        <w:rPr>
          <w:rFonts w:ascii="Courier New" w:cs="Courier New" w:eastAsia="Courier New" w:hAnsi="Courier New"/>
          <w:sz w:val="16"/>
          <w:szCs w:val="16"/>
          <w:color w:val="auto"/>
        </w:rPr>
      </w:pPr>
    </w:p>
    <w:p>
      <w:pPr>
        <w:ind w:left="1440" w:right="2919" w:hanging="481"/>
        <w:spacing w:after="0" w:line="486" w:lineRule="auto"/>
        <w:tabs>
          <w:tab w:leader="none" w:pos="144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it is authorized to exercise corporate trust powers. The trustee is authorized to exercise corporate trust powers.</w:t>
      </w:r>
    </w:p>
    <w:p>
      <w:pPr>
        <w:spacing w:after="0" w:line="3" w:lineRule="exact"/>
        <w:rPr>
          <w:sz w:val="20"/>
          <w:szCs w:val="20"/>
          <w:color w:val="auto"/>
        </w:rPr>
      </w:pPr>
    </w:p>
    <w:p>
      <w:pPr>
        <w:spacing w:after="0"/>
        <w:tabs>
          <w:tab w:leader="none" w:pos="840" w:val="left"/>
          <w:tab w:leader="none" w:pos="3540" w:val="left"/>
        </w:tabs>
        <w:rPr>
          <w:sz w:val="20"/>
          <w:szCs w:val="20"/>
          <w:color w:val="auto"/>
        </w:rPr>
      </w:pPr>
      <w:r>
        <w:rPr>
          <w:rFonts w:ascii="Courier New" w:cs="Courier New" w:eastAsia="Courier New" w:hAnsi="Courier New"/>
          <w:sz w:val="16"/>
          <w:szCs w:val="16"/>
          <w:color w:val="auto"/>
        </w:rPr>
        <w:t>Item 2.</w:t>
        <w:tab/>
        <w:t>Affiliations with Obligor.</w:t>
      </w:r>
      <w:r>
        <w:rPr>
          <w:sz w:val="20"/>
          <w:szCs w:val="20"/>
          <w:color w:val="auto"/>
        </w:rPr>
        <w:tab/>
      </w:r>
      <w:r>
        <w:rPr>
          <w:rFonts w:ascii="Courier New" w:cs="Courier New" w:eastAsia="Courier New" w:hAnsi="Courier New"/>
          <w:sz w:val="15"/>
          <w:szCs w:val="15"/>
          <w:color w:val="auto"/>
        </w:rPr>
        <w:t>If the obligor is an affiliate of the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trustee, describe each such affiliation.</w:t>
      </w:r>
    </w:p>
    <w:p>
      <w:pPr>
        <w:spacing w:after="0" w:line="188"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None with respect to the trustee.</w:t>
      </w:r>
    </w:p>
    <w:p>
      <w:pPr>
        <w:spacing w:after="0" w:line="190"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No responses are included for Items 3-14 of this Form T-1 because the obligor is not in default as provided under Item 13.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40" w:type="dxa"/>
            <w:vAlign w:val="bottom"/>
          </w:tcPr>
          <w:p>
            <w:pPr>
              <w:spacing w:after="0"/>
              <w:rPr>
                <w:sz w:val="20"/>
                <w:szCs w:val="20"/>
                <w:color w:val="auto"/>
              </w:rPr>
            </w:pPr>
            <w:r>
              <w:rPr>
                <w:rFonts w:ascii="Courier New" w:cs="Courier New" w:eastAsia="Courier New" w:hAnsi="Courier New"/>
                <w:sz w:val="16"/>
                <w:szCs w:val="16"/>
                <w:color w:val="auto"/>
              </w:rPr>
              <w:t>Item 15.  Foreign Trustee.</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Not applicable.</w:t>
            </w:r>
          </w:p>
        </w:tc>
      </w:tr>
      <w:tr>
        <w:trPr>
          <w:trHeight w:val="185"/>
        </w:trPr>
        <w:tc>
          <w:tcPr>
            <w:tcW w:w="2640" w:type="dxa"/>
            <w:vAlign w:val="bottom"/>
          </w:tcPr>
          <w:p>
            <w:pPr>
              <w:ind w:left="96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spacing w:after="0"/>
              <w:rPr>
                <w:sz w:val="16"/>
                <w:szCs w:val="16"/>
                <w:color w:val="auto"/>
              </w:rPr>
            </w:pPr>
          </w:p>
        </w:tc>
      </w:tr>
      <w:tr>
        <w:trPr>
          <w:trHeight w:val="370"/>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w w:val="99"/>
              </w:rPr>
              <w:t>Item 16.  List of Exhibits.</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List below all exhibits filed as a part of this</w:t>
            </w:r>
          </w:p>
        </w:tc>
      </w:tr>
      <w:tr>
        <w:trPr>
          <w:trHeight w:val="185"/>
        </w:trPr>
        <w:tc>
          <w:tcPr>
            <w:tcW w:w="2640" w:type="dxa"/>
            <w:vAlign w:val="bottom"/>
          </w:tcPr>
          <w:p>
            <w:pPr>
              <w:ind w:left="960"/>
              <w:spacing w:after="0"/>
              <w:rPr>
                <w:sz w:val="20"/>
                <w:szCs w:val="20"/>
                <w:color w:val="auto"/>
              </w:rPr>
            </w:pPr>
            <w:r>
              <w:rPr>
                <w:rFonts w:ascii="Courier New" w:cs="Courier New" w:eastAsia="Courier New" w:hAnsi="Courier New"/>
                <w:sz w:val="16"/>
                <w:szCs w:val="16"/>
                <w:color w:val="auto"/>
              </w:rPr>
              <w:t>-----------------</w:t>
            </w: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w w:val="99"/>
              </w:rPr>
              <w:t>Statement of Eligibility. Norwest Bank incorporates</w:t>
            </w:r>
          </w:p>
        </w:tc>
      </w:tr>
      <w:tr>
        <w:trPr>
          <w:trHeight w:val="185"/>
        </w:trPr>
        <w:tc>
          <w:tcPr>
            <w:tcW w:w="2640" w:type="dxa"/>
            <w:vAlign w:val="bottom"/>
          </w:tcPr>
          <w:p>
            <w:pPr>
              <w:spacing w:after="0"/>
              <w:rPr>
                <w:sz w:val="16"/>
                <w:szCs w:val="16"/>
                <w:color w:val="auto"/>
              </w:rPr>
            </w:pP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by reference into this Form T-1 the exhibits</w:t>
            </w:r>
          </w:p>
        </w:tc>
      </w:tr>
      <w:tr>
        <w:trPr>
          <w:trHeight w:val="185"/>
        </w:trPr>
        <w:tc>
          <w:tcPr>
            <w:tcW w:w="2640" w:type="dxa"/>
            <w:vAlign w:val="bottom"/>
          </w:tcPr>
          <w:p>
            <w:pPr>
              <w:spacing w:after="0"/>
              <w:rPr>
                <w:sz w:val="16"/>
                <w:szCs w:val="16"/>
                <w:color w:val="auto"/>
              </w:rPr>
            </w:pPr>
          </w:p>
        </w:tc>
        <w:tc>
          <w:tcPr>
            <w:tcW w:w="5040" w:type="dxa"/>
            <w:vAlign w:val="bottom"/>
          </w:tcPr>
          <w:p>
            <w:pPr>
              <w:ind w:left="140"/>
              <w:spacing w:after="0"/>
              <w:rPr>
                <w:sz w:val="20"/>
                <w:szCs w:val="20"/>
                <w:color w:val="auto"/>
              </w:rPr>
            </w:pPr>
            <w:r>
              <w:rPr>
                <w:rFonts w:ascii="Courier New" w:cs="Courier New" w:eastAsia="Courier New" w:hAnsi="Courier New"/>
                <w:sz w:val="16"/>
                <w:szCs w:val="16"/>
                <w:color w:val="auto"/>
              </w:rPr>
              <w:t>attached hereto.</w:t>
            </w:r>
          </w:p>
        </w:tc>
      </w:tr>
      <w:tr>
        <w:trPr>
          <w:trHeight w:val="370"/>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rPr>
              <w:t>Exhibit 1.  a.  A copy</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w w:val="99"/>
              </w:rPr>
              <w:t>of the Articles of Association of the trustee now in</w:t>
            </w:r>
          </w:p>
        </w:tc>
      </w:tr>
      <w:tr>
        <w:trPr>
          <w:trHeight w:val="185"/>
        </w:trPr>
        <w:tc>
          <w:tcPr>
            <w:tcW w:w="7680" w:type="dxa"/>
            <w:vAlign w:val="bottom"/>
            <w:gridSpan w:val="2"/>
          </w:tcPr>
          <w:p>
            <w:pPr>
              <w:ind w:left="2020"/>
              <w:spacing w:after="0"/>
              <w:rPr>
                <w:sz w:val="20"/>
                <w:szCs w:val="20"/>
                <w:color w:val="auto"/>
              </w:rPr>
            </w:pPr>
            <w:r>
              <w:rPr>
                <w:rFonts w:ascii="Courier New" w:cs="Courier New" w:eastAsia="Courier New" w:hAnsi="Courier New"/>
                <w:sz w:val="16"/>
                <w:szCs w:val="16"/>
                <w:color w:val="auto"/>
              </w:rPr>
              <w:t>effect.*</w:t>
            </w:r>
          </w:p>
        </w:tc>
      </w:tr>
      <w:tr>
        <w:trPr>
          <w:trHeight w:val="370"/>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rPr>
              <w:t>Exhibit 2.  a.  A copy</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of the certificate of authority of the trustee to</w:t>
            </w:r>
          </w:p>
        </w:tc>
      </w:tr>
      <w:tr>
        <w:trPr>
          <w:trHeight w:val="185"/>
        </w:trPr>
        <w:tc>
          <w:tcPr>
            <w:tcW w:w="7680" w:type="dxa"/>
            <w:vAlign w:val="bottom"/>
            <w:gridSpan w:val="2"/>
          </w:tcPr>
          <w:p>
            <w:pPr>
              <w:ind w:left="2020"/>
              <w:spacing w:after="0"/>
              <w:rPr>
                <w:sz w:val="20"/>
                <w:szCs w:val="20"/>
                <w:color w:val="auto"/>
              </w:rPr>
            </w:pPr>
            <w:r>
              <w:rPr>
                <w:rFonts w:ascii="Courier New" w:cs="Courier New" w:eastAsia="Courier New" w:hAnsi="Courier New"/>
                <w:sz w:val="16"/>
                <w:szCs w:val="16"/>
                <w:color w:val="auto"/>
              </w:rPr>
              <w:t>commence business issued June 28, 1872, by the Comptroller</w:t>
            </w:r>
          </w:p>
        </w:tc>
      </w:tr>
      <w:tr>
        <w:trPr>
          <w:trHeight w:val="185"/>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rPr>
              <w:t>of the</w:t>
            </w:r>
          </w:p>
        </w:tc>
        <w:tc>
          <w:tcPr>
            <w:tcW w:w="5040" w:type="dxa"/>
            <w:vAlign w:val="bottom"/>
          </w:tcPr>
          <w:p>
            <w:pPr>
              <w:ind w:left="40"/>
              <w:spacing w:after="0"/>
              <w:rPr>
                <w:sz w:val="20"/>
                <w:szCs w:val="20"/>
                <w:color w:val="auto"/>
              </w:rPr>
            </w:pPr>
            <w:r>
              <w:rPr>
                <w:rFonts w:ascii="Courier New" w:cs="Courier New" w:eastAsia="Courier New" w:hAnsi="Courier New"/>
                <w:sz w:val="16"/>
                <w:szCs w:val="16"/>
                <w:color w:val="auto"/>
              </w:rPr>
              <w:t>Currency to The Northwestern National Bank of</w:t>
            </w:r>
          </w:p>
        </w:tc>
      </w:tr>
    </w:tbl>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Minneapolis.*</w:t>
      </w:r>
    </w:p>
    <w:p>
      <w:pPr>
        <w:spacing w:after="0" w:line="190" w:lineRule="exact"/>
        <w:rPr>
          <w:sz w:val="20"/>
          <w:szCs w:val="20"/>
          <w:color w:val="auto"/>
        </w:rPr>
      </w:pPr>
    </w:p>
    <w:p>
      <w:pPr>
        <w:ind w:left="2020" w:right="2539" w:hanging="388"/>
        <w:spacing w:after="0" w:line="263" w:lineRule="auto"/>
        <w:tabs>
          <w:tab w:leader="none" w:pos="202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the Comptroller of the Currency dated January 2, 1934, approving the consolidation of The Northwestern National Bank of Minneapolis and The Minnesota Loan and Trust Company of Minneapolis, with the surviving entity being titled Northwestern National Bank and Trust Company of Minneapolis.*</w:t>
      </w:r>
    </w:p>
    <w:p>
      <w:pPr>
        <w:spacing w:after="0" w:line="176" w:lineRule="exact"/>
        <w:rPr>
          <w:rFonts w:ascii="Courier New" w:cs="Courier New" w:eastAsia="Courier New" w:hAnsi="Courier New"/>
          <w:sz w:val="15"/>
          <w:szCs w:val="15"/>
          <w:color w:val="auto"/>
        </w:rPr>
      </w:pPr>
    </w:p>
    <w:p>
      <w:pPr>
        <w:ind w:left="2020" w:right="2639" w:hanging="388"/>
        <w:spacing w:after="0" w:line="265" w:lineRule="auto"/>
        <w:tabs>
          <w:tab w:leader="none" w:pos="202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the Acting Comptroller of the Currency dated January 12, 1943, as to change of corporate title of Northwestern National Bank and Trust Company of Minneapolis to Northwestern National Bank of Minneapolis.*</w:t>
      </w:r>
    </w:p>
    <w:p>
      <w:pPr>
        <w:sectPr>
          <w:pgSz w:w="11900" w:h="16838" w:orient="portrait"/>
          <w:cols w:equalWidth="0" w:num="1">
            <w:col w:w="10219"/>
          </w:cols>
          <w:pgMar w:left="240" w:top="670" w:right="1440" w:bottom="1440" w:gutter="0" w:footer="0" w:header="0"/>
        </w:sectPr>
      </w:pPr>
    </w:p>
    <w:bookmarkStart w:id="261" w:name="page262"/>
    <w:bookmarkEnd w:id="261"/>
    <w:p>
      <w:pPr>
        <w:ind w:left="1541" w:right="2539" w:hanging="388"/>
        <w:spacing w:after="0" w:line="244" w:lineRule="auto"/>
        <w:tabs>
          <w:tab w:leader="none" w:pos="1541"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letter dated May 12, 1983 from the Regional Counsel, Comptroller of the Currency, acknowledging receipt of notice of name change effective May 1, 1983 from Northwestern National Bank of Minneapolis to Norwest Bank Minneapolis, National Association.*</w:t>
      </w:r>
    </w:p>
    <w:p>
      <w:pPr>
        <w:spacing w:after="0" w:line="187" w:lineRule="exact"/>
        <w:rPr>
          <w:rFonts w:ascii="Courier New" w:cs="Courier New" w:eastAsia="Courier New" w:hAnsi="Courier New"/>
          <w:sz w:val="16"/>
          <w:szCs w:val="16"/>
          <w:color w:val="auto"/>
        </w:rPr>
      </w:pPr>
    </w:p>
    <w:p>
      <w:pPr>
        <w:ind w:left="1541" w:right="2639" w:hanging="388"/>
        <w:spacing w:after="0" w:line="263" w:lineRule="auto"/>
        <w:tabs>
          <w:tab w:leader="none" w:pos="1541"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letter dated January 4, 1988 from the Administrator of National Banks for the Comptroller of the Currency certifying approval of consolidation and merger effective January 1, 1988 of Norwest Bank Minneapolis, National Association with various other banks under the title of "Norwest Bank Minnesota, National Association."*</w:t>
      </w:r>
    </w:p>
    <w:p>
      <w:pPr>
        <w:spacing w:after="0" w:line="176" w:lineRule="exact"/>
        <w:rPr>
          <w:sz w:val="20"/>
          <w:szCs w:val="20"/>
          <w:color w:val="auto"/>
        </w:rPr>
      </w:pPr>
    </w:p>
    <w:p>
      <w:pPr>
        <w:ind w:left="1161" w:right="2719" w:hanging="1152"/>
        <w:spacing w:after="0" w:line="243" w:lineRule="auto"/>
        <w:tabs>
          <w:tab w:leader="none" w:pos="1141" w:val="left"/>
        </w:tabs>
        <w:rPr>
          <w:sz w:val="20"/>
          <w:szCs w:val="20"/>
          <w:color w:val="auto"/>
        </w:rPr>
      </w:pPr>
      <w:r>
        <w:rPr>
          <w:rFonts w:ascii="Courier New" w:cs="Courier New" w:eastAsia="Courier New" w:hAnsi="Courier New"/>
          <w:sz w:val="16"/>
          <w:szCs w:val="16"/>
          <w:color w:val="auto"/>
        </w:rPr>
        <w:t>Exhibit 3.</w:t>
        <w:tab/>
        <w:t>A copy of the authorization of the trustee to exercise corporate trust powers issued January 2, 1934, by the Federal Reserve Board.*</w:t>
      </w:r>
    </w:p>
    <w:p>
      <w:pPr>
        <w:spacing w:after="0" w:line="187" w:lineRule="exact"/>
        <w:rPr>
          <w:sz w:val="20"/>
          <w:szCs w:val="20"/>
          <w:color w:val="auto"/>
        </w:rPr>
      </w:pPr>
    </w:p>
    <w:p>
      <w:pPr>
        <w:ind w:left="1"/>
        <w:spacing w:after="0"/>
        <w:tabs>
          <w:tab w:leader="none" w:pos="1141" w:val="left"/>
        </w:tabs>
        <w:rPr>
          <w:sz w:val="20"/>
          <w:szCs w:val="20"/>
          <w:color w:val="auto"/>
        </w:rPr>
      </w:pPr>
      <w:r>
        <w:rPr>
          <w:rFonts w:ascii="Courier New" w:cs="Courier New" w:eastAsia="Courier New" w:hAnsi="Courier New"/>
          <w:sz w:val="16"/>
          <w:szCs w:val="16"/>
          <w:color w:val="auto"/>
        </w:rPr>
        <w:t>Exhibit 4.</w:t>
      </w:r>
      <w:r>
        <w:rPr>
          <w:sz w:val="20"/>
          <w:szCs w:val="20"/>
          <w:color w:val="auto"/>
        </w:rPr>
        <w:tab/>
      </w:r>
      <w:r>
        <w:rPr>
          <w:rFonts w:ascii="Courier New" w:cs="Courier New" w:eastAsia="Courier New" w:hAnsi="Courier New"/>
          <w:sz w:val="15"/>
          <w:szCs w:val="15"/>
          <w:color w:val="auto"/>
        </w:rPr>
        <w:t>Copy of By-laws of the trustee as now in effect.*</w:t>
      </w:r>
    </w:p>
    <w:p>
      <w:pPr>
        <w:spacing w:after="0" w:line="188" w:lineRule="exact"/>
        <w:rPr>
          <w:sz w:val="20"/>
          <w:szCs w:val="20"/>
          <w:color w:val="auto"/>
        </w:rPr>
      </w:pPr>
    </w:p>
    <w:p>
      <w:pPr>
        <w:ind w:left="1"/>
        <w:spacing w:after="0"/>
        <w:tabs>
          <w:tab w:leader="none" w:pos="1141" w:val="left"/>
        </w:tabs>
        <w:rPr>
          <w:sz w:val="20"/>
          <w:szCs w:val="20"/>
          <w:color w:val="auto"/>
        </w:rPr>
      </w:pPr>
      <w:r>
        <w:rPr>
          <w:rFonts w:ascii="Courier New" w:cs="Courier New" w:eastAsia="Courier New" w:hAnsi="Courier New"/>
          <w:sz w:val="16"/>
          <w:szCs w:val="16"/>
          <w:color w:val="auto"/>
        </w:rPr>
        <w:t>Exhibit 5.</w:t>
      </w:r>
      <w:r>
        <w:rPr>
          <w:sz w:val="20"/>
          <w:szCs w:val="20"/>
          <w:color w:val="auto"/>
        </w:rPr>
        <w:tab/>
      </w:r>
      <w:r>
        <w:rPr>
          <w:rFonts w:ascii="Courier New" w:cs="Courier New" w:eastAsia="Courier New" w:hAnsi="Courier New"/>
          <w:sz w:val="15"/>
          <w:szCs w:val="15"/>
          <w:color w:val="auto"/>
        </w:rPr>
        <w:t>Not applicable.</w:t>
      </w:r>
    </w:p>
    <w:p>
      <w:pPr>
        <w:spacing w:after="0" w:line="190" w:lineRule="exact"/>
        <w:rPr>
          <w:sz w:val="20"/>
          <w:szCs w:val="20"/>
          <w:color w:val="auto"/>
        </w:rPr>
      </w:pPr>
    </w:p>
    <w:p>
      <w:pPr>
        <w:ind w:left="1161" w:right="2819" w:hanging="1152"/>
        <w:spacing w:after="0" w:line="242" w:lineRule="auto"/>
        <w:tabs>
          <w:tab w:leader="none" w:pos="1141" w:val="left"/>
        </w:tabs>
        <w:rPr>
          <w:sz w:val="20"/>
          <w:szCs w:val="20"/>
          <w:color w:val="auto"/>
        </w:rPr>
      </w:pPr>
      <w:r>
        <w:rPr>
          <w:rFonts w:ascii="Courier New" w:cs="Courier New" w:eastAsia="Courier New" w:hAnsi="Courier New"/>
          <w:sz w:val="16"/>
          <w:szCs w:val="16"/>
          <w:color w:val="auto"/>
        </w:rPr>
        <w:t>Exhibit 6.</w:t>
        <w:tab/>
        <w:t>The consent of the trustee required by Section 321(b) of the Act.</w:t>
      </w:r>
    </w:p>
    <w:p>
      <w:pPr>
        <w:spacing w:after="0" w:line="189" w:lineRule="exact"/>
        <w:rPr>
          <w:sz w:val="20"/>
          <w:szCs w:val="20"/>
          <w:color w:val="auto"/>
        </w:rPr>
      </w:pPr>
    </w:p>
    <w:p>
      <w:pPr>
        <w:ind w:left="1161" w:right="3299" w:hanging="1152"/>
        <w:spacing w:after="0" w:line="243" w:lineRule="auto"/>
        <w:tabs>
          <w:tab w:leader="none" w:pos="1141" w:val="left"/>
        </w:tabs>
        <w:rPr>
          <w:sz w:val="20"/>
          <w:szCs w:val="20"/>
          <w:color w:val="auto"/>
        </w:rPr>
      </w:pPr>
      <w:r>
        <w:rPr>
          <w:rFonts w:ascii="Courier New" w:cs="Courier New" w:eastAsia="Courier New" w:hAnsi="Courier New"/>
          <w:sz w:val="16"/>
          <w:szCs w:val="16"/>
          <w:color w:val="auto"/>
        </w:rPr>
        <w:t>Exhibit 7.</w:t>
        <w:tab/>
        <w:t>A copy of the latest report of condition of the trustee published pursuant to law or the requirements of its supervising or examining authority.**</w:t>
      </w:r>
    </w:p>
    <w:p>
      <w:pPr>
        <w:spacing w:after="0" w:line="187" w:lineRule="exact"/>
        <w:rPr>
          <w:sz w:val="20"/>
          <w:szCs w:val="20"/>
          <w:color w:val="auto"/>
        </w:rPr>
      </w:pPr>
    </w:p>
    <w:p>
      <w:pPr>
        <w:ind w:left="1"/>
        <w:spacing w:after="0"/>
        <w:tabs>
          <w:tab w:leader="none" w:pos="1141" w:val="left"/>
        </w:tabs>
        <w:rPr>
          <w:sz w:val="20"/>
          <w:szCs w:val="20"/>
          <w:color w:val="auto"/>
        </w:rPr>
      </w:pPr>
      <w:r>
        <w:rPr>
          <w:rFonts w:ascii="Courier New" w:cs="Courier New" w:eastAsia="Courier New" w:hAnsi="Courier New"/>
          <w:sz w:val="16"/>
          <w:szCs w:val="16"/>
          <w:color w:val="auto"/>
        </w:rPr>
        <w:t>Exhibit 8.</w:t>
      </w:r>
      <w:r>
        <w:rPr>
          <w:sz w:val="20"/>
          <w:szCs w:val="20"/>
          <w:color w:val="auto"/>
        </w:rPr>
        <w:tab/>
      </w:r>
      <w:r>
        <w:rPr>
          <w:rFonts w:ascii="Courier New" w:cs="Courier New" w:eastAsia="Courier New" w:hAnsi="Courier New"/>
          <w:sz w:val="15"/>
          <w:szCs w:val="15"/>
          <w:color w:val="auto"/>
        </w:rPr>
        <w:t>Not applicable.</w:t>
      </w:r>
    </w:p>
    <w:p>
      <w:pPr>
        <w:spacing w:after="0" w:line="188" w:lineRule="exact"/>
        <w:rPr>
          <w:sz w:val="20"/>
          <w:szCs w:val="20"/>
          <w:color w:val="auto"/>
        </w:rPr>
      </w:pPr>
    </w:p>
    <w:p>
      <w:pPr>
        <w:ind w:left="1"/>
        <w:spacing w:after="0"/>
        <w:tabs>
          <w:tab w:leader="none" w:pos="1141" w:val="left"/>
        </w:tabs>
        <w:rPr>
          <w:sz w:val="20"/>
          <w:szCs w:val="20"/>
          <w:color w:val="auto"/>
        </w:rPr>
      </w:pPr>
      <w:r>
        <w:rPr>
          <w:rFonts w:ascii="Courier New" w:cs="Courier New" w:eastAsia="Courier New" w:hAnsi="Courier New"/>
          <w:sz w:val="16"/>
          <w:szCs w:val="16"/>
          <w:color w:val="auto"/>
        </w:rPr>
        <w:t>Exhibit 9.</w:t>
      </w:r>
      <w:r>
        <w:rPr>
          <w:sz w:val="20"/>
          <w:szCs w:val="20"/>
          <w:color w:val="auto"/>
        </w:rPr>
        <w:tab/>
      </w: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60" w:lineRule="exact"/>
        <w:rPr>
          <w:sz w:val="20"/>
          <w:szCs w:val="20"/>
          <w:color w:val="auto"/>
        </w:rPr>
      </w:pPr>
    </w:p>
    <w:p>
      <w:pPr>
        <w:ind w:left="481" w:right="2539" w:hanging="481"/>
        <w:spacing w:after="0" w:line="242" w:lineRule="auto"/>
        <w:tabs>
          <w:tab w:leader="none" w:pos="481"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 number 25 filed with registration statement number 33-66026.</w:t>
      </w:r>
    </w:p>
    <w:p>
      <w:pPr>
        <w:spacing w:after="0" w:line="189" w:lineRule="exact"/>
        <w:rPr>
          <w:sz w:val="20"/>
          <w:szCs w:val="20"/>
          <w:color w:val="auto"/>
        </w:rPr>
      </w:pPr>
    </w:p>
    <w:p>
      <w:pPr>
        <w:ind w:left="481" w:right="2539" w:hanging="481"/>
        <w:spacing w:after="0" w:line="267" w:lineRule="auto"/>
        <w:tabs>
          <w:tab w:leader="none" w:pos="481"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 number 7 to the Trustee's Form T-1 filed as exhibit 25.2 to Current Report on Form 8-K dated February 5, 1997 of Chase Manhattan Bank USA, N.A. file number 333-07575.</w:t>
      </w:r>
    </w:p>
    <w:p>
      <w:pPr>
        <w:sectPr>
          <w:pgSz w:w="11900" w:h="16838" w:orient="portrait"/>
          <w:cols w:equalWidth="0" w:num="1">
            <w:col w:w="9740"/>
          </w:cols>
          <w:pgMar w:left="719" w:top="671" w:right="1440" w:bottom="1440" w:gutter="0" w:footer="0" w:header="0"/>
        </w:sectPr>
      </w:pPr>
    </w:p>
    <w:bookmarkStart w:id="262" w:name="page263"/>
    <w:bookmarkEnd w:id="262"/>
    <w:p>
      <w:pPr>
        <w:ind w:left="3360"/>
        <w:spacing w:after="0"/>
        <w:rPr>
          <w:sz w:val="20"/>
          <w:szCs w:val="20"/>
          <w:color w:val="auto"/>
        </w:rPr>
      </w:pPr>
      <w:r>
        <w:rPr>
          <w:rFonts w:ascii="Courier New" w:cs="Courier New" w:eastAsia="Courier New" w:hAnsi="Courier New"/>
          <w:sz w:val="16"/>
          <w:szCs w:val="16"/>
          <w:color w:val="auto"/>
        </w:rPr>
        <w:t>SIGNATURE</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Pursuant to the requirements of the Trust Indenture Act of 1939, as amended, the trustee, Norwest Bank Minnesota,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30th day of May, 1997.</w:t>
      </w:r>
    </w:p>
    <w:p>
      <w:pPr>
        <w:spacing w:after="0" w:line="200" w:lineRule="exact"/>
        <w:rPr>
          <w:sz w:val="20"/>
          <w:szCs w:val="20"/>
          <w:color w:val="auto"/>
        </w:rPr>
      </w:pPr>
    </w:p>
    <w:p>
      <w:pPr>
        <w:spacing w:after="0" w:line="355"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NORWEST BANK MINNESOTA,</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NATIONAL ASSOCIATION</w:t>
      </w:r>
    </w:p>
    <w:p>
      <w:pPr>
        <w:spacing w:after="0" w:line="18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/s/ Raymond S. Haverstock</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Raymond S. Haverstock</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Vice President</w:t>
      </w:r>
    </w:p>
    <w:p>
      <w:pPr>
        <w:sectPr>
          <w:pgSz w:w="11900" w:h="16838" w:orient="portrait"/>
          <w:cols w:equalWidth="0" w:num="1">
            <w:col w:w="10219"/>
          </w:cols>
          <w:pgMar w:left="240" w:top="670" w:right="1440" w:bottom="1440" w:gutter="0" w:footer="0" w:header="0"/>
        </w:sectPr>
      </w:pPr>
    </w:p>
    <w:bookmarkStart w:id="263" w:name="page264"/>
    <w:bookmarkEnd w:id="263"/>
    <w:p>
      <w:pPr>
        <w:ind w:left="3360"/>
        <w:spacing w:after="0"/>
        <w:rPr>
          <w:sz w:val="20"/>
          <w:szCs w:val="20"/>
          <w:color w:val="auto"/>
        </w:rPr>
      </w:pPr>
      <w:r>
        <w:rPr>
          <w:rFonts w:ascii="Courier New" w:cs="Courier New" w:eastAsia="Courier New" w:hAnsi="Courier New"/>
          <w:sz w:val="16"/>
          <w:szCs w:val="16"/>
          <w:color w:val="auto"/>
        </w:rPr>
        <w:t>EXHIBIT 6</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30, 1997</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Washington, D.C.</w:t>
        <w:tab/>
        <w:t>20549</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200" w:lineRule="exact"/>
        <w:rPr>
          <w:sz w:val="20"/>
          <w:szCs w:val="20"/>
          <w:color w:val="auto"/>
        </w:rPr>
      </w:pPr>
    </w:p>
    <w:p>
      <w:pPr>
        <w:spacing w:after="0" w:line="355"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NORWEST BANK MINNESOTA,</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NATIONAL ASSOCIATION</w:t>
      </w:r>
    </w:p>
    <w:p>
      <w:pPr>
        <w:spacing w:after="0" w:line="188"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/s/ Raymond S. Haverstock</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Raymond S. Haverstock</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Vice President</w:t>
      </w:r>
    </w:p>
    <w:p>
      <w:pPr>
        <w:sectPr>
          <w:pgSz w:w="11900" w:h="16838" w:orient="portrait"/>
          <w:cols w:equalWidth="0" w:num="1">
            <w:col w:w="10219"/>
          </w:cols>
          <w:pgMar w:left="240" w:top="670" w:right="1440" w:bottom="1440" w:gutter="0" w:footer="0" w:header="0"/>
        </w:sectPr>
      </w:pPr>
    </w:p>
    <w:bookmarkStart w:id="264" w:name="page265"/>
    <w:bookmarkEnd w:id="264"/>
    <w:p>
      <w:pPr>
        <w:jc w:val="right"/>
        <w:ind w:right="2539"/>
        <w:spacing w:after="0"/>
        <w:rPr>
          <w:sz w:val="20"/>
          <w:szCs w:val="20"/>
          <w:color w:val="auto"/>
        </w:rPr>
      </w:pPr>
      <w:r>
        <w:rPr>
          <w:rFonts w:ascii="Courier New" w:cs="Courier New" w:eastAsia="Courier New" w:hAnsi="Courier New"/>
          <w:sz w:val="16"/>
          <w:szCs w:val="16"/>
          <w:color w:val="auto"/>
        </w:rPr>
        <w:t>EXHIBIT 25.2</w:t>
      </w:r>
    </w:p>
    <w:p>
      <w:pPr>
        <w:spacing w:after="0" w:line="188"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8" w:lineRule="exact"/>
        <w:rPr>
          <w:sz w:val="20"/>
          <w:szCs w:val="20"/>
          <w:color w:val="auto"/>
        </w:rPr>
      </w:pPr>
    </w:p>
    <w:p>
      <w:pPr>
        <w:jc w:val="center"/>
        <w:ind w:right="2638"/>
        <w:spacing w:after="0"/>
        <w:tabs>
          <w:tab w:leader="none" w:pos="180" w:val="left"/>
        </w:tabs>
        <w:rPr>
          <w:sz w:val="20"/>
          <w:szCs w:val="20"/>
          <w:color w:val="auto"/>
        </w:rPr>
      </w:pPr>
      <w:r>
        <w:rPr>
          <w:rFonts w:ascii="Courier New" w:cs="Courier New" w:eastAsia="Courier New" w:hAnsi="Courier New"/>
          <w:sz w:val="16"/>
          <w:szCs w:val="16"/>
          <w:color w:val="auto"/>
        </w:rPr>
        <w:t>Washington, D.C.</w:t>
        <w:tab/>
        <w:t>20549</w:t>
      </w:r>
    </w:p>
    <w:p>
      <w:pPr>
        <w:spacing w:after="0" w:line="4"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_____________________________</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FORM T-1</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STATEMENT OF ELIGIBILITY</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UNDER THE TRUST INDENTURE ACT OF 1939 OF A</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CORPORATION DESIGNATED TO ACT AS TRUSTEE</w:t>
      </w:r>
    </w:p>
    <w:p>
      <w:pPr>
        <w:spacing w:after="0" w:line="4"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_____________________________</w:t>
      </w:r>
    </w:p>
    <w:p>
      <w:pPr>
        <w:spacing w:after="0" w:line="188"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X   CHECK IF AN APPLICATION TO DETERMINE ELIGIBILITY OF A TRUSTEE PURSUANT TO</w:t>
      </w:r>
    </w:p>
    <w:p>
      <w:pPr>
        <w:spacing w:after="0" w:line="3" w:lineRule="exact"/>
        <w:rPr>
          <w:sz w:val="20"/>
          <w:szCs w:val="20"/>
          <w:color w:val="auto"/>
        </w:rPr>
      </w:pPr>
    </w:p>
    <w:p>
      <w:pPr>
        <w:ind w:left="201" w:hanging="201"/>
        <w:spacing w:after="0"/>
        <w:tabs>
          <w:tab w:leader="none" w:pos="201"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SECTION 305(b) (2)</w:t>
      </w:r>
    </w:p>
    <w:p>
      <w:pPr>
        <w:spacing w:after="0" w:line="188"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NORWEST BANK MINNESOTA, NATIONAL ASSOCIATION</w:t>
      </w:r>
    </w:p>
    <w:p>
      <w:pPr>
        <w:spacing w:after="0" w:line="4"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(Exact name of trustee as specified in its charter)</w:t>
      </w:r>
    </w:p>
    <w:p>
      <w:pPr>
        <w:sectPr>
          <w:pgSz w:w="11900" w:h="16838" w:orient="portrait"/>
          <w:cols w:equalWidth="0" w:num="1">
            <w:col w:w="10221"/>
          </w:cols>
          <w:pgMar w:left="239" w:top="509" w:right="1440" w:bottom="1440" w:gutter="0" w:footer="0" w:header="0"/>
        </w:sectPr>
      </w:pPr>
    </w:p>
    <w:p>
      <w:pPr>
        <w:spacing w:after="0" w:line="190" w:lineRule="exact"/>
        <w:rPr>
          <w:sz w:val="20"/>
          <w:szCs w:val="20"/>
          <w:color w:val="auto"/>
        </w:rPr>
      </w:pPr>
    </w:p>
    <w:p>
      <w:pPr>
        <w:ind w:left="1" w:right="620"/>
        <w:spacing w:after="0" w:line="243" w:lineRule="auto"/>
        <w:rPr>
          <w:sz w:val="20"/>
          <w:szCs w:val="20"/>
          <w:color w:val="auto"/>
        </w:rPr>
      </w:pPr>
      <w:r>
        <w:rPr>
          <w:rFonts w:ascii="Courier New" w:cs="Courier New" w:eastAsia="Courier New" w:hAnsi="Courier New"/>
          <w:sz w:val="16"/>
          <w:szCs w:val="16"/>
          <w:color w:val="auto"/>
        </w:rPr>
        <w:t>A U.S. NATIONAL BANKING ASSOCIATION (Jurisdiction of incorporation or organization if not a U.S. national bank)</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41-1592157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373" w:lineRule="exact"/>
        <w:rPr>
          <w:sz w:val="20"/>
          <w:szCs w:val="20"/>
          <w:color w:val="auto"/>
        </w:rPr>
      </w:pPr>
    </w:p>
    <w:p>
      <w:pPr>
        <w:sectPr>
          <w:pgSz w:w="11900" w:h="16838" w:orient="portrait"/>
          <w:cols w:equalWidth="0" w:num="2">
            <w:col w:w="3981" w:space="720"/>
            <w:col w:w="5519"/>
          </w:cols>
          <w:pgMar w:left="239" w:top="509"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SIXTH STREET AND MARQUETTE AVENUE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Minneapolis, Minnesota</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55479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382" w:lineRule="exact"/>
        <w:rPr>
          <w:sz w:val="20"/>
          <w:szCs w:val="20"/>
          <w:color w:val="auto"/>
        </w:rPr>
      </w:pPr>
    </w:p>
    <w:p>
      <w:pPr>
        <w:sectPr>
          <w:pgSz w:w="11900" w:h="16838" w:orient="portrait"/>
          <w:cols w:equalWidth="0" w:num="2">
            <w:col w:w="3981" w:space="720"/>
            <w:col w:w="5519"/>
          </w:cols>
          <w:pgMar w:left="239" w:top="509" w:right="1440" w:bottom="1440" w:gutter="0" w:footer="0" w:header="0"/>
          <w:type w:val="continuous"/>
        </w:sectPr>
      </w:pPr>
    </w:p>
    <w:p>
      <w:pPr>
        <w:ind w:left="2201"/>
        <w:spacing w:after="0"/>
        <w:rPr>
          <w:sz w:val="20"/>
          <w:szCs w:val="20"/>
          <w:color w:val="auto"/>
        </w:rPr>
      </w:pPr>
      <w:r>
        <w:rPr>
          <w:rFonts w:ascii="Courier New" w:cs="Courier New" w:eastAsia="Courier New" w:hAnsi="Courier New"/>
          <w:sz w:val="16"/>
          <w:szCs w:val="16"/>
          <w:color w:val="auto"/>
        </w:rPr>
        <w:t>Stanley S. Stroup, General Counsel</w:t>
      </w:r>
    </w:p>
    <w:p>
      <w:pPr>
        <w:spacing w:after="0" w:line="4"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NORWEST BANK MINNESOTA, NATIONAL ASSOCIATION</w:t>
      </w:r>
    </w:p>
    <w:p>
      <w:pPr>
        <w:spacing w:after="0" w:line="4"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color w:val="auto"/>
        </w:rPr>
        <w:t>Sixth Street and Marquette Avenue</w:t>
      </w:r>
    </w:p>
    <w:p>
      <w:pPr>
        <w:spacing w:after="0" w:line="4" w:lineRule="exact"/>
        <w:rPr>
          <w:sz w:val="20"/>
          <w:szCs w:val="20"/>
          <w:color w:val="auto"/>
        </w:rPr>
      </w:pPr>
    </w:p>
    <w:p>
      <w:pPr>
        <w:ind w:left="2401"/>
        <w:spacing w:after="0"/>
        <w:tabs>
          <w:tab w:leader="none" w:pos="4681" w:val="left"/>
        </w:tabs>
        <w:rPr>
          <w:sz w:val="20"/>
          <w:szCs w:val="20"/>
          <w:color w:val="auto"/>
        </w:rPr>
      </w:pPr>
      <w:r>
        <w:rPr>
          <w:rFonts w:ascii="Courier New" w:cs="Courier New" w:eastAsia="Courier New" w:hAnsi="Courier New"/>
          <w:sz w:val="16"/>
          <w:szCs w:val="16"/>
          <w:color w:val="auto"/>
        </w:rPr>
        <w:t>Minneapolis, Minnesota</w:t>
        <w:tab/>
        <w:t>55479</w:t>
      </w:r>
    </w:p>
    <w:p>
      <w:pPr>
        <w:spacing w:after="0" w:line="4" w:lineRule="exact"/>
        <w:rPr>
          <w:sz w:val="20"/>
          <w:szCs w:val="20"/>
          <w:color w:val="auto"/>
        </w:rPr>
      </w:pPr>
    </w:p>
    <w:p>
      <w:pPr>
        <w:ind w:left="3741" w:hanging="571"/>
        <w:spacing w:after="0"/>
        <w:tabs>
          <w:tab w:leader="none" w:pos="3741"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667-1234</w:t>
      </w:r>
    </w:p>
    <w:p>
      <w:pPr>
        <w:spacing w:after="0" w:line="3" w:lineRule="exact"/>
        <w:rPr>
          <w:rFonts w:ascii="Courier New" w:cs="Courier New" w:eastAsia="Courier New" w:hAnsi="Courier New"/>
          <w:sz w:val="16"/>
          <w:szCs w:val="16"/>
          <w:color w:val="auto"/>
        </w:rPr>
      </w:pPr>
    </w:p>
    <w:p>
      <w:pPr>
        <w:ind w:left="2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(Agent for Service)</w:t>
      </w:r>
    </w:p>
    <w:p>
      <w:pPr>
        <w:spacing w:after="0" w:line="4" w:lineRule="exact"/>
        <w:rPr>
          <w:sz w:val="20"/>
          <w:szCs w:val="20"/>
          <w:color w:val="auto"/>
        </w:rPr>
      </w:pPr>
    </w:p>
    <w:p>
      <w:pPr>
        <w:ind w:left="2401"/>
        <w:spacing w:after="0"/>
        <w:rPr>
          <w:sz w:val="20"/>
          <w:szCs w:val="20"/>
          <w:color w:val="auto"/>
        </w:rPr>
      </w:pPr>
      <w:r>
        <w:rPr>
          <w:rFonts w:ascii="Courier New" w:cs="Courier New" w:eastAsia="Courier New" w:hAnsi="Courier New"/>
          <w:sz w:val="16"/>
          <w:szCs w:val="16"/>
          <w:color w:val="auto"/>
        </w:rPr>
        <w:t>_____________________________</w:t>
      </w:r>
    </w:p>
    <w:p>
      <w:pPr>
        <w:spacing w:after="0" w:line="188"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MICRON TECHNOLOGY, INC.</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(Exact name of obligor as specified in its charter)</w:t>
      </w:r>
    </w:p>
    <w:p>
      <w:pPr>
        <w:sectPr>
          <w:pgSz w:w="11900" w:h="16838" w:orient="portrait"/>
          <w:cols w:equalWidth="0" w:num="1">
            <w:col w:w="10221"/>
          </w:cols>
          <w:pgMar w:left="239" w:top="509" w:right="1440" w:bottom="1440" w:gutter="0" w:footer="0" w:header="0"/>
          <w:type w:val="continuous"/>
        </w:sectPr>
      </w:pP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(State or other jurisdiction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75-1618004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88" w:lineRule="exact"/>
        <w:rPr>
          <w:sz w:val="20"/>
          <w:szCs w:val="20"/>
          <w:color w:val="auto"/>
        </w:rPr>
      </w:pPr>
    </w:p>
    <w:p>
      <w:pPr>
        <w:sectPr>
          <w:pgSz w:w="11900" w:h="16838" w:orient="portrait"/>
          <w:cols w:equalWidth="0" w:num="2">
            <w:col w:w="3981" w:space="720"/>
            <w:col w:w="5519"/>
          </w:cols>
          <w:pgMar w:left="239" w:top="509"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8000 SOUTH FEDERAL WAY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BOISE, ID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83707-0006</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382" w:lineRule="exact"/>
        <w:rPr>
          <w:sz w:val="20"/>
          <w:szCs w:val="20"/>
          <w:color w:val="auto"/>
        </w:rPr>
      </w:pPr>
    </w:p>
    <w:p>
      <w:pPr>
        <w:sectPr>
          <w:pgSz w:w="11900" w:h="16838" w:orient="portrait"/>
          <w:cols w:equalWidth="0" w:num="2">
            <w:col w:w="3981" w:space="720"/>
            <w:col w:w="5519"/>
          </w:cols>
          <w:pgMar w:left="239" w:top="509" w:right="1440" w:bottom="1440" w:gutter="0" w:footer="0" w:header="0"/>
          <w:type w:val="continuous"/>
        </w:sectPr>
      </w:pPr>
    </w:p>
    <w:p>
      <w:pPr>
        <w:ind w:left="2401"/>
        <w:spacing w:after="0"/>
        <w:rPr>
          <w:sz w:val="20"/>
          <w:szCs w:val="20"/>
          <w:color w:val="auto"/>
        </w:rPr>
      </w:pPr>
      <w:r>
        <w:rPr>
          <w:rFonts w:ascii="Courier New" w:cs="Courier New" w:eastAsia="Courier New" w:hAnsi="Courier New"/>
          <w:sz w:val="16"/>
          <w:szCs w:val="16"/>
          <w:color w:val="auto"/>
        </w:rPr>
        <w:t>_____________________________</w:t>
      </w:r>
    </w:p>
    <w:p>
      <w:pPr>
        <w:spacing w:after="0" w:line="4" w:lineRule="exact"/>
        <w:rPr>
          <w:sz w:val="20"/>
          <w:szCs w:val="20"/>
          <w:color w:val="auto"/>
        </w:rPr>
      </w:pPr>
    </w:p>
    <w:p>
      <w:pPr>
        <w:ind w:left="2501"/>
        <w:spacing w:after="0"/>
        <w:rPr>
          <w:sz w:val="20"/>
          <w:szCs w:val="20"/>
          <w:color w:val="auto"/>
        </w:rPr>
      </w:pPr>
      <w:r>
        <w:rPr>
          <w:rFonts w:ascii="Courier New" w:cs="Courier New" w:eastAsia="Courier New" w:hAnsi="Courier New"/>
          <w:sz w:val="16"/>
          <w:szCs w:val="16"/>
          <w:color w:val="auto"/>
        </w:rPr>
        <w:t>SUBORDINATED DEBT SECURITIES</w:t>
      </w:r>
    </w:p>
    <w:p>
      <w:pPr>
        <w:spacing w:after="0" w:line="5" w:lineRule="exact"/>
        <w:rPr>
          <w:sz w:val="20"/>
          <w:szCs w:val="20"/>
          <w:color w:val="auto"/>
        </w:rPr>
      </w:pPr>
    </w:p>
    <w:p>
      <w:pPr>
        <w:ind w:left="2121"/>
        <w:spacing w:after="0"/>
        <w:rPr>
          <w:sz w:val="20"/>
          <w:szCs w:val="20"/>
          <w:color w:val="auto"/>
        </w:rPr>
      </w:pPr>
      <w:r>
        <w:rPr>
          <w:rFonts w:ascii="Courier New" w:cs="Courier New" w:eastAsia="Courier New" w:hAnsi="Courier New"/>
          <w:sz w:val="15"/>
          <w:szCs w:val="15"/>
          <w:color w:val="auto"/>
        </w:rPr>
        <w:t>(Title of the indenture securities)</w:t>
      </w:r>
    </w:p>
    <w:p>
      <w:pPr>
        <w:spacing w:after="0" w:line="19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21"/>
          </w:cols>
          <w:pgMar w:left="239" w:top="509" w:right="1440" w:bottom="1440" w:gutter="0" w:footer="0" w:header="0"/>
          <w:type w:val="continuous"/>
        </w:sectPr>
      </w:pPr>
    </w:p>
    <w:bookmarkStart w:id="265" w:name="page266"/>
    <w:bookmarkEnd w:id="265"/>
    <w:p>
      <w:pPr>
        <w:spacing w:after="0"/>
        <w:tabs>
          <w:tab w:leader="none" w:pos="840" w:val="left"/>
          <w:tab w:leader="none" w:pos="2960" w:val="left"/>
        </w:tabs>
        <w:rPr>
          <w:sz w:val="20"/>
          <w:szCs w:val="20"/>
          <w:color w:val="auto"/>
        </w:rPr>
      </w:pPr>
      <w:r>
        <w:rPr>
          <w:rFonts w:ascii="Courier New" w:cs="Courier New" w:eastAsia="Courier New" w:hAnsi="Courier New"/>
          <w:sz w:val="16"/>
          <w:szCs w:val="16"/>
          <w:color w:val="auto"/>
        </w:rPr>
        <w:t>Item 1.</w:t>
        <w:tab/>
        <w:t>General Information.</w:t>
      </w:r>
      <w:r>
        <w:rPr>
          <w:sz w:val="20"/>
          <w:szCs w:val="20"/>
          <w:color w:val="auto"/>
        </w:rPr>
        <w:tab/>
      </w:r>
      <w:r>
        <w:rPr>
          <w:rFonts w:ascii="Courier New" w:cs="Courier New" w:eastAsia="Courier New" w:hAnsi="Courier New"/>
          <w:sz w:val="15"/>
          <w:szCs w:val="15"/>
          <w:color w:val="auto"/>
        </w:rPr>
        <w:t>Furnish the following information as to the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375" w:lineRule="exact"/>
        <w:rPr>
          <w:sz w:val="20"/>
          <w:szCs w:val="20"/>
          <w:color w:val="auto"/>
        </w:rPr>
      </w:pPr>
    </w:p>
    <w:p>
      <w:pPr>
        <w:ind w:left="1440" w:right="2819" w:hanging="481"/>
        <w:spacing w:after="0" w:line="242" w:lineRule="auto"/>
        <w:tabs>
          <w:tab w:leader="none" w:pos="1440"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 each examining or supervising authority to which it is subject.</w:t>
      </w:r>
    </w:p>
    <w:p>
      <w:pPr>
        <w:spacing w:after="0" w:line="188" w:lineRule="exact"/>
        <w:rPr>
          <w:rFonts w:ascii="Courier New" w:cs="Courier New" w:eastAsia="Courier New" w:hAnsi="Courier New"/>
          <w:sz w:val="16"/>
          <w:szCs w:val="16"/>
          <w:color w:val="auto"/>
        </w:rPr>
      </w:pPr>
    </w:p>
    <w:p>
      <w:pPr>
        <w:ind w:left="1440" w:right="617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Comptroller of the Currency Treasury Department Washington, D.C.</w:t>
      </w:r>
    </w:p>
    <w:p>
      <w:pPr>
        <w:spacing w:after="0" w:line="188" w:lineRule="exact"/>
        <w:rPr>
          <w:rFonts w:ascii="Courier New" w:cs="Courier New" w:eastAsia="Courier New" w:hAnsi="Courier New"/>
          <w:sz w:val="16"/>
          <w:szCs w:val="16"/>
          <w:color w:val="auto"/>
        </w:rPr>
      </w:pPr>
    </w:p>
    <w:p>
      <w:pPr>
        <w:ind w:left="1440" w:right="52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Federal Deposit Insurance Corporation Washington, D.C.</w:t>
      </w:r>
    </w:p>
    <w:p>
      <w:pPr>
        <w:spacing w:after="0" w:line="188" w:lineRule="exact"/>
        <w:rPr>
          <w:rFonts w:ascii="Courier New" w:cs="Courier New" w:eastAsia="Courier New" w:hAnsi="Courier New"/>
          <w:sz w:val="16"/>
          <w:szCs w:val="16"/>
          <w:color w:val="auto"/>
        </w:rPr>
      </w:pPr>
    </w:p>
    <w:p>
      <w:pPr>
        <w:ind w:left="1440" w:right="37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Governors of the Federal Reserve System Washington, D.C.</w:t>
      </w:r>
    </w:p>
    <w:p>
      <w:pPr>
        <w:spacing w:after="0" w:line="186" w:lineRule="exact"/>
        <w:rPr>
          <w:rFonts w:ascii="Courier New" w:cs="Courier New" w:eastAsia="Courier New" w:hAnsi="Courier New"/>
          <w:sz w:val="16"/>
          <w:szCs w:val="16"/>
          <w:color w:val="auto"/>
        </w:rPr>
      </w:pPr>
    </w:p>
    <w:p>
      <w:pPr>
        <w:ind w:left="1440" w:hanging="481"/>
        <w:spacing w:after="0"/>
        <w:tabs>
          <w:tab w:leader="none" w:pos="1440"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it is authorized to exercise corporate trust powers.</w:t>
      </w:r>
    </w:p>
    <w:p>
      <w:pPr>
        <w:spacing w:after="0" w:line="188"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The trustee is authorized to exercise corporate trust powers.</w:t>
      </w:r>
    </w:p>
    <w:p>
      <w:pPr>
        <w:spacing w:after="0" w:line="188" w:lineRule="exact"/>
        <w:rPr>
          <w:sz w:val="20"/>
          <w:szCs w:val="20"/>
          <w:color w:val="auto"/>
        </w:rPr>
      </w:pPr>
    </w:p>
    <w:p>
      <w:pPr>
        <w:spacing w:after="0"/>
        <w:tabs>
          <w:tab w:leader="none" w:pos="840" w:val="left"/>
          <w:tab w:leader="none" w:pos="3540" w:val="left"/>
        </w:tabs>
        <w:rPr>
          <w:sz w:val="20"/>
          <w:szCs w:val="20"/>
          <w:color w:val="auto"/>
        </w:rPr>
      </w:pPr>
      <w:r>
        <w:rPr>
          <w:rFonts w:ascii="Courier New" w:cs="Courier New" w:eastAsia="Courier New" w:hAnsi="Courier New"/>
          <w:sz w:val="16"/>
          <w:szCs w:val="16"/>
          <w:color w:val="auto"/>
        </w:rPr>
        <w:t>Item 2.</w:t>
        <w:tab/>
        <w:t>Affiliations with Obligor.</w:t>
      </w:r>
      <w:r>
        <w:rPr>
          <w:sz w:val="20"/>
          <w:szCs w:val="20"/>
          <w:color w:val="auto"/>
        </w:rPr>
        <w:tab/>
      </w:r>
      <w:r>
        <w:rPr>
          <w:rFonts w:ascii="Courier New" w:cs="Courier New" w:eastAsia="Courier New" w:hAnsi="Courier New"/>
          <w:sz w:val="15"/>
          <w:szCs w:val="15"/>
          <w:color w:val="auto"/>
        </w:rPr>
        <w:t>If the obligor is an affiliate of the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trustee, describe each such affiliation.</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None with respect to the trustee.</w:t>
      </w:r>
    </w:p>
    <w:p>
      <w:pPr>
        <w:spacing w:after="0" w:line="190"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No responses are included for Items 3-14 of this Form T-1 because the obligor is not in default as provided under Item 13.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 w:type="dxa"/>
            <w:vAlign w:val="bottom"/>
          </w:tcPr>
          <w:p>
            <w:pPr>
              <w:spacing w:after="0"/>
              <w:rPr>
                <w:sz w:val="20"/>
                <w:szCs w:val="20"/>
                <w:color w:val="auto"/>
              </w:rPr>
            </w:pPr>
            <w:r>
              <w:rPr>
                <w:rFonts w:ascii="Courier New" w:cs="Courier New" w:eastAsia="Courier New" w:hAnsi="Courier New"/>
                <w:sz w:val="16"/>
                <w:szCs w:val="16"/>
                <w:color w:val="auto"/>
              </w:rPr>
              <w:t>Item 15.</w:t>
            </w:r>
          </w:p>
        </w:tc>
        <w:tc>
          <w:tcPr>
            <w:tcW w:w="19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Foreign Trustee.</w:t>
            </w: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Not applicable.</w:t>
            </w:r>
          </w:p>
        </w:tc>
      </w:tr>
      <w:tr>
        <w:trPr>
          <w:trHeight w:val="185"/>
        </w:trPr>
        <w:tc>
          <w:tcPr>
            <w:tcW w:w="860" w:type="dxa"/>
            <w:vAlign w:val="bottom"/>
          </w:tcPr>
          <w:p>
            <w:pPr>
              <w:spacing w:after="0"/>
              <w:rPr>
                <w:sz w:val="16"/>
                <w:szCs w:val="16"/>
                <w:color w:val="auto"/>
              </w:rPr>
            </w:pPr>
          </w:p>
        </w:tc>
        <w:tc>
          <w:tcPr>
            <w:tcW w:w="19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spacing w:after="0"/>
              <w:rPr>
                <w:sz w:val="16"/>
                <w:szCs w:val="16"/>
                <w:color w:val="auto"/>
              </w:rPr>
            </w:pPr>
          </w:p>
        </w:tc>
      </w:tr>
      <w:tr>
        <w:trPr>
          <w:trHeight w:val="370"/>
        </w:trPr>
        <w:tc>
          <w:tcPr>
            <w:tcW w:w="860" w:type="dxa"/>
            <w:vAlign w:val="bottom"/>
          </w:tcPr>
          <w:p>
            <w:pPr>
              <w:spacing w:after="0"/>
              <w:rPr>
                <w:sz w:val="20"/>
                <w:szCs w:val="20"/>
                <w:color w:val="auto"/>
              </w:rPr>
            </w:pPr>
            <w:r>
              <w:rPr>
                <w:rFonts w:ascii="Courier New" w:cs="Courier New" w:eastAsia="Courier New" w:hAnsi="Courier New"/>
                <w:sz w:val="16"/>
                <w:szCs w:val="16"/>
                <w:color w:val="auto"/>
              </w:rPr>
              <w:t>Item 16.</w:t>
            </w:r>
          </w:p>
        </w:tc>
        <w:tc>
          <w:tcPr>
            <w:tcW w:w="19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List of Exhibits.</w:t>
            </w: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List below all exhibits filed as a part of this</w:t>
            </w:r>
          </w:p>
        </w:tc>
      </w:tr>
      <w:tr>
        <w:trPr>
          <w:trHeight w:val="185"/>
        </w:trPr>
        <w:tc>
          <w:tcPr>
            <w:tcW w:w="860" w:type="dxa"/>
            <w:vAlign w:val="bottom"/>
          </w:tcPr>
          <w:p>
            <w:pPr>
              <w:spacing w:after="0"/>
              <w:rPr>
                <w:sz w:val="16"/>
                <w:szCs w:val="16"/>
                <w:color w:val="auto"/>
              </w:rPr>
            </w:pPr>
          </w:p>
        </w:tc>
        <w:tc>
          <w:tcPr>
            <w:tcW w:w="19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Statement of Eligibility.  Norwest Bank</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incorporates by reference into this Form T-1</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the exhibits attached hereto.</w:t>
            </w:r>
          </w:p>
        </w:tc>
      </w:tr>
      <w:tr>
        <w:trPr>
          <w:trHeight w:val="370"/>
        </w:trPr>
        <w:tc>
          <w:tcPr>
            <w:tcW w:w="86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Exhibit 1.</w:t>
            </w:r>
          </w:p>
        </w:tc>
        <w:tc>
          <w:tcPr>
            <w:tcW w:w="720" w:type="dxa"/>
            <w:vAlign w:val="bottom"/>
          </w:tcPr>
          <w:p>
            <w:pPr>
              <w:ind w:left="180"/>
              <w:spacing w:after="0"/>
              <w:rPr>
                <w:sz w:val="20"/>
                <w:szCs w:val="20"/>
                <w:color w:val="auto"/>
              </w:rPr>
            </w:pPr>
            <w:r>
              <w:rPr>
                <w:rFonts w:ascii="Courier New" w:cs="Courier New" w:eastAsia="Courier New" w:hAnsi="Courier New"/>
                <w:sz w:val="16"/>
                <w:szCs w:val="16"/>
                <w:color w:val="auto"/>
              </w:rPr>
              <w:t>a.</w:t>
            </w: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A copy of the Articles of Association of the</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trustee now in effect.*</w:t>
            </w:r>
          </w:p>
        </w:tc>
      </w:tr>
      <w:tr>
        <w:trPr>
          <w:trHeight w:val="370"/>
        </w:trPr>
        <w:tc>
          <w:tcPr>
            <w:tcW w:w="86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Exhibit 2.</w:t>
            </w:r>
          </w:p>
        </w:tc>
        <w:tc>
          <w:tcPr>
            <w:tcW w:w="720" w:type="dxa"/>
            <w:vAlign w:val="bottom"/>
          </w:tcPr>
          <w:p>
            <w:pPr>
              <w:ind w:left="180"/>
              <w:spacing w:after="0"/>
              <w:rPr>
                <w:sz w:val="20"/>
                <w:szCs w:val="20"/>
                <w:color w:val="auto"/>
              </w:rPr>
            </w:pPr>
            <w:r>
              <w:rPr>
                <w:rFonts w:ascii="Courier New" w:cs="Courier New" w:eastAsia="Courier New" w:hAnsi="Courier New"/>
                <w:sz w:val="16"/>
                <w:szCs w:val="16"/>
                <w:color w:val="auto"/>
              </w:rPr>
              <w:t>a.</w:t>
            </w: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A copy of the certificate of authority of the</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trustee to commence business issued June 28,</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1872, by the Comptroller of the Currency to</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The Northwestern National Bank of Minneapolis.*</w:t>
            </w:r>
          </w:p>
        </w:tc>
      </w:tr>
      <w:tr>
        <w:trPr>
          <w:trHeight w:val="370"/>
        </w:trPr>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6"/>
                <w:szCs w:val="16"/>
                <w:color w:val="auto"/>
              </w:rPr>
              <w:t>b.</w:t>
            </w: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A copy of the certificate of the Comptroller of</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the Currency dated January 2, 1934, approving</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the consolidation of The Northwestern National</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Bank of Minneapolis and The Minnesota Loan and</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w w:val="99"/>
              </w:rPr>
              <w:t>Trust Company of Minneapolis, with the surviving</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entity being titled Northwestern National Bank</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and Trust Company of Minneapolis.*</w:t>
            </w:r>
          </w:p>
        </w:tc>
      </w:tr>
      <w:tr>
        <w:trPr>
          <w:trHeight w:val="370"/>
        </w:trPr>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6"/>
                <w:szCs w:val="16"/>
                <w:color w:val="auto"/>
              </w:rPr>
              <w:t>c.</w:t>
            </w: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A copy of the certificate of the Acting</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Comptroller of the Currency dated January 12,</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1943, as to change of corporate title of</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Northwestern National Bank and Trust Company of</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Minneapolis to Northwestern National Bank of</w:t>
            </w:r>
          </w:p>
        </w:tc>
      </w:tr>
      <w:tr>
        <w:trPr>
          <w:trHeight w:val="185"/>
        </w:trPr>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40" w:type="dxa"/>
            <w:vAlign w:val="bottom"/>
          </w:tcPr>
          <w:p>
            <w:pPr>
              <w:ind w:left="240"/>
              <w:spacing w:after="0"/>
              <w:rPr>
                <w:sz w:val="20"/>
                <w:szCs w:val="20"/>
                <w:color w:val="auto"/>
              </w:rPr>
            </w:pPr>
            <w:r>
              <w:rPr>
                <w:rFonts w:ascii="Courier New" w:cs="Courier New" w:eastAsia="Courier New" w:hAnsi="Courier New"/>
                <w:sz w:val="16"/>
                <w:szCs w:val="16"/>
                <w:color w:val="auto"/>
              </w:rPr>
              <w:t>Minneapolis.*</w:t>
            </w:r>
          </w:p>
        </w:tc>
      </w:tr>
      <w:tr>
        <w:trPr>
          <w:trHeight w:val="370"/>
        </w:trPr>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40" w:type="dxa"/>
            <w:vAlign w:val="bottom"/>
          </w:tcPr>
          <w:p>
            <w:pPr>
              <w:ind w:left="900"/>
              <w:spacing w:after="0"/>
              <w:rPr>
                <w:sz w:val="20"/>
                <w:szCs w:val="20"/>
                <w:color w:val="auto"/>
              </w:rPr>
            </w:pPr>
            <w:r>
              <w:rPr>
                <w:rFonts w:ascii="Courier New" w:cs="Courier New" w:eastAsia="Courier New" w:hAnsi="Courier New"/>
                <w:sz w:val="16"/>
                <w:szCs w:val="16"/>
                <w:color w:val="auto"/>
              </w:rPr>
              <w:t>2</w:t>
            </w:r>
          </w:p>
        </w:tc>
      </w:tr>
    </w:tbl>
    <w:p>
      <w:pPr>
        <w:sectPr>
          <w:pgSz w:w="11900" w:h="16838" w:orient="portrait"/>
          <w:cols w:equalWidth="0" w:num="1">
            <w:col w:w="10219"/>
          </w:cols>
          <w:pgMar w:left="240" w:top="670" w:right="1440" w:bottom="1440" w:gutter="0" w:footer="0" w:header="0"/>
        </w:sectPr>
      </w:pPr>
    </w:p>
    <w:bookmarkStart w:id="266" w:name="page267"/>
    <w:bookmarkEnd w:id="266"/>
    <w:p>
      <w:pPr>
        <w:ind w:left="2601" w:right="2539" w:hanging="776"/>
        <w:spacing w:after="0" w:line="263" w:lineRule="auto"/>
        <w:tabs>
          <w:tab w:leader="none" w:pos="2601"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letter dated May 12, 1983 from the Regional Counsel, Comptroller of the Currency, acknowledging receipt of notice of name change effective May 1, 1983 from Northwestern National Bank of Minneapolis to Norwest Bank Minneapolis, National Association.*</w:t>
      </w:r>
    </w:p>
    <w:p>
      <w:pPr>
        <w:spacing w:after="0" w:line="176" w:lineRule="exact"/>
        <w:rPr>
          <w:rFonts w:ascii="Courier New" w:cs="Courier New" w:eastAsia="Courier New" w:hAnsi="Courier New"/>
          <w:sz w:val="15"/>
          <w:szCs w:val="15"/>
          <w:color w:val="auto"/>
        </w:rPr>
      </w:pPr>
    </w:p>
    <w:p>
      <w:pPr>
        <w:ind w:left="2601" w:right="2639" w:hanging="776"/>
        <w:spacing w:after="0" w:line="244" w:lineRule="auto"/>
        <w:tabs>
          <w:tab w:leader="none" w:pos="2601"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letter dated January 4, 1988 from the Administrator of National Banks for the Comptroller of the Currency certifying approval of consolidation and merger effective January 1, 1988 of Norwest Bank Minneapolis, National Association with various other banks under the title of "Norwest Bank Minnesota, National Association."*</w:t>
      </w:r>
    </w:p>
    <w:p>
      <w:pPr>
        <w:spacing w:after="0" w:line="189" w:lineRule="exact"/>
        <w:rPr>
          <w:sz w:val="20"/>
          <w:szCs w:val="20"/>
          <w:color w:val="auto"/>
        </w:rPr>
      </w:pPr>
    </w:p>
    <w:p>
      <w:pPr>
        <w:ind w:left="1341" w:right="2539" w:hanging="1344"/>
        <w:spacing w:after="0" w:line="243" w:lineRule="auto"/>
        <w:tabs>
          <w:tab w:leader="none" w:pos="1321" w:val="left"/>
        </w:tabs>
        <w:rPr>
          <w:sz w:val="20"/>
          <w:szCs w:val="20"/>
          <w:color w:val="auto"/>
        </w:rPr>
      </w:pPr>
      <w:r>
        <w:rPr>
          <w:rFonts w:ascii="Courier New" w:cs="Courier New" w:eastAsia="Courier New" w:hAnsi="Courier New"/>
          <w:sz w:val="16"/>
          <w:szCs w:val="16"/>
          <w:color w:val="auto"/>
        </w:rPr>
        <w:t>Exhibit 3.</w:t>
      </w:r>
      <w:r>
        <w:rPr>
          <w:sz w:val="20"/>
          <w:szCs w:val="20"/>
          <w:color w:val="auto"/>
        </w:rPr>
        <w:tab/>
      </w:r>
      <w:r>
        <w:rPr>
          <w:rFonts w:ascii="Courier New" w:cs="Courier New" w:eastAsia="Courier New" w:hAnsi="Courier New"/>
          <w:sz w:val="16"/>
          <w:szCs w:val="16"/>
          <w:color w:val="auto"/>
        </w:rPr>
        <w:t>A copy of the authorization of the trustee to exercise corporate trust powers issued January 2, 1934, by the Federal Reserve Board.*</w:t>
      </w:r>
    </w:p>
    <w:p>
      <w:pPr>
        <w:spacing w:after="0" w:line="187" w:lineRule="exact"/>
        <w:rPr>
          <w:sz w:val="20"/>
          <w:szCs w:val="20"/>
          <w:color w:val="auto"/>
        </w:rPr>
      </w:pPr>
    </w:p>
    <w:p>
      <w:pPr>
        <w:ind w:left="1"/>
        <w:spacing w:after="0"/>
        <w:tabs>
          <w:tab w:leader="none" w:pos="1321" w:val="left"/>
        </w:tabs>
        <w:rPr>
          <w:sz w:val="20"/>
          <w:szCs w:val="20"/>
          <w:color w:val="auto"/>
        </w:rPr>
      </w:pPr>
      <w:r>
        <w:rPr>
          <w:rFonts w:ascii="Courier New" w:cs="Courier New" w:eastAsia="Courier New" w:hAnsi="Courier New"/>
          <w:sz w:val="16"/>
          <w:szCs w:val="16"/>
          <w:color w:val="auto"/>
        </w:rPr>
        <w:t>Exhibit 4.</w:t>
      </w:r>
      <w:r>
        <w:rPr>
          <w:sz w:val="20"/>
          <w:szCs w:val="20"/>
          <w:color w:val="auto"/>
        </w:rPr>
        <w:tab/>
      </w:r>
      <w:r>
        <w:rPr>
          <w:rFonts w:ascii="Courier New" w:cs="Courier New" w:eastAsia="Courier New" w:hAnsi="Courier New"/>
          <w:sz w:val="16"/>
          <w:szCs w:val="16"/>
          <w:color w:val="auto"/>
        </w:rPr>
        <w:t>Copy of By-laws of the trustee as now in effect.*</w:t>
      </w:r>
    </w:p>
    <w:p>
      <w:pPr>
        <w:spacing w:after="0" w:line="188" w:lineRule="exact"/>
        <w:rPr>
          <w:sz w:val="20"/>
          <w:szCs w:val="20"/>
          <w:color w:val="auto"/>
        </w:rPr>
      </w:pPr>
    </w:p>
    <w:p>
      <w:pPr>
        <w:ind w:left="1"/>
        <w:spacing w:after="0"/>
        <w:tabs>
          <w:tab w:leader="none" w:pos="1321" w:val="left"/>
        </w:tabs>
        <w:rPr>
          <w:sz w:val="20"/>
          <w:szCs w:val="20"/>
          <w:color w:val="auto"/>
        </w:rPr>
      </w:pPr>
      <w:r>
        <w:rPr>
          <w:rFonts w:ascii="Courier New" w:cs="Courier New" w:eastAsia="Courier New" w:hAnsi="Courier New"/>
          <w:sz w:val="16"/>
          <w:szCs w:val="16"/>
          <w:color w:val="auto"/>
        </w:rPr>
        <w:t>Exhibit 5.</w:t>
      </w:r>
      <w:r>
        <w:rPr>
          <w:sz w:val="20"/>
          <w:szCs w:val="20"/>
          <w:color w:val="auto"/>
        </w:rPr>
        <w:tab/>
      </w:r>
      <w:r>
        <w:rPr>
          <w:rFonts w:ascii="Courier New" w:cs="Courier New" w:eastAsia="Courier New" w:hAnsi="Courier New"/>
          <w:sz w:val="15"/>
          <w:szCs w:val="15"/>
          <w:color w:val="auto"/>
        </w:rPr>
        <w:t>Not applicable.</w:t>
      </w:r>
    </w:p>
    <w:p>
      <w:pPr>
        <w:spacing w:after="0" w:line="190" w:lineRule="exact"/>
        <w:rPr>
          <w:sz w:val="20"/>
          <w:szCs w:val="20"/>
          <w:color w:val="auto"/>
        </w:rPr>
      </w:pPr>
    </w:p>
    <w:p>
      <w:pPr>
        <w:ind w:left="1341" w:right="2639" w:hanging="1344"/>
        <w:spacing w:after="0" w:line="242" w:lineRule="auto"/>
        <w:tabs>
          <w:tab w:leader="none" w:pos="1321" w:val="left"/>
        </w:tabs>
        <w:rPr>
          <w:sz w:val="20"/>
          <w:szCs w:val="20"/>
          <w:color w:val="auto"/>
        </w:rPr>
      </w:pPr>
      <w:r>
        <w:rPr>
          <w:rFonts w:ascii="Courier New" w:cs="Courier New" w:eastAsia="Courier New" w:hAnsi="Courier New"/>
          <w:sz w:val="16"/>
          <w:szCs w:val="16"/>
          <w:color w:val="auto"/>
        </w:rPr>
        <w:t>Exhibit 6.</w:t>
      </w:r>
      <w:r>
        <w:rPr>
          <w:sz w:val="20"/>
          <w:szCs w:val="20"/>
          <w:color w:val="auto"/>
        </w:rPr>
        <w:tab/>
      </w:r>
      <w:r>
        <w:rPr>
          <w:rFonts w:ascii="Courier New" w:cs="Courier New" w:eastAsia="Courier New" w:hAnsi="Courier New"/>
          <w:sz w:val="16"/>
          <w:szCs w:val="16"/>
          <w:color w:val="auto"/>
        </w:rPr>
        <w:t>The consent of the trustee required by Section 321(b) of the Act.</w:t>
      </w:r>
    </w:p>
    <w:p>
      <w:pPr>
        <w:spacing w:after="0" w:line="189" w:lineRule="exact"/>
        <w:rPr>
          <w:sz w:val="20"/>
          <w:szCs w:val="20"/>
          <w:color w:val="auto"/>
        </w:rPr>
      </w:pPr>
    </w:p>
    <w:p>
      <w:pPr>
        <w:ind w:left="1341" w:right="3119" w:hanging="1344"/>
        <w:spacing w:after="0" w:line="243" w:lineRule="auto"/>
        <w:tabs>
          <w:tab w:leader="none" w:pos="1321" w:val="left"/>
        </w:tabs>
        <w:rPr>
          <w:sz w:val="20"/>
          <w:szCs w:val="20"/>
          <w:color w:val="auto"/>
        </w:rPr>
      </w:pPr>
      <w:r>
        <w:rPr>
          <w:rFonts w:ascii="Courier New" w:cs="Courier New" w:eastAsia="Courier New" w:hAnsi="Courier New"/>
          <w:sz w:val="16"/>
          <w:szCs w:val="16"/>
          <w:color w:val="auto"/>
        </w:rPr>
        <w:t>Exhibit 7.</w:t>
      </w:r>
      <w:r>
        <w:rPr>
          <w:sz w:val="20"/>
          <w:szCs w:val="20"/>
          <w:color w:val="auto"/>
        </w:rPr>
        <w:tab/>
      </w:r>
      <w:r>
        <w:rPr>
          <w:rFonts w:ascii="Courier New" w:cs="Courier New" w:eastAsia="Courier New" w:hAnsi="Courier New"/>
          <w:sz w:val="16"/>
          <w:szCs w:val="16"/>
          <w:color w:val="auto"/>
        </w:rPr>
        <w:t>A copy of the latest report of condition of the trustee published pursuant to law or the requirements of its supervising or examining authority.**</w:t>
      </w:r>
    </w:p>
    <w:p>
      <w:pPr>
        <w:spacing w:after="0" w:line="187" w:lineRule="exact"/>
        <w:rPr>
          <w:sz w:val="20"/>
          <w:szCs w:val="20"/>
          <w:color w:val="auto"/>
        </w:rPr>
      </w:pPr>
    </w:p>
    <w:p>
      <w:pPr>
        <w:ind w:left="1"/>
        <w:spacing w:after="0"/>
        <w:tabs>
          <w:tab w:leader="none" w:pos="1321" w:val="left"/>
        </w:tabs>
        <w:rPr>
          <w:sz w:val="20"/>
          <w:szCs w:val="20"/>
          <w:color w:val="auto"/>
        </w:rPr>
      </w:pPr>
      <w:r>
        <w:rPr>
          <w:rFonts w:ascii="Courier New" w:cs="Courier New" w:eastAsia="Courier New" w:hAnsi="Courier New"/>
          <w:sz w:val="16"/>
          <w:szCs w:val="16"/>
          <w:color w:val="auto"/>
        </w:rPr>
        <w:t>Exhibit 8.</w:t>
      </w:r>
      <w:r>
        <w:rPr>
          <w:sz w:val="20"/>
          <w:szCs w:val="20"/>
          <w:color w:val="auto"/>
        </w:rPr>
        <w:tab/>
      </w:r>
      <w:r>
        <w:rPr>
          <w:rFonts w:ascii="Courier New" w:cs="Courier New" w:eastAsia="Courier New" w:hAnsi="Courier New"/>
          <w:sz w:val="15"/>
          <w:szCs w:val="15"/>
          <w:color w:val="auto"/>
        </w:rPr>
        <w:t>Not applicable.</w:t>
      </w:r>
    </w:p>
    <w:p>
      <w:pPr>
        <w:spacing w:after="0" w:line="188" w:lineRule="exact"/>
        <w:rPr>
          <w:sz w:val="20"/>
          <w:szCs w:val="20"/>
          <w:color w:val="auto"/>
        </w:rPr>
      </w:pPr>
    </w:p>
    <w:p>
      <w:pPr>
        <w:ind w:left="1"/>
        <w:spacing w:after="0"/>
        <w:tabs>
          <w:tab w:leader="none" w:pos="1321" w:val="left"/>
        </w:tabs>
        <w:rPr>
          <w:sz w:val="20"/>
          <w:szCs w:val="20"/>
          <w:color w:val="auto"/>
        </w:rPr>
      </w:pPr>
      <w:r>
        <w:rPr>
          <w:rFonts w:ascii="Courier New" w:cs="Courier New" w:eastAsia="Courier New" w:hAnsi="Courier New"/>
          <w:sz w:val="16"/>
          <w:szCs w:val="16"/>
          <w:color w:val="auto"/>
        </w:rPr>
        <w:t>Exhibit 9.</w:t>
      </w:r>
      <w:r>
        <w:rPr>
          <w:sz w:val="20"/>
          <w:szCs w:val="20"/>
          <w:color w:val="auto"/>
        </w:rPr>
        <w:tab/>
      </w: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1" w:right="2539" w:hanging="481"/>
        <w:spacing w:after="0" w:line="242" w:lineRule="auto"/>
        <w:tabs>
          <w:tab w:leader="none" w:pos="481"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 number 25 filed with registration statement number 33-66026.</w:t>
      </w:r>
    </w:p>
    <w:p>
      <w:pPr>
        <w:spacing w:after="0" w:line="189" w:lineRule="exact"/>
        <w:rPr>
          <w:sz w:val="20"/>
          <w:szCs w:val="20"/>
          <w:color w:val="auto"/>
        </w:rPr>
      </w:pPr>
    </w:p>
    <w:p>
      <w:pPr>
        <w:ind w:left="481" w:right="2919" w:hanging="481"/>
        <w:spacing w:after="0" w:line="243" w:lineRule="auto"/>
        <w:tabs>
          <w:tab w:leader="none" w:pos="481"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 number 7 to the Trustee's Form T-1 filed as exhibit 25.2 to Current Report on Form 8-K dated February 5, 1997 of Chase Manhattan Bank USA, N.A. file number 333-07575.</w:t>
      </w:r>
    </w:p>
    <w:p>
      <w:pPr>
        <w:spacing w:after="0" w:line="18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740"/>
          </w:cols>
          <w:pgMar w:left="719" w:top="671" w:right="1440" w:bottom="1440" w:gutter="0" w:footer="0" w:header="0"/>
        </w:sectPr>
      </w:pPr>
    </w:p>
    <w:bookmarkStart w:id="267" w:name="page268"/>
    <w:bookmarkEnd w:id="267"/>
    <w:p>
      <w:pPr>
        <w:ind w:left="3360"/>
        <w:spacing w:after="0"/>
        <w:rPr>
          <w:sz w:val="20"/>
          <w:szCs w:val="20"/>
          <w:color w:val="auto"/>
        </w:rPr>
      </w:pPr>
      <w:r>
        <w:rPr>
          <w:rFonts w:ascii="Courier New" w:cs="Courier New" w:eastAsia="Courier New" w:hAnsi="Courier New"/>
          <w:sz w:val="16"/>
          <w:szCs w:val="16"/>
          <w:color w:val="auto"/>
        </w:rPr>
        <w:t>SIGNATURE</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Pursuant to the requirements of the Trust Indenture Act of 1939, as amended, the trustee, Norwest Bank Minnesota,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30th day of May, 1997.</w:t>
      </w:r>
    </w:p>
    <w:p>
      <w:pPr>
        <w:spacing w:after="0" w:line="200" w:lineRule="exact"/>
        <w:rPr>
          <w:sz w:val="20"/>
          <w:szCs w:val="20"/>
          <w:color w:val="auto"/>
        </w:rPr>
      </w:pPr>
    </w:p>
    <w:p>
      <w:pPr>
        <w:spacing w:after="0" w:line="355"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NORWEST BANK MINNESOTA,</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NATIONAL ASSOCIATION</w:t>
      </w:r>
    </w:p>
    <w:p>
      <w:pPr>
        <w:spacing w:after="0" w:line="373"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 Raymond S. Haverstock</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Raymond S. Haverstock</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Vice President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0" w:right="1440" w:bottom="1440" w:gutter="0" w:footer="0" w:header="0"/>
        </w:sectPr>
      </w:pPr>
    </w:p>
    <w:bookmarkStart w:id="268" w:name="page269"/>
    <w:bookmarkEnd w:id="268"/>
    <w:p>
      <w:pPr>
        <w:ind w:left="3360"/>
        <w:spacing w:after="0"/>
        <w:rPr>
          <w:sz w:val="20"/>
          <w:szCs w:val="20"/>
          <w:color w:val="auto"/>
        </w:rPr>
      </w:pPr>
      <w:r>
        <w:rPr>
          <w:rFonts w:ascii="Courier New" w:cs="Courier New" w:eastAsia="Courier New" w:hAnsi="Courier New"/>
          <w:sz w:val="16"/>
          <w:szCs w:val="16"/>
          <w:color w:val="auto"/>
        </w:rPr>
        <w:t>EXHIBIT 6</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30, 1997</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6"/>
          <w:szCs w:val="16"/>
          <w:color w:val="auto"/>
        </w:rPr>
        <w:t>Washington, D.C.</w:t>
        <w:tab/>
        <w:t>20549</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200" w:lineRule="exact"/>
        <w:rPr>
          <w:sz w:val="20"/>
          <w:szCs w:val="20"/>
          <w:color w:val="auto"/>
        </w:rPr>
      </w:pPr>
    </w:p>
    <w:p>
      <w:pPr>
        <w:spacing w:after="0" w:line="355"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NORWEST BANK MINNESOTA,</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NATIONAL ASSOCIATION</w:t>
      </w:r>
    </w:p>
    <w:p>
      <w:pPr>
        <w:spacing w:after="0" w:line="200" w:lineRule="exact"/>
        <w:rPr>
          <w:sz w:val="20"/>
          <w:szCs w:val="20"/>
          <w:color w:val="auto"/>
        </w:rPr>
      </w:pPr>
    </w:p>
    <w:p>
      <w:pPr>
        <w:spacing w:after="0" w:line="35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/s/ Raymond S. Haverstock</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Raymond S. Haverstock</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Vice President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sectPr>
      <w:pgSz w:w="11900" w:h="16838" w:orient="portrait"/>
      <w:cols w:equalWidth="0" w:num="1">
        <w:col w:w="10219"/>
      </w:cols>
      <w:pgMar w:left="240" w:top="6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D86AAC"/>
    <w:multiLevelType w:val="hybridMultilevel"/>
    <w:lvl w:ilvl="0">
      <w:lvlJc w:val="left"/>
      <w:lvlText w:val="-"/>
      <w:numFmt w:val="bullet"/>
      <w:start w:val="1"/>
    </w:lvl>
  </w:abstractNum>
  <w:abstractNum w:abstractNumId="1">
    <w:nsid w:val="45E6D486"/>
    <w:multiLevelType w:val="hybridMultilevel"/>
    <w:lvl w:ilvl="0">
      <w:lvlJc w:val="left"/>
      <w:lvlText w:val="(%1)"/>
      <w:numFmt w:val="decimal"/>
      <w:start w:val="415"/>
    </w:lvl>
  </w:abstractNum>
  <w:abstractNum w:abstractNumId="2">
    <w:nsid w:val="5C10FE21"/>
    <w:multiLevelType w:val="hybridMultilevel"/>
    <w:lvl w:ilvl="0">
      <w:lvlJc w:val="left"/>
      <w:lvlText w:val="-"/>
      <w:numFmt w:val="bullet"/>
      <w:start w:val="1"/>
    </w:lvl>
  </w:abstractNum>
  <w:abstractNum w:abstractNumId="3">
    <w:nsid w:val="E7FFA2B"/>
    <w:multiLevelType w:val="hybridMultilevel"/>
    <w:lvl w:ilvl="0">
      <w:lvlJc w:val="left"/>
      <w:lvlText w:val="(%1)"/>
      <w:numFmt w:val="lowerLetter"/>
      <w:start w:val="1"/>
    </w:lvl>
  </w:abstractNum>
  <w:abstractNum w:abstractNumId="4">
    <w:nsid w:val="3C5991AA"/>
    <w:multiLevelType w:val="hybridMultilevel"/>
    <w:lvl w:ilvl="0">
      <w:lvlJc w:val="left"/>
      <w:lvlText w:val="(%1)"/>
      <w:numFmt w:val="decimal"/>
      <w:start w:val="1"/>
    </w:lvl>
  </w:abstractNum>
  <w:abstractNum w:abstractNumId="5">
    <w:nsid w:val="4BD8591A"/>
    <w:multiLevelType w:val="hybridMultilevel"/>
    <w:lvl w:ilvl="0">
      <w:lvlJc w:val="left"/>
      <w:lvlText w:val="(%1)"/>
      <w:numFmt w:val="decimal"/>
      <w:start w:val="15"/>
    </w:lvl>
  </w:abstractNum>
  <w:abstractNum w:abstractNumId="6">
    <w:nsid w:val="78DF6A55"/>
    <w:multiLevelType w:val="hybridMultilevel"/>
    <w:lvl w:ilvl="0">
      <w:lvlJc w:val="left"/>
      <w:lvlText w:val="(%1)"/>
      <w:numFmt w:val="lowerLetter"/>
      <w:start w:val="1"/>
    </w:lvl>
  </w:abstractNum>
  <w:abstractNum w:abstractNumId="7">
    <w:nsid w:val="39B7AAA2"/>
    <w:multiLevelType w:val="hybridMultilevel"/>
    <w:lvl w:ilvl="0">
      <w:lvlJc w:val="left"/>
      <w:lvlText w:val="(%1)"/>
      <w:numFmt w:val="lowerLetter"/>
      <w:start w:val="9"/>
    </w:lvl>
  </w:abstractNum>
  <w:abstractNum w:abstractNumId="8">
    <w:nsid w:val="2B0D8DBE"/>
    <w:multiLevelType w:val="hybridMultilevel"/>
    <w:lvl w:ilvl="0">
      <w:lvlJc w:val="left"/>
      <w:lvlText w:val="(%1)"/>
      <w:numFmt w:val="lowerLetter"/>
      <w:start w:val="2"/>
    </w:lvl>
  </w:abstractNum>
  <w:abstractNum w:abstractNumId="9">
    <w:nsid w:val="6C80EC70"/>
    <w:multiLevelType w:val="hybridMultilevel"/>
    <w:lvl w:ilvl="0">
      <w:lvlJc w:val="left"/>
      <w:lvlText w:val="(%1)"/>
      <w:numFmt w:val="lowerLetter"/>
      <w:start w:val="2"/>
    </w:lvl>
  </w:abstractNum>
  <w:abstractNum w:abstractNumId="10">
    <w:nsid w:val="379E21B5"/>
    <w:multiLevelType w:val="hybridMultilevel"/>
    <w:lvl w:ilvl="0">
      <w:lvlJc w:val="left"/>
      <w:lvlText w:val="(%1)"/>
      <w:numFmt w:val="lowerLetter"/>
      <w:start w:val="4"/>
    </w:lvl>
  </w:abstractNum>
  <w:abstractNum w:abstractNumId="11">
    <w:nsid w:val="69E373"/>
    <w:multiLevelType w:val="hybridMultilevel"/>
    <w:lvl w:ilvl="0">
      <w:lvlJc w:val="left"/>
      <w:lvlText w:val="(%1)"/>
      <w:numFmt w:val="lowerLetter"/>
      <w:start w:val="1"/>
    </w:lvl>
  </w:abstractNum>
  <w:abstractNum w:abstractNumId="12">
    <w:nsid w:val="2C27173B"/>
    <w:multiLevelType w:val="hybridMultilevel"/>
    <w:lvl w:ilvl="0">
      <w:lvlJc w:val="left"/>
      <w:lvlText w:val="(%1)"/>
      <w:numFmt w:val="lowerRoman"/>
      <w:start w:val="5"/>
    </w:lvl>
  </w:abstractNum>
  <w:abstractNum w:abstractNumId="13">
    <w:nsid w:val="4C9B0904"/>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14">
    <w:nsid w:val="6AA7B75C"/>
    <w:multiLevelType w:val="hybridMultilevel"/>
    <w:lvl w:ilvl="0">
      <w:lvlJc w:val="left"/>
      <w:lvlText w:val="(%1)"/>
      <w:numFmt w:val="lowerRoman"/>
      <w:start w:val="3"/>
    </w:lvl>
  </w:abstractNum>
  <w:abstractNum w:abstractNumId="15">
    <w:nsid w:val="1DF029D3"/>
    <w:multiLevelType w:val="hybridMultilevel"/>
    <w:lvl w:ilvl="0">
      <w:lvlJc w:val="left"/>
      <w:lvlText w:val="%1"/>
      <w:numFmt w:val="decimal"/>
      <w:start w:val="1"/>
    </w:lvl>
    <w:lvl w:ilvl="1">
      <w:lvlJc w:val="left"/>
      <w:lvlText w:val="(%2)"/>
      <w:numFmt w:val="decimal"/>
      <w:start w:val="2"/>
    </w:lvl>
  </w:abstractNum>
  <w:abstractNum w:abstractNumId="16">
    <w:nsid w:val="5675FF36"/>
    <w:multiLevelType w:val="hybridMultilevel"/>
    <w:lvl w:ilvl="0">
      <w:lvlJc w:val="left"/>
      <w:lvlText w:val="%1."/>
      <w:numFmt w:val="decimal"/>
      <w:start w:val="2"/>
    </w:lvl>
    <w:lvl w:ilvl="1">
      <w:lvlJc w:val="left"/>
      <w:lvlText w:val="%2"/>
      <w:numFmt w:val="decimal"/>
      <w:start w:val="1"/>
    </w:lvl>
  </w:abstractNum>
  <w:abstractNum w:abstractNumId="17">
    <w:nsid w:val="3DD15094"/>
    <w:multiLevelType w:val="hybridMultilevel"/>
    <w:lvl w:ilvl="0">
      <w:lvlJc w:val="left"/>
      <w:lvlText w:val="(%1)"/>
      <w:numFmt w:val="lowerLetter"/>
      <w:start w:val="1"/>
    </w:lvl>
  </w:abstractNum>
  <w:abstractNum w:abstractNumId="18">
    <w:nsid w:val="3DB012B3"/>
    <w:multiLevelType w:val="hybridMultilevel"/>
    <w:lvl w:ilvl="0">
      <w:lvlJc w:val="left"/>
      <w:lvlText w:val="-"/>
      <w:numFmt w:val="bullet"/>
      <w:start w:val="1"/>
    </w:lvl>
  </w:abstractNum>
  <w:abstractNum w:abstractNumId="19">
    <w:nsid w:val="2708C9AF"/>
    <w:multiLevelType w:val="hybridMultilevel"/>
    <w:lvl w:ilvl="0">
      <w:lvlJc w:val="left"/>
      <w:lvlText w:val="-"/>
      <w:numFmt w:val="bullet"/>
      <w:start w:val="1"/>
    </w:lvl>
  </w:abstractNum>
  <w:abstractNum w:abstractNumId="20">
    <w:nsid w:val="5B25ACE2"/>
    <w:multiLevelType w:val="hybridMultilevel"/>
    <w:lvl w:ilvl="0">
      <w:lvlJc w:val="left"/>
      <w:lvlText w:val="-"/>
      <w:numFmt w:val="bullet"/>
      <w:start w:val="1"/>
    </w:lvl>
  </w:abstractNum>
  <w:abstractNum w:abstractNumId="21">
    <w:nsid w:val="175DFCF0"/>
    <w:multiLevelType w:val="hybridMultilevel"/>
    <w:lvl w:ilvl="0">
      <w:lvlJc w:val="left"/>
      <w:lvlText w:val="-"/>
      <w:numFmt w:val="bullet"/>
      <w:start w:val="1"/>
    </w:lvl>
  </w:abstractNum>
  <w:abstractNum w:abstractNumId="22">
    <w:nsid w:val="4F97E3E4"/>
    <w:multiLevelType w:val="hybridMultilevel"/>
    <w:lvl w:ilvl="0">
      <w:lvlJc w:val="left"/>
      <w:lvlText w:val="-"/>
      <w:numFmt w:val="bullet"/>
      <w:start w:val="1"/>
    </w:lvl>
  </w:abstractNum>
  <w:abstractNum w:abstractNumId="23">
    <w:nsid w:val="53B0A9E"/>
    <w:multiLevelType w:val="hybridMultilevel"/>
    <w:lvl w:ilvl="0">
      <w:lvlJc w:val="left"/>
      <w:lvlText w:val="-"/>
      <w:numFmt w:val="bullet"/>
      <w:start w:val="1"/>
    </w:lvl>
  </w:abstractNum>
  <w:abstractNum w:abstractNumId="24">
    <w:nsid w:val="34FD6B4F"/>
    <w:multiLevelType w:val="hybridMultilevel"/>
    <w:lvl w:ilvl="0">
      <w:lvlJc w:val="left"/>
      <w:lvlText w:val="%1."/>
      <w:numFmt w:val="decimal"/>
      <w:start w:val="1"/>
    </w:lvl>
  </w:abstractNum>
  <w:abstractNum w:abstractNumId="25">
    <w:nsid w:val="5915FF32"/>
    <w:multiLevelType w:val="hybridMultilevel"/>
    <w:lvl w:ilvl="0">
      <w:lvlJc w:val="left"/>
      <w:lvlText w:val="%1."/>
      <w:numFmt w:val="decimal"/>
      <w:start w:val="2"/>
    </w:lvl>
    <w:lvl w:ilvl="1">
      <w:lvlJc w:val="left"/>
      <w:lvlText w:val="(%2)"/>
      <w:numFmt w:val="lowerRoman"/>
      <w:start w:val="1"/>
    </w:lvl>
  </w:abstractNum>
  <w:abstractNum w:abstractNumId="26">
    <w:nsid w:val="56438D15"/>
    <w:multiLevelType w:val="hybridMultilevel"/>
    <w:lvl w:ilvl="0">
      <w:lvlJc w:val="left"/>
      <w:lvlText w:val="(%1)"/>
      <w:numFmt w:val="lowerRoman"/>
      <w:start w:val="2"/>
    </w:lvl>
  </w:abstractNum>
  <w:abstractNum w:abstractNumId="27">
    <w:nsid w:val="519E3149"/>
    <w:multiLevelType w:val="hybridMultilevel"/>
    <w:lvl w:ilvl="0">
      <w:lvlJc w:val="left"/>
      <w:lvlText w:val="(%1)"/>
      <w:numFmt w:val="lowerRoman"/>
      <w:start w:val="7"/>
    </w:lvl>
  </w:abstractNum>
  <w:abstractNum w:abstractNumId="28">
    <w:nsid w:val="2C6E4AFD"/>
    <w:multiLevelType w:val="hybridMultilevel"/>
    <w:lvl w:ilvl="0">
      <w:lvlJc w:val="left"/>
      <w:lvlText w:val="(%1)"/>
      <w:numFmt w:val="lowerRoman"/>
      <w:start w:val="13"/>
    </w:lvl>
  </w:abstractNum>
  <w:abstractNum w:abstractNumId="29">
    <w:nsid w:val="17A1B582"/>
    <w:multiLevelType w:val="hybridMultilevel"/>
    <w:lvl w:ilvl="0">
      <w:lvlJc w:val="left"/>
      <w:lvlText w:val="%1."/>
      <w:numFmt w:val="decimal"/>
      <w:start w:val="3"/>
    </w:lvl>
  </w:abstractNum>
  <w:abstractNum w:abstractNumId="30">
    <w:nsid w:val="4DF72E4E"/>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1">
    <w:nsid w:val="5046B5A9"/>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1"/>
    </w:lvl>
  </w:abstractNum>
  <w:abstractNum w:abstractNumId="32">
    <w:nsid w:val="5D888A0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3">
    <w:nsid w:val="2A082C70"/>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34">
    <w:nsid w:val="5EC6AFD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5">
    <w:nsid w:val="19E21BB2"/>
    <w:multiLevelType w:val="hybridMultilevel"/>
    <w:lvl w:ilvl="0">
      <w:lvlJc w:val="left"/>
      <w:lvlText w:val="(%1)"/>
      <w:numFmt w:val="lowerRoman"/>
      <w:start w:val="7"/>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36">
    <w:nsid w:val="75E0858A"/>
    <w:multiLevelType w:val="hybridMultilevel"/>
    <w:lvl w:ilvl="0">
      <w:lvlJc w:val="left"/>
      <w:lvlText w:val="(%1)"/>
      <w:numFmt w:val="lowerRoman"/>
      <w:start w:val="4"/>
    </w:lvl>
  </w:abstractNum>
  <w:abstractNum w:abstractNumId="37">
    <w:nsid w:val="57A61A29"/>
    <w:multiLevelType w:val="hybridMultilevel"/>
    <w:lvl w:ilvl="0">
      <w:lvlJc w:val="left"/>
      <w:lvlText w:val="(%1)"/>
      <w:numFmt w:val="decimal"/>
      <w:start w:val="3"/>
    </w:lvl>
    <w:lvl w:ilvl="1">
      <w:lvlJc w:val="left"/>
      <w:lvlText w:val="(%2)"/>
      <w:numFmt w:val="lowerLetter"/>
      <w:start w:val="4"/>
    </w:lvl>
  </w:abstractNum>
  <w:abstractNum w:abstractNumId="38">
    <w:nsid w:val="5399C654"/>
    <w:multiLevelType w:val="hybridMultilevel"/>
    <w:lvl w:ilvl="0">
      <w:lvlJc w:val="left"/>
      <w:lvlText w:val="%1"/>
      <w:numFmt w:val="lowerLetter"/>
      <w:start w:val="1"/>
    </w:lvl>
    <w:lvl w:ilvl="1">
      <w:lvlJc w:val="left"/>
      <w:lvlText w:val="(%2)"/>
      <w:numFmt w:val="lowerRoman"/>
      <w:start w:val="1"/>
    </w:lvl>
  </w:abstractNum>
  <w:abstractNum w:abstractNumId="39">
    <w:nsid w:val="20EE1348"/>
    <w:multiLevelType w:val="hybridMultilevel"/>
    <w:lvl w:ilvl="0">
      <w:lvlJc w:val="left"/>
      <w:lvlText w:val="(%1)"/>
      <w:numFmt w:val="lowerLetter"/>
      <w:start w:val="5"/>
    </w:lvl>
    <w:lvl w:ilvl="1">
      <w:lvlJc w:val="left"/>
      <w:lvlText w:val="%2"/>
      <w:numFmt w:val="lowerRoman"/>
      <w:start w:val="1"/>
    </w:lvl>
  </w:abstractNum>
  <w:abstractNum w:abstractNumId="40">
    <w:nsid w:val="4427069A"/>
    <w:multiLevelType w:val="hybridMultilevel"/>
    <w:lvl w:ilvl="0">
      <w:lvlJc w:val="left"/>
      <w:lvlText w:val="%1"/>
      <w:numFmt w:val="decimal"/>
      <w:start w:val="1"/>
    </w:lvl>
    <w:lvl w:ilvl="1">
      <w:lvlJc w:val="left"/>
      <w:lvlText w:val="(%2)"/>
      <w:numFmt w:val="lowerLetter"/>
      <w:start w:val="7"/>
    </w:lvl>
  </w:abstractNum>
  <w:abstractNum w:abstractNumId="41">
    <w:nsid w:val="B37E80A"/>
    <w:multiLevelType w:val="hybridMultilevel"/>
    <w:lvl w:ilvl="0">
      <w:lvlJc w:val="left"/>
      <w:lvlText w:val="%1."/>
      <w:numFmt w:val="decimal"/>
      <w:start w:val="8"/>
    </w:lvl>
    <w:lvl w:ilvl="1">
      <w:lvlJc w:val="left"/>
      <w:lvlText w:val="%2"/>
      <w:numFmt w:val="lowerLetter"/>
      <w:start w:val="1"/>
    </w:lvl>
  </w:abstractNum>
  <w:abstractNum w:abstractNumId="42">
    <w:nsid w:val="2157F6BC"/>
    <w:multiLevelType w:val="hybridMultilevel"/>
    <w:lvl w:ilvl="0">
      <w:lvlJc w:val="left"/>
      <w:lvlText w:val="%1"/>
      <w:numFmt w:val="lowerLetter"/>
      <w:start w:val="1"/>
    </w:lvl>
    <w:lvl w:ilvl="1">
      <w:lvlJc w:val="left"/>
      <w:lvlText w:val="(%2)"/>
      <w:numFmt w:val="lowerLetter"/>
      <w:start w:val="2"/>
    </w:lvl>
  </w:abstractNum>
  <w:abstractNum w:abstractNumId="43">
    <w:nsid w:val="704E1DD5"/>
    <w:multiLevelType w:val="hybridMultilevel"/>
    <w:lvl w:ilvl="0">
      <w:lvlJc w:val="left"/>
      <w:lvlText w:val="(%1)"/>
      <w:numFmt w:val="lowerLetter"/>
      <w:start w:val="1"/>
    </w:lvl>
    <w:lvl w:ilvl="1">
      <w:lvlJc w:val="left"/>
      <w:lvlText w:val="%2"/>
      <w:numFmt w:val="lowerLetter"/>
      <w:start w:val="1"/>
    </w:lvl>
  </w:abstractNum>
  <w:abstractNum w:abstractNumId="44">
    <w:nsid w:val="57D2F10E"/>
    <w:multiLevelType w:val="hybridMultilevel"/>
    <w:lvl w:ilvl="0">
      <w:lvlJc w:val="left"/>
      <w:lvlText w:val="(%1)"/>
      <w:numFmt w:val="lowerLetter"/>
      <w:start w:val="4"/>
    </w:lvl>
  </w:abstractNum>
  <w:abstractNum w:abstractNumId="45">
    <w:nsid w:val="BFFAE18"/>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2"/>
    </w:lvl>
  </w:abstractNum>
  <w:abstractNum w:abstractNumId="46">
    <w:nsid w:val="E3E47A8"/>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47">
    <w:nsid w:val="2E48F044"/>
    <w:multiLevelType w:val="hybridMultilevel"/>
    <w:lvl w:ilvl="0">
      <w:lvlJc w:val="left"/>
      <w:lvlText w:val="%1."/>
      <w:numFmt w:val="decimal"/>
      <w:start w:val="10"/>
    </w:lvl>
  </w:abstractNum>
  <w:abstractNum w:abstractNumId="48">
    <w:nsid w:val="49D0FEAC"/>
    <w:multiLevelType w:val="hybridMultilevel"/>
    <w:lvl w:ilvl="0">
      <w:lvlJc w:val="left"/>
      <w:lvlText w:val="%1."/>
      <w:numFmt w:val="decimal"/>
      <w:start w:val="13"/>
    </w:lvl>
  </w:abstractNum>
  <w:abstractNum w:abstractNumId="49">
    <w:nsid w:val="4BEE5A5B"/>
    <w:multiLevelType w:val="hybridMultilevel"/>
    <w:lvl w:ilvl="0">
      <w:lvlJc w:val="left"/>
      <w:lvlText w:val="%1."/>
      <w:numFmt w:val="decimal"/>
      <w:start w:val="16"/>
    </w:lvl>
  </w:abstractNum>
  <w:abstractNum w:abstractNumId="50">
    <w:nsid w:val="5551B9F3"/>
    <w:multiLevelType w:val="hybridMultilevel"/>
    <w:lvl w:ilvl="0">
      <w:lvlJc w:val="left"/>
      <w:lvlText w:val="*"/>
      <w:numFmt w:val="bullet"/>
      <w:start w:val="1"/>
    </w:lvl>
  </w:abstractNum>
  <w:abstractNum w:abstractNumId="51">
    <w:nsid w:val="24F6AB8E"/>
    <w:multiLevelType w:val="hybridMultilevel"/>
    <w:lvl w:ilvl="0">
      <w:lvlJc w:val="left"/>
      <w:lvlText w:val="(%1)"/>
      <w:numFmt w:val="lowerRoman"/>
      <w:start w:val="1"/>
    </w:lvl>
  </w:abstractNum>
  <w:abstractNum w:abstractNumId="52">
    <w:nsid w:val="634C574C"/>
    <w:multiLevelType w:val="hybridMultilevel"/>
    <w:lvl w:ilvl="0">
      <w:lvlJc w:val="left"/>
      <w:lvlText w:val="(%1)"/>
      <w:numFmt w:val="upperLetter"/>
      <w:start w:val="1"/>
    </w:lvl>
  </w:abstractNum>
  <w:abstractNum w:abstractNumId="53">
    <w:nsid w:val="24E99DD7"/>
    <w:multiLevelType w:val="hybridMultilevel"/>
    <w:lvl w:ilvl="0">
      <w:lvlJc w:val="left"/>
      <w:lvlText w:val="%1."/>
      <w:numFmt w:val="decimal"/>
      <w:start w:val="1"/>
    </w:lvl>
  </w:abstractNum>
  <w:abstractNum w:abstractNumId="54">
    <w:nsid w:val="2A31B62D"/>
    <w:multiLevelType w:val="hybridMultilevel"/>
    <w:lvl w:ilvl="0">
      <w:lvlJc w:val="left"/>
      <w:lvlText w:val="%1."/>
      <w:numFmt w:val="decimal"/>
      <w:start w:val="2"/>
    </w:lvl>
    <w:lvl w:ilvl="1">
      <w:lvlJc w:val="left"/>
      <w:lvlText w:val="(%2)"/>
      <w:numFmt w:val="lowerLetter"/>
      <w:start w:val="1"/>
    </w:lvl>
  </w:abstractNum>
  <w:abstractNum w:abstractNumId="55">
    <w:nsid w:val="1849C29B"/>
    <w:multiLevelType w:val="hybridMultilevel"/>
    <w:lvl w:ilvl="0">
      <w:lvlJc w:val="left"/>
      <w:lvlText w:val="(%1)"/>
      <w:numFmt w:val="lowerLetter"/>
      <w:start w:val="3"/>
    </w:lvl>
  </w:abstractNum>
  <w:abstractNum w:abstractNumId="56">
    <w:nsid w:val="7DFF9D09"/>
    <w:multiLevelType w:val="hybridMultilevel"/>
    <w:lvl w:ilvl="0">
      <w:lvlJc w:val="left"/>
      <w:lvlText w:val="(%1)"/>
      <w:numFmt w:val="lowerLetter"/>
      <w:start w:val="8"/>
    </w:lvl>
  </w:abstractNum>
  <w:abstractNum w:abstractNumId="57">
    <w:nsid w:val="754342"/>
    <w:multiLevelType w:val="hybridMultilevel"/>
    <w:lvl w:ilvl="0">
      <w:lvlJc w:val="left"/>
      <w:lvlText w:val="%1"/>
      <w:numFmt w:val="decimal"/>
      <w:start w:val="1"/>
    </w:lvl>
    <w:lvl w:ilvl="1">
      <w:lvlJc w:val="left"/>
      <w:lvlText w:val="(%2)"/>
      <w:numFmt w:val="lowerLetter"/>
      <w:start w:val="15"/>
    </w:lvl>
  </w:abstractNum>
  <w:abstractNum w:abstractNumId="58">
    <w:nsid w:val="69E7F3E5"/>
    <w:multiLevelType w:val="hybridMultilevel"/>
    <w:lvl w:ilvl="0">
      <w:lvlJc w:val="left"/>
      <w:lvlText w:val="%1."/>
      <w:numFmt w:val="decimal"/>
      <w:start w:val="3"/>
    </w:lvl>
    <w:lvl w:ilvl="1">
      <w:lvlJc w:val="left"/>
      <w:lvlText w:val="(%2)"/>
      <w:numFmt w:val="lowerLetter"/>
      <w:start w:val="1"/>
    </w:lvl>
  </w:abstractNum>
  <w:abstractNum w:abstractNumId="59">
    <w:nsid w:val="2A6DE806"/>
    <w:multiLevelType w:val="hybridMultilevel"/>
    <w:lvl w:ilvl="0">
      <w:lvlJc w:val="left"/>
      <w:lvlText w:val="(%1)"/>
      <w:numFmt w:val="lowerLetter"/>
      <w:start w:val="2"/>
    </w:lvl>
  </w:abstractNum>
  <w:abstractNum w:abstractNumId="60">
    <w:nsid w:val="1816F8C4"/>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61">
    <w:nsid w:val="37DF2233"/>
    <w:multiLevelType w:val="hybridMultilevel"/>
    <w:lvl w:ilvl="0">
      <w:lvlJc w:val="left"/>
      <w:lvlText w:val="(%1)"/>
      <w:numFmt w:val="lowerRoman"/>
      <w:start w:val="7"/>
    </w:lvl>
    <w:lvl w:ilvl="1">
      <w:lvlJc w:val="left"/>
      <w:lvlText w:val="%2."/>
      <w:numFmt w:val="decimal"/>
      <w:start w:val="7"/>
    </w:lvl>
    <w:lvl w:ilvl="2">
      <w:lvlJc w:val="left"/>
      <w:lvlText w:val="(%3)"/>
      <w:numFmt w:val="lowerLetter"/>
      <w:start w:val="1"/>
    </w:lvl>
  </w:abstractNum>
  <w:abstractNum w:abstractNumId="62">
    <w:nsid w:val="7AB49DAF"/>
    <w:multiLevelType w:val="hybridMultilevel"/>
    <w:lvl w:ilvl="0">
      <w:lvlJc w:val="left"/>
      <w:lvlText w:val="(%1)"/>
      <w:numFmt w:val="lowerRoman"/>
      <w:start w:val="1"/>
    </w:lvl>
  </w:abstractNum>
  <w:abstractNum w:abstractNumId="63">
    <w:nsid w:val="759F82CD"/>
    <w:multiLevelType w:val="hybridMultilevel"/>
    <w:lvl w:ilvl="0">
      <w:lvlJc w:val="left"/>
      <w:lvlText w:val="(%1)"/>
      <w:numFmt w:val="lowerRoman"/>
      <w:start w:val="3"/>
    </w:lvl>
  </w:abstractNum>
  <w:abstractNum w:abstractNumId="64">
    <w:nsid w:val="61E74EA3"/>
    <w:multiLevelType w:val="hybridMultilevel"/>
    <w:lvl w:ilvl="0">
      <w:lvlJc w:val="left"/>
      <w:lvlText w:val="(%1)"/>
      <w:numFmt w:val="lowerRoman"/>
      <w:start w:val="4"/>
    </w:lvl>
  </w:abstractNum>
  <w:abstractNum w:abstractNumId="65">
    <w:nsid w:val="597B4D84"/>
    <w:multiLevelType w:val="hybridMultilevel"/>
    <w:lvl w:ilvl="0">
      <w:lvlJc w:val="left"/>
      <w:lvlText w:val="(%1)"/>
      <w:numFmt w:val="lowerRoman"/>
      <w:start w:val="5"/>
    </w:lvl>
  </w:abstractNum>
  <w:abstractNum w:abstractNumId="66">
    <w:nsid w:val="F819E7F"/>
    <w:multiLevelType w:val="hybridMultilevel"/>
    <w:lvl w:ilvl="0">
      <w:lvlJc w:val="left"/>
      <w:lvlText w:val="(%1)"/>
      <w:numFmt w:val="lowerRoman"/>
      <w:start w:val="6"/>
    </w:lvl>
  </w:abstractNum>
  <w:abstractNum w:abstractNumId="67">
    <w:nsid w:val="57C7D42D"/>
    <w:multiLevelType w:val="hybridMultilevel"/>
    <w:lvl w:ilvl="0">
      <w:lvlJc w:val="left"/>
      <w:lvlText w:val="(%1)"/>
      <w:numFmt w:val="lowerRoman"/>
      <w:start w:val="7"/>
    </w:lvl>
  </w:abstractNum>
  <w:abstractNum w:abstractNumId="68">
    <w:nsid w:val="312167AD"/>
    <w:multiLevelType w:val="hybridMultilevel"/>
    <w:lvl w:ilvl="0">
      <w:lvlJc w:val="left"/>
      <w:lvlText w:val="(%1)"/>
      <w:numFmt w:val="decimal"/>
      <w:start w:val="3"/>
    </w:lvl>
    <w:lvl w:ilvl="1">
      <w:lvlJc w:val="left"/>
      <w:lvlText w:val="(%2)"/>
      <w:numFmt w:val="lowerLetter"/>
      <w:start w:val="4"/>
    </w:lvl>
  </w:abstractNum>
  <w:abstractNum w:abstractNumId="69">
    <w:nsid w:val="631B64D4"/>
    <w:multiLevelType w:val="hybridMultilevel"/>
    <w:lvl w:ilvl="0">
      <w:lvlJc w:val="left"/>
      <w:lvlText w:val="(%1)"/>
      <w:numFmt w:val="lowerRoman"/>
      <w:start w:val="1"/>
    </w:lvl>
    <w:lvl w:ilvl="1">
      <w:lvlJc w:val="left"/>
      <w:lvlText w:val="(%2)"/>
      <w:numFmt w:val="lowerRoman"/>
      <w:start w:val="3"/>
    </w:lvl>
  </w:abstractNum>
  <w:abstractNum w:abstractNumId="70">
    <w:nsid w:val="78B5E776"/>
    <w:multiLevelType w:val="hybridMultilevel"/>
    <w:lvl w:ilvl="0">
      <w:lvlJc w:val="left"/>
      <w:lvlText w:val="(%1)"/>
      <w:numFmt w:val="lowerRoman"/>
      <w:start w:val="5"/>
    </w:lvl>
  </w:abstractNum>
  <w:abstractNum w:abstractNumId="71">
    <w:nsid w:val="75486E47"/>
    <w:multiLevelType w:val="hybridMultilevel"/>
    <w:lvl w:ilvl="0">
      <w:lvlJc w:val="left"/>
      <w:lvlText w:val="(%1)"/>
      <w:numFmt w:val="lowerLetter"/>
      <w:start w:val="5"/>
    </w:lvl>
  </w:abstractNum>
  <w:abstractNum w:abstractNumId="72">
    <w:nsid w:val="6E534CDE"/>
    <w:multiLevelType w:val="hybridMultilevel"/>
    <w:lvl w:ilvl="0">
      <w:lvlJc w:val="left"/>
      <w:lvlText w:val="%1"/>
      <w:numFmt w:val="decimal"/>
      <w:start w:val="1"/>
    </w:lvl>
    <w:lvl w:ilvl="1">
      <w:lvlJc w:val="left"/>
      <w:lvlText w:val="(%2)"/>
      <w:numFmt w:val="lowerLetter"/>
      <w:start w:val="9"/>
    </w:lvl>
  </w:abstractNum>
  <w:abstractNum w:abstractNumId="73">
    <w:nsid w:val="1A0DDE32"/>
    <w:multiLevelType w:val="hybridMultilevel"/>
    <w:lvl w:ilvl="0">
      <w:lvlJc w:val="left"/>
      <w:lvlText w:val="%1."/>
      <w:numFmt w:val="decimal"/>
      <w:start w:val="8"/>
    </w:lvl>
    <w:lvl w:ilvl="1">
      <w:lvlJc w:val="left"/>
      <w:lvlText w:val="%2"/>
      <w:numFmt w:val="lowerLetter"/>
      <w:start w:val="1"/>
    </w:lvl>
  </w:abstractNum>
  <w:abstractNum w:abstractNumId="74">
    <w:nsid w:val="65968C1C"/>
    <w:multiLevelType w:val="hybridMultilevel"/>
    <w:lvl w:ilvl="0">
      <w:lvlJc w:val="left"/>
      <w:lvlText w:val="%1"/>
      <w:numFmt w:val="lowerLetter"/>
      <w:start w:val="1"/>
    </w:lvl>
    <w:lvl w:ilvl="1">
      <w:lvlJc w:val="left"/>
      <w:lvlText w:val="(%2)"/>
      <w:numFmt w:val="lowerLetter"/>
      <w:start w:val="2"/>
    </w:lvl>
  </w:abstractNum>
  <w:abstractNum w:abstractNumId="75">
    <w:nsid w:val="46263DEC"/>
    <w:multiLevelType w:val="hybridMultilevel"/>
    <w:lvl w:ilvl="0">
      <w:lvlJc w:val="left"/>
      <w:lvlText w:val="(%1)"/>
      <w:numFmt w:val="lowerLetter"/>
      <w:start w:val="1"/>
    </w:lvl>
    <w:lvl w:ilvl="1">
      <w:lvlJc w:val="left"/>
      <w:lvlText w:val="(%2)"/>
      <w:numFmt w:val="lowerLetter"/>
      <w:start w:val="4"/>
    </w:lvl>
  </w:abstractNum>
  <w:abstractNum w:abstractNumId="76">
    <w:nsid w:val="260D8C4A"/>
    <w:multiLevelType w:val="hybridMultilevel"/>
    <w:lvl w:ilvl="0">
      <w:lvlJc w:val="left"/>
      <w:lvlText w:val="(%1)"/>
      <w:numFmt w:val="lowerLetter"/>
      <w:start w:val="4"/>
    </w:lvl>
    <w:lvl w:ilvl="1">
      <w:lvlJc w:val="left"/>
      <w:lvlText w:val="%2."/>
      <w:numFmt w:val="decimal"/>
      <w:start w:val="8"/>
    </w:lvl>
    <w:lvl w:ilvl="2">
      <w:lvlJc w:val="left"/>
      <w:lvlText w:val="(%3)"/>
      <w:numFmt w:val="lowerLetter"/>
      <w:start w:val="5"/>
    </w:lvl>
  </w:abstractNum>
  <w:abstractNum w:abstractNumId="77">
    <w:nsid w:val="73D4D3C4"/>
    <w:multiLevelType w:val="hybridMultilevel"/>
    <w:lvl w:ilvl="0">
      <w:lvlJc w:val="left"/>
      <w:lvlText w:val="%1"/>
      <w:numFmt w:val="decimal"/>
      <w:start w:val="1"/>
    </w:lvl>
    <w:lvl w:ilvl="1">
      <w:lvlJc w:val="left"/>
      <w:lvlText w:val="(%2)"/>
      <w:numFmt w:val="lowerLetter"/>
      <w:start w:val="2"/>
    </w:lvl>
  </w:abstractNum>
  <w:abstractNum w:abstractNumId="78">
    <w:nsid w:val="746F2E30"/>
    <w:multiLevelType w:val="hybridMultilevel"/>
    <w:lvl w:ilvl="0">
      <w:lvlJc w:val="left"/>
      <w:lvlText w:val="%1."/>
      <w:numFmt w:val="decimal"/>
      <w:start w:val="10"/>
    </w:lvl>
    <w:lvl w:ilvl="1">
      <w:lvlJc w:val="left"/>
      <w:lvlText w:val="%2"/>
      <w:numFmt w:val="lowerLetter"/>
      <w:start w:val="1"/>
    </w:lvl>
  </w:abstractNum>
  <w:abstractNum w:abstractNumId="79">
    <w:nsid w:val="6FDE8AF6"/>
    <w:multiLevelType w:val="hybridMultilevel"/>
    <w:lvl w:ilvl="0">
      <w:lvlJc w:val="left"/>
      <w:lvlText w:val="%1."/>
      <w:numFmt w:val="decimal"/>
      <w:start w:val="13"/>
    </w:lvl>
  </w:abstractNum>
  <w:abstractNum w:abstractNumId="80">
    <w:nsid w:val="3FC32E20"/>
    <w:multiLevelType w:val="hybridMultilevel"/>
    <w:lvl w:ilvl="0">
      <w:lvlJc w:val="left"/>
      <w:lvlText w:val="*"/>
      <w:numFmt w:val="bullet"/>
      <w:start w:val="1"/>
    </w:lvl>
  </w:abstractNum>
  <w:abstractNum w:abstractNumId="81">
    <w:nsid w:val="49C0E823"/>
    <w:multiLevelType w:val="hybridMultilevel"/>
    <w:lvl w:ilvl="0">
      <w:lvlJc w:val="left"/>
      <w:lvlText w:val="(%1)"/>
      <w:numFmt w:val="lowerRoman"/>
      <w:start w:val="1"/>
    </w:lvl>
  </w:abstractNum>
  <w:abstractNum w:abstractNumId="82">
    <w:nsid w:val="14D53685"/>
    <w:multiLevelType w:val="hybridMultilevel"/>
    <w:lvl w:ilvl="0">
      <w:lvlJc w:val="left"/>
      <w:lvlText w:val="(%1)"/>
      <w:numFmt w:val="upperLetter"/>
      <w:start w:val="1"/>
    </w:lvl>
  </w:abstractNum>
  <w:abstractNum w:abstractNumId="83">
    <w:nsid w:val="230F856C"/>
    <w:multiLevelType w:val="hybridMultilevel"/>
    <w:lvl w:ilvl="0">
      <w:lvlJc w:val="left"/>
      <w:lvlText w:val="(%1)"/>
      <w:numFmt w:val="upperLetter"/>
      <w:start w:val="5"/>
    </w:lvl>
  </w:abstractNum>
  <w:abstractNum w:abstractNumId="84">
    <w:nsid w:val="6EAA85FB"/>
    <w:multiLevelType w:val="hybridMultilevel"/>
    <w:lvl w:ilvl="0">
      <w:lvlJc w:val="left"/>
      <w:lvlText w:val="(%1)"/>
      <w:numFmt w:val="lowerRoman"/>
      <w:start w:val="6"/>
    </w:lvl>
  </w:abstractNum>
  <w:abstractNum w:abstractNumId="85">
    <w:nsid w:val="3F06ECB2"/>
    <w:multiLevelType w:val="hybridMultilevel"/>
    <w:lvl w:ilvl="0">
      <w:lvlJc w:val="left"/>
      <w:lvlText w:val="%1."/>
      <w:numFmt w:val="decimal"/>
      <w:start w:val="1"/>
    </w:lvl>
  </w:abstractNum>
  <w:abstractNum w:abstractNumId="86">
    <w:nsid w:val="3B594807"/>
    <w:multiLevelType w:val="hybridMultilevel"/>
    <w:lvl w:ilvl="0">
      <w:lvlJc w:val="left"/>
      <w:lvlText w:val="%1."/>
      <w:numFmt w:val="decimal"/>
      <w:start w:val="2"/>
    </w:lvl>
    <w:lvl w:ilvl="1">
      <w:lvlJc w:val="left"/>
      <w:lvlText w:val="(%2)"/>
      <w:numFmt w:val="lowerLetter"/>
      <w:start w:val="1"/>
    </w:lvl>
  </w:abstractNum>
  <w:abstractNum w:abstractNumId="87">
    <w:nsid w:val="6CAA2304"/>
    <w:multiLevelType w:val="hybridMultilevel"/>
    <w:lvl w:ilvl="0">
      <w:lvlJc w:val="left"/>
      <w:lvlText w:val="(%1)"/>
      <w:numFmt w:val="lowerLetter"/>
      <w:start w:val="3"/>
    </w:lvl>
  </w:abstractNum>
  <w:abstractNum w:abstractNumId="88">
    <w:nsid w:val="3F7C2FF4"/>
    <w:multiLevelType w:val="hybridMultilevel"/>
    <w:lvl w:ilvl="0">
      <w:lvlJc w:val="left"/>
      <w:lvlText w:val="(%1)"/>
      <w:numFmt w:val="lowerLetter"/>
      <w:start w:val="7"/>
    </w:lvl>
  </w:abstractNum>
  <w:abstractNum w:abstractNumId="89">
    <w:nsid w:val="25413BEC"/>
    <w:multiLevelType w:val="hybridMultilevel"/>
    <w:lvl w:ilvl="0">
      <w:lvlJc w:val="left"/>
      <w:lvlText w:val="%1"/>
      <w:numFmt w:val="decimal"/>
      <w:start w:val="1"/>
    </w:lvl>
    <w:lvl w:ilvl="1">
      <w:lvlJc w:val="left"/>
      <w:lvlText w:val="(%2)"/>
      <w:numFmt w:val="lowerLetter"/>
      <w:start w:val="12"/>
    </w:lvl>
  </w:abstractNum>
  <w:abstractNum w:abstractNumId="90">
    <w:nsid w:val="17180B0B"/>
    <w:multiLevelType w:val="hybridMultilevel"/>
    <w:lvl w:ilvl="0">
      <w:lvlJc w:val="left"/>
      <w:lvlText w:val="%1."/>
      <w:numFmt w:val="decimal"/>
      <w:start w:val="3"/>
    </w:lvl>
    <w:lvl w:ilvl="1">
      <w:lvlJc w:val="left"/>
      <w:lvlText w:val="%2"/>
      <w:numFmt w:val="lowerLetter"/>
      <w:start w:val="1"/>
    </w:lvl>
  </w:abstractNum>
  <w:abstractNum w:abstractNumId="91">
    <w:nsid w:val="579328B9"/>
    <w:multiLevelType w:val="hybridMultilevel"/>
    <w:lvl w:ilvl="0">
      <w:lvlJc w:val="left"/>
      <w:lvlText w:val="(%1)"/>
      <w:numFmt w:val="lowerLetter"/>
      <w:start w:val="1"/>
    </w:lvl>
  </w:abstractNum>
  <w:abstractNum w:abstractNumId="92">
    <w:nsid w:val="5D205E20"/>
    <w:multiLevelType w:val="hybridMultilevel"/>
    <w:lvl w:ilvl="0">
      <w:lvlJc w:val="left"/>
      <w:lvlText w:val="(%1)"/>
      <w:numFmt w:val="lowerLetter"/>
      <w:start w:val="4"/>
    </w:lvl>
  </w:abstractNum>
  <w:abstractNum w:abstractNumId="93">
    <w:nsid w:val="11CCA8B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94">
    <w:nsid w:val="4D32AB86"/>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95">
    <w:nsid w:val="3F07ACC3"/>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96">
    <w:nsid w:val="6B47F63E"/>
    <w:multiLevelType w:val="hybridMultilevel"/>
    <w:lvl w:ilvl="0">
      <w:lvlJc w:val="left"/>
      <w:lvlText w:val="%1."/>
      <w:numFmt w:val="decimal"/>
      <w:start w:val="7"/>
    </w:lvl>
    <w:lvl w:ilvl="1">
      <w:lvlJc w:val="left"/>
      <w:lvlText w:val="(%2)"/>
      <w:numFmt w:val="lowerLetter"/>
      <w:start w:val="1"/>
    </w:lvl>
  </w:abstractNum>
  <w:abstractNum w:abstractNumId="97">
    <w:nsid w:val="5CB44A05"/>
    <w:multiLevelType w:val="hybridMultilevel"/>
    <w:lvl w:ilvl="0">
      <w:lvlJc w:val="left"/>
      <w:lvlText w:val="(%1)"/>
      <w:numFmt w:val="lowerLetter"/>
      <w:start w:val="3"/>
    </w:lvl>
  </w:abstractNum>
  <w:abstractNum w:abstractNumId="98">
    <w:nsid w:val="16CF80F1"/>
    <w:multiLevelType w:val="hybridMultilevel"/>
    <w:lvl w:ilvl="0">
      <w:lvlJc w:val="left"/>
      <w:lvlText w:val="(%1)"/>
      <w:numFmt w:val="lowerRoman"/>
      <w:start w:val="1"/>
    </w:lvl>
  </w:abstractNum>
  <w:abstractNum w:abstractNumId="99">
    <w:nsid w:val="1C695DEC"/>
    <w:multiLevelType w:val="hybridMultilevel"/>
    <w:lvl w:ilvl="0">
      <w:lvlJc w:val="left"/>
      <w:lvlText w:val="(%1)"/>
      <w:numFmt w:val="lowerRoman"/>
      <w:start w:val="5"/>
    </w:lvl>
  </w:abstractNum>
  <w:abstractNum w:abstractNumId="100">
    <w:nsid w:val="3FCFAED9"/>
    <w:multiLevelType w:val="hybridMultilevel"/>
    <w:lvl w:ilvl="0">
      <w:lvlJc w:val="left"/>
      <w:lvlText w:val="(%1)"/>
      <w:numFmt w:val="lowerLetter"/>
      <w:start w:val="4"/>
    </w:lvl>
  </w:abstractNum>
  <w:abstractNum w:abstractNumId="101">
    <w:nsid w:val="F856867"/>
    <w:multiLevelType w:val="hybridMultilevel"/>
    <w:lvl w:ilvl="0">
      <w:lvlJc w:val="left"/>
      <w:lvlText w:val="(%1)"/>
      <w:numFmt w:val="lowerRoman"/>
      <w:start w:val="1"/>
    </w:lvl>
  </w:abstractNum>
  <w:abstractNum w:abstractNumId="102">
    <w:nsid w:val="11B1CC33"/>
    <w:multiLevelType w:val="hybridMultilevel"/>
    <w:lvl w:ilvl="0">
      <w:lvlJc w:val="left"/>
      <w:lvlText w:val="(%1)"/>
      <w:numFmt w:val="lowerLetter"/>
      <w:start w:val="5"/>
    </w:lvl>
  </w:abstractNum>
  <w:abstractNum w:abstractNumId="103">
    <w:nsid w:val="2E22FBB7"/>
    <w:multiLevelType w:val="hybridMultilevel"/>
    <w:lvl w:ilvl="0">
      <w:lvlJc w:val="left"/>
      <w:lvlText w:val="(%1)"/>
      <w:numFmt w:val="lowerLetter"/>
      <w:start w:val="6"/>
    </w:lvl>
  </w:abstractNum>
  <w:abstractNum w:abstractNumId="104">
    <w:nsid w:val="29934699"/>
    <w:multiLevelType w:val="hybridMultilevel"/>
    <w:lvl w:ilvl="0">
      <w:lvlJc w:val="left"/>
      <w:lvlText w:val="(%1)"/>
      <w:numFmt w:val="lowerLetter"/>
      <w:start w:val="10"/>
    </w:lvl>
  </w:abstractNum>
  <w:abstractNum w:abstractNumId="105">
    <w:nsid w:val="77485850"/>
    <w:multiLevelType w:val="hybridMultilevel"/>
    <w:lvl w:ilvl="0">
      <w:lvlJc w:val="left"/>
      <w:lvlText w:val="%1."/>
      <w:numFmt w:val="decimal"/>
      <w:start w:val="8"/>
    </w:lvl>
    <w:lvl w:ilvl="1">
      <w:lvlJc w:val="left"/>
      <w:lvlText w:val="(%2)"/>
      <w:numFmt w:val="lowerLetter"/>
      <w:start w:val="2"/>
    </w:lvl>
  </w:abstractNum>
  <w:abstractNum w:abstractNumId="106">
    <w:nsid w:val="744939A3"/>
    <w:multiLevelType w:val="hybridMultilevel"/>
    <w:lvl w:ilvl="0">
      <w:lvlJc w:val="left"/>
      <w:lvlText w:val="%1"/>
      <w:numFmt w:val="lowerLetter"/>
      <w:start w:val="1"/>
    </w:lvl>
    <w:lvl w:ilvl="1">
      <w:lvlJc w:val="left"/>
      <w:lvlText w:val="(%2)"/>
      <w:numFmt w:val="lowerLetter"/>
      <w:start w:val="3"/>
    </w:lvl>
  </w:abstractNum>
  <w:abstractNum w:abstractNumId="107">
    <w:nsid w:val="4FA0D2E3"/>
    <w:multiLevelType w:val="hybridMultilevel"/>
    <w:lvl w:ilvl="0">
      <w:lvlJc w:val="left"/>
      <w:lvlText w:val="(%1)"/>
      <w:numFmt w:val="lowerLetter"/>
      <w:start w:val="1"/>
    </w:lvl>
    <w:lvl w:ilvl="1">
      <w:lvlJc w:val="left"/>
      <w:lvlText w:val="(%2)"/>
      <w:numFmt w:val="lowerLetter"/>
      <w:start w:val="4"/>
    </w:lvl>
  </w:abstractNum>
  <w:abstractNum w:abstractNumId="108">
    <w:nsid w:val="6B1D2C14"/>
    <w:multiLevelType w:val="hybridMultilevel"/>
    <w:lvl w:ilvl="0">
      <w:lvlJc w:val="left"/>
      <w:lvlText w:val="%1"/>
      <w:numFmt w:val="decimal"/>
      <w:start w:val="1"/>
    </w:lvl>
    <w:lvl w:ilvl="1">
      <w:lvlJc w:val="left"/>
      <w:lvlText w:val="(%2)"/>
      <w:numFmt w:val="lowerLetter"/>
      <w:start w:val="5"/>
    </w:lvl>
  </w:abstractNum>
  <w:abstractNum w:abstractNumId="109">
    <w:nsid w:val="68B867D3"/>
    <w:multiLevelType w:val="hybridMultilevel"/>
    <w:lvl w:ilvl="0">
      <w:lvlJc w:val="left"/>
      <w:lvlText w:val="%1."/>
      <w:numFmt w:val="decimal"/>
      <w:start w:val="9"/>
    </w:lvl>
    <w:lvl w:ilvl="1">
      <w:lvlJc w:val="left"/>
      <w:lvlText w:val="(%2)"/>
      <w:numFmt w:val="lowerLetter"/>
      <w:start w:val="2"/>
    </w:lvl>
  </w:abstractNum>
  <w:abstractNum w:abstractNumId="110">
    <w:nsid w:val="3F7F5DD9"/>
    <w:multiLevelType w:val="hybridMultilevel"/>
    <w:lvl w:ilvl="0">
      <w:lvlJc w:val="left"/>
      <w:lvlText w:val="%1"/>
      <w:numFmt w:val="decimal"/>
      <w:start w:val="1"/>
    </w:lvl>
    <w:lvl w:ilvl="1">
      <w:lvlJc w:val="left"/>
      <w:lvlText w:val="(%2)"/>
      <w:numFmt w:val="lowerLetter"/>
      <w:start w:val="3"/>
    </w:lvl>
  </w:abstractNum>
  <w:abstractNum w:abstractNumId="111">
    <w:nsid w:val="2AE05A34"/>
    <w:multiLevelType w:val="hybridMultilevel"/>
    <w:lvl w:ilvl="0">
      <w:lvlJc w:val="left"/>
      <w:lvlText w:val="%1."/>
      <w:numFmt w:val="decimal"/>
      <w:start w:val="10"/>
    </w:lvl>
    <w:lvl w:ilvl="1">
      <w:lvlJc w:val="left"/>
      <w:lvlText w:val="%2"/>
      <w:numFmt w:val="lowerLetter"/>
      <w:start w:val="1"/>
    </w:lvl>
  </w:abstractNum>
  <w:abstractNum w:abstractNumId="112">
    <w:nsid w:val="32794FF7"/>
    <w:multiLevelType w:val="hybridMultilevel"/>
    <w:lvl w:ilvl="0">
      <w:lvlJc w:val="left"/>
      <w:lvlText w:val="%1."/>
      <w:numFmt w:val="decimal"/>
      <w:start w:val="13"/>
    </w:lvl>
  </w:abstractNum>
  <w:abstractNum w:abstractNumId="113">
    <w:nsid w:val="5454945E"/>
    <w:multiLevelType w:val="hybridMultilevel"/>
    <w:lvl w:ilvl="0">
      <w:lvlJc w:val="left"/>
      <w:lvlText w:val="%1."/>
      <w:numFmt w:val="decimal"/>
      <w:start w:val="14"/>
    </w:lvl>
  </w:abstractNum>
  <w:abstractNum w:abstractNumId="114">
    <w:nsid w:val="4DEFDFA0"/>
    <w:multiLevelType w:val="hybridMultilevel"/>
    <w:lvl w:ilvl="0">
      <w:lvlJc w:val="left"/>
      <w:lvlText w:val="*"/>
      <w:numFmt w:val="bullet"/>
      <w:start w:val="1"/>
    </w:lvl>
  </w:abstractNum>
  <w:abstractNum w:abstractNumId="115">
    <w:nsid w:val="2123D5F2"/>
    <w:multiLevelType w:val="hybridMultilevel"/>
    <w:lvl w:ilvl="0">
      <w:lvlJc w:val="left"/>
      <w:lvlText w:val="(%1)"/>
      <w:numFmt w:val="lowerRoman"/>
      <w:start w:val="1"/>
    </w:lvl>
  </w:abstractNum>
  <w:abstractNum w:abstractNumId="116">
    <w:nsid w:val="135B8110"/>
    <w:multiLevelType w:val="hybridMultilevel"/>
    <w:lvl w:ilvl="0">
      <w:lvlJc w:val="left"/>
      <w:lvlText w:val="(%1)"/>
      <w:numFmt w:val="upperLetter"/>
      <w:start w:val="1"/>
    </w:lvl>
  </w:abstractNum>
  <w:abstractNum w:abstractNumId="117">
    <w:nsid w:val="94927A8"/>
    <w:multiLevelType w:val="hybridMultilevel"/>
    <w:lvl w:ilvl="0">
      <w:lvlJc w:val="left"/>
      <w:lvlText w:val="(%1)"/>
      <w:numFmt w:val="upperLetter"/>
      <w:start w:val="5"/>
    </w:lvl>
  </w:abstractNum>
  <w:abstractNum w:abstractNumId="118">
    <w:nsid w:val="DCDF8F6"/>
    <w:multiLevelType w:val="hybridMultilevel"/>
    <w:lvl w:ilvl="0">
      <w:lvlJc w:val="left"/>
      <w:lvlText w:val="(%1)"/>
      <w:numFmt w:val="lowerRoman"/>
      <w:start w:val="6"/>
    </w:lvl>
  </w:abstractNum>
  <w:abstractNum w:abstractNumId="119">
    <w:nsid w:val="52D7B105"/>
    <w:multiLevelType w:val="hybridMultilevel"/>
    <w:lvl w:ilvl="0">
      <w:lvlJc w:val="left"/>
      <w:lvlText w:val="(%1)"/>
      <w:numFmt w:val="decimal"/>
      <w:start w:val="1"/>
    </w:lvl>
  </w:abstractNum>
  <w:abstractNum w:abstractNumId="120">
    <w:nsid w:val="2E8A6394"/>
    <w:multiLevelType w:val="hybridMultilevel"/>
    <w:lvl w:ilvl="0">
      <w:lvlJc w:val="left"/>
      <w:lvlText w:val="(%1)"/>
      <w:numFmt w:val="decimal"/>
      <w:start w:val="1"/>
    </w:lvl>
  </w:abstractNum>
  <w:abstractNum w:abstractNumId="121">
    <w:nsid w:val="24E60401"/>
    <w:multiLevelType w:val="hybridMultilevel"/>
    <w:lvl w:ilvl="0">
      <w:lvlJc w:val="left"/>
      <w:lvlText w:val="(%1)"/>
      <w:numFmt w:val="decimal"/>
      <w:start w:val="1"/>
    </w:lvl>
  </w:abstractNum>
  <w:abstractNum w:abstractNumId="122">
    <w:nsid w:val="2A6AD9BE"/>
    <w:multiLevelType w:val="hybridMultilevel"/>
    <w:lvl w:ilvl="0">
      <w:lvlJc w:val="left"/>
      <w:lvlText w:val="(%1)"/>
      <w:numFmt w:val="decimal"/>
      <w:start w:val="3"/>
    </w:lvl>
  </w:abstractNum>
  <w:abstractNum w:abstractNumId="123">
    <w:nsid w:val="BAAC1B4"/>
    <w:multiLevelType w:val="hybridMultilevel"/>
    <w:lvl w:ilvl="0">
      <w:lvlJc w:val="left"/>
      <w:lvlText w:val="(%1)"/>
      <w:numFmt w:val="decimal"/>
      <w:start w:val="1"/>
    </w:lvl>
  </w:abstractNum>
  <w:abstractNum w:abstractNumId="124">
    <w:nsid w:val="36B2ACBC"/>
    <w:multiLevelType w:val="hybridMultilevel"/>
    <w:lvl w:ilvl="0">
      <w:lvlJc w:val="left"/>
      <w:lvlText w:val="(%1)"/>
      <w:numFmt w:val="decimal"/>
      <w:start w:val="1"/>
    </w:lvl>
  </w:abstractNum>
  <w:abstractNum w:abstractNumId="125">
    <w:nsid w:val="779D8544"/>
    <w:multiLevelType w:val="hybridMultilevel"/>
    <w:lvl w:ilvl="0">
      <w:lvlJc w:val="left"/>
      <w:lvlText w:val="-"/>
      <w:numFmt w:val="bullet"/>
      <w:start w:val="1"/>
    </w:lvl>
  </w:abstractNum>
  <w:abstractNum w:abstractNumId="126">
    <w:nsid w:val="4AB26E78"/>
    <w:multiLevelType w:val="hybridMultilevel"/>
    <w:lvl w:ilvl="0">
      <w:lvlJc w:val="left"/>
      <w:lvlText w:val="-"/>
      <w:numFmt w:val="bullet"/>
      <w:start w:val="1"/>
    </w:lvl>
  </w:abstractNum>
  <w:abstractNum w:abstractNumId="127">
    <w:nsid w:val="21FAA2FA"/>
    <w:multiLevelType w:val="hybridMultilevel"/>
    <w:lvl w:ilvl="0">
      <w:lvlJc w:val="left"/>
      <w:lvlText w:val="-"/>
      <w:numFmt w:val="bullet"/>
      <w:start w:val="1"/>
    </w:lvl>
  </w:abstractNum>
  <w:abstractNum w:abstractNumId="128">
    <w:nsid w:val="5451CF49"/>
    <w:multiLevelType w:val="hybridMultilevel"/>
    <w:lvl w:ilvl="0">
      <w:lvlJc w:val="left"/>
      <w:lvlText w:val="(%1)"/>
      <w:numFmt w:val="decimal"/>
      <w:start w:val="1"/>
    </w:lvl>
  </w:abstractNum>
  <w:abstractNum w:abstractNumId="129">
    <w:nsid w:val="6181EF69"/>
    <w:multiLevelType w:val="hybridMultilevel"/>
    <w:lvl w:ilvl="0">
      <w:lvlJc w:val="left"/>
      <w:lvlText w:val="(%1)"/>
      <w:numFmt w:val="decimal"/>
      <w:start w:val="6"/>
    </w:lvl>
  </w:abstractNum>
  <w:abstractNum w:abstractNumId="130">
    <w:nsid w:val="3E6400E6"/>
    <w:multiLevelType w:val="hybridMultilevel"/>
    <w:lvl w:ilvl="0">
      <w:lvlJc w:val="left"/>
      <w:lvlText w:val="(%1)"/>
      <w:numFmt w:val="decimal"/>
      <w:start w:val="17"/>
    </w:lvl>
  </w:abstractNum>
  <w:abstractNum w:abstractNumId="131">
    <w:nsid w:val="14217E23"/>
    <w:multiLevelType w:val="hybridMultilevel"/>
    <w:lvl w:ilvl="0">
      <w:lvlJc w:val="left"/>
      <w:lvlText w:val="(%1)"/>
      <w:numFmt w:val="decimal"/>
      <w:start w:val="1"/>
    </w:lvl>
  </w:abstractNum>
  <w:abstractNum w:abstractNumId="132">
    <w:nsid w:val="710757D0"/>
    <w:multiLevelType w:val="hybridMultilevel"/>
    <w:lvl w:ilvl="0">
      <w:lvlJc w:val="left"/>
      <w:lvlText w:val="(%1)"/>
      <w:numFmt w:val="decimal"/>
      <w:start w:val="1"/>
    </w:lvl>
  </w:abstractNum>
  <w:abstractNum w:abstractNumId="133">
    <w:nsid w:val="5015CD1A"/>
    <w:multiLevelType w:val="hybridMultilevel"/>
    <w:lvl w:ilvl="0">
      <w:lvlJc w:val="left"/>
      <w:lvlText w:val="(%1)"/>
      <w:numFmt w:val="decimal"/>
      <w:start w:val="1"/>
    </w:lvl>
  </w:abstractNum>
  <w:abstractNum w:abstractNumId="134">
    <w:nsid w:val="424479DA"/>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35">
    <w:nsid w:val="1A9A9E69"/>
    <w:multiLevelType w:val="hybridMultilevel"/>
    <w:lvl w:ilvl="0">
      <w:lvlJc w:val="left"/>
      <w:lvlText w:val="(%1)"/>
      <w:numFmt w:val="decimal"/>
      <w:start w:val="2"/>
    </w:lvl>
  </w:abstractNum>
  <w:abstractNum w:abstractNumId="136">
    <w:nsid w:val="475E256A"/>
    <w:multiLevelType w:val="hybridMultilevel"/>
    <w:lvl w:ilvl="0">
      <w:lvlJc w:val="left"/>
      <w:lvlText w:val="(%1)"/>
      <w:numFmt w:val="decimal"/>
      <w:start w:val="1"/>
    </w:lvl>
  </w:abstractNum>
  <w:abstractNum w:abstractNumId="137">
    <w:nsid w:val="368DB37E"/>
    <w:multiLevelType w:val="hybridMultilevel"/>
    <w:lvl w:ilvl="0">
      <w:lvlJc w:val="left"/>
      <w:lvlText w:val="(%1)"/>
      <w:numFmt w:val="decimal"/>
      <w:start w:val="7"/>
    </w:lvl>
  </w:abstractNum>
  <w:abstractNum w:abstractNumId="138">
    <w:nsid w:val="6A3B714C"/>
    <w:multiLevelType w:val="hybridMultilevel"/>
    <w:lvl w:ilvl="0">
      <w:lvlJc w:val="left"/>
      <w:lvlText w:val="(%1)"/>
      <w:numFmt w:val="decimal"/>
      <w:start w:val="1"/>
    </w:lvl>
    <w:lvl w:ilvl="1">
      <w:lvlJc w:val="left"/>
      <w:lvlText w:val="(%2)"/>
      <w:numFmt w:val="upperLetter"/>
      <w:start w:val="1"/>
    </w:lvl>
  </w:abstractNum>
  <w:abstractNum w:abstractNumId="139">
    <w:nsid w:val="327B517E"/>
    <w:multiLevelType w:val="hybridMultilevel"/>
    <w:lvl w:ilvl="0">
      <w:lvlJc w:val="left"/>
      <w:lvlText w:val="(%1)"/>
      <w:numFmt w:val="decimal"/>
      <w:start w:val="1"/>
    </w:lvl>
  </w:abstractNum>
  <w:abstractNum w:abstractNumId="140">
    <w:nsid w:val="1F461B51"/>
    <w:multiLevelType w:val="hybridMultilevel"/>
    <w:lvl w:ilvl="0">
      <w:lvlJc w:val="left"/>
      <w:lvlText w:val="(%1)"/>
      <w:numFmt w:val="decimal"/>
      <w:start w:val="1"/>
    </w:lvl>
  </w:abstractNum>
  <w:abstractNum w:abstractNumId="141">
    <w:nsid w:val="29BACF25"/>
    <w:multiLevelType w:val="hybridMultilevel"/>
    <w:lvl w:ilvl="0">
      <w:lvlJc w:val="left"/>
      <w:lvlText w:val="(%1)"/>
      <w:numFmt w:val="decimal"/>
      <w:start w:val="1"/>
    </w:lvl>
  </w:abstractNum>
  <w:abstractNum w:abstractNumId="142">
    <w:nsid w:val="5D5BABB3"/>
    <w:multiLevelType w:val="hybridMultilevel"/>
    <w:lvl w:ilvl="0">
      <w:lvlJc w:val="left"/>
      <w:lvlText w:val="(%1)"/>
      <w:numFmt w:val="decimal"/>
      <w:start w:val="1"/>
    </w:lvl>
  </w:abstractNum>
  <w:abstractNum w:abstractNumId="143">
    <w:nsid w:val="51BF6B48"/>
    <w:multiLevelType w:val="hybridMultilevel"/>
    <w:lvl w:ilvl="0">
      <w:lvlJc w:val="left"/>
      <w:lvlText w:val="(%1)"/>
      <w:numFmt w:val="decimal"/>
      <w:start w:val="2"/>
    </w:lvl>
  </w:abstractNum>
  <w:abstractNum w:abstractNumId="144">
    <w:nsid w:val="7E0F6384"/>
    <w:multiLevelType w:val="hybridMultilevel"/>
    <w:lvl w:ilvl="0">
      <w:lvlJc w:val="left"/>
      <w:lvlText w:val="(%1)"/>
      <w:numFmt w:val="decimal"/>
      <w:start w:val="1"/>
    </w:lvl>
  </w:abstractNum>
  <w:abstractNum w:abstractNumId="145">
    <w:nsid w:val="2B4B8B53"/>
    <w:multiLevelType w:val="hybridMultilevel"/>
    <w:lvl w:ilvl="0">
      <w:lvlJc w:val="left"/>
      <w:lvlText w:val="(%1)"/>
      <w:numFmt w:val="decimal"/>
      <w:start w:val="1"/>
    </w:lvl>
  </w:abstractNum>
  <w:abstractNum w:abstractNumId="146">
    <w:nsid w:val="72E3413A"/>
    <w:multiLevelType w:val="hybridMultilevel"/>
    <w:lvl w:ilvl="0">
      <w:lvlJc w:val="left"/>
      <w:lvlText w:val="(%1)"/>
      <w:numFmt w:val="decimal"/>
      <w:start w:val="1"/>
    </w:lvl>
  </w:abstractNum>
  <w:abstractNum w:abstractNumId="147">
    <w:nsid w:val="116AE494"/>
    <w:multiLevelType w:val="hybridMultilevel"/>
    <w:lvl w:ilvl="0">
      <w:lvlJc w:val="left"/>
      <w:lvlText w:val="(%1)"/>
      <w:numFmt w:val="decimal"/>
      <w:start w:val="1"/>
    </w:lvl>
  </w:abstractNum>
  <w:abstractNum w:abstractNumId="148">
    <w:nsid w:val="3494B2FB"/>
    <w:multiLevelType w:val="hybridMultilevel"/>
    <w:lvl w:ilvl="0">
      <w:lvlJc w:val="left"/>
      <w:lvlText w:val="(%1)"/>
      <w:numFmt w:val="decimal"/>
      <w:start w:val="1"/>
    </w:lvl>
  </w:abstractNum>
  <w:abstractNum w:abstractNumId="149">
    <w:nsid w:val="B13A31"/>
    <w:multiLevelType w:val="hybridMultilevel"/>
    <w:lvl w:ilvl="0">
      <w:lvlJc w:val="left"/>
      <w:lvlText w:val="(%1)"/>
      <w:numFmt w:val="decimal"/>
      <w:start w:val="1"/>
    </w:lvl>
  </w:abstractNum>
  <w:abstractNum w:abstractNumId="150">
    <w:nsid w:val="64429599"/>
    <w:multiLevelType w:val="hybridMultilevel"/>
    <w:lvl w:ilvl="0">
      <w:lvlJc w:val="left"/>
      <w:lvlText w:val="(%1)"/>
      <w:numFmt w:val="decimal"/>
      <w:start w:val="2"/>
    </w:lvl>
  </w:abstractNum>
  <w:abstractNum w:abstractNumId="151">
    <w:nsid w:val="631F1690"/>
    <w:multiLevelType w:val="hybridMultilevel"/>
    <w:lvl w:ilvl="0">
      <w:lvlJc w:val="left"/>
      <w:lvlText w:val="(%1)"/>
      <w:numFmt w:val="decimal"/>
      <w:start w:val="1"/>
    </w:lvl>
  </w:abstractNum>
  <w:abstractNum w:abstractNumId="152">
    <w:nsid w:val="25973E32"/>
    <w:multiLevelType w:val="hybridMultilevel"/>
    <w:lvl w:ilvl="0">
      <w:lvlJc w:val="left"/>
      <w:lvlText w:val="(%1)"/>
      <w:numFmt w:val="decimal"/>
      <w:start w:val="1"/>
    </w:lvl>
  </w:abstractNum>
  <w:abstractNum w:abstractNumId="153">
    <w:nsid w:val="EAD6F57"/>
    <w:multiLevelType w:val="hybridMultilevel"/>
    <w:lvl w:ilvl="0">
      <w:lvlJc w:val="left"/>
      <w:lvlText w:val="(%1)"/>
      <w:numFmt w:val="decimal"/>
      <w:start w:val="3"/>
    </w:lvl>
  </w:abstractNum>
  <w:abstractNum w:abstractNumId="154">
    <w:nsid w:val="6EC9D844"/>
    <w:multiLevelType w:val="hybridMultilevel"/>
    <w:lvl w:ilvl="0">
      <w:lvlJc w:val="left"/>
      <w:lvlText w:val="(%1)"/>
      <w:numFmt w:val="decimal"/>
      <w:start w:val="1"/>
    </w:lvl>
  </w:abstractNum>
  <w:abstractNum w:abstractNumId="155">
    <w:nsid w:val="5C49EAEE"/>
    <w:multiLevelType w:val="hybridMultilevel"/>
    <w:lvl w:ilvl="0">
      <w:lvlJc w:val="left"/>
      <w:lvlText w:val="(%1)"/>
      <w:numFmt w:val="decimal"/>
      <w:start w:val="6"/>
    </w:lvl>
  </w:abstractNum>
  <w:abstractNum w:abstractNumId="156">
    <w:nsid w:val="64AF49B"/>
    <w:multiLevelType w:val="hybridMultilevel"/>
    <w:lvl w:ilvl="0">
      <w:lvlJc w:val="left"/>
      <w:lvlText w:val="%1)"/>
      <w:numFmt w:val="decimal"/>
      <w:start w:val="307"/>
    </w:lvl>
  </w:abstractNum>
  <w:abstractNum w:abstractNumId="157">
    <w:nsid w:val="397C46BC"/>
    <w:multiLevelType w:val="hybridMultilevel"/>
    <w:lvl w:ilvl="0">
      <w:lvlJc w:val="left"/>
      <w:lvlText w:val="%1"/>
      <w:numFmt w:val="upperLetter"/>
      <w:start w:val="1"/>
    </w:lvl>
    <w:lvl w:ilvl="1">
      <w:lvlJc w:val="left"/>
      <w:lvlText w:val="(%2)"/>
      <w:numFmt w:val="decimal"/>
      <w:start w:val="1"/>
    </w:lvl>
  </w:abstractNum>
  <w:abstractNum w:abstractNumId="158">
    <w:nsid w:val="7E448DE9"/>
    <w:multiLevelType w:val="hybridMultilevel"/>
    <w:lvl w:ilvl="0">
      <w:lvlJc w:val="left"/>
      <w:lvlText w:val="(%1)"/>
      <w:numFmt w:val="upperLetter"/>
      <w:start w:val="2"/>
    </w:lvl>
    <w:lvl w:ilvl="1">
      <w:lvlJc w:val="left"/>
      <w:lvlText w:val="(%2)"/>
      <w:numFmt w:val="decimal"/>
      <w:start w:val="2"/>
    </w:lvl>
  </w:abstractNum>
  <w:abstractNum w:abstractNumId="159">
    <w:nsid w:val="5A9CC3E5"/>
    <w:multiLevelType w:val="hybridMultilevel"/>
    <w:lvl w:ilvl="0">
      <w:lvlJc w:val="left"/>
      <w:lvlText w:val="(%1)"/>
      <w:numFmt w:val="decimal"/>
      <w:start w:val="5"/>
    </w:lvl>
  </w:abstractNum>
  <w:abstractNum w:abstractNumId="160">
    <w:nsid w:val="1AFE3625"/>
    <w:multiLevelType w:val="hybridMultilevel"/>
    <w:lvl w:ilvl="0">
      <w:lvlJc w:val="left"/>
      <w:lvlText w:val="(%1)"/>
      <w:numFmt w:val="decimal"/>
      <w:start w:val="1"/>
    </w:lvl>
  </w:abstractNum>
  <w:abstractNum w:abstractNumId="161">
    <w:nsid w:val="3CA88ECF"/>
    <w:multiLevelType w:val="hybridMultilevel"/>
    <w:lvl w:ilvl="0">
      <w:lvlJc w:val="left"/>
      <w:lvlText w:val="(%1)"/>
      <w:numFmt w:val="decimal"/>
      <w:start w:val="1"/>
    </w:lvl>
  </w:abstractNum>
  <w:abstractNum w:abstractNumId="162">
    <w:nsid w:val="6EBE4208"/>
    <w:multiLevelType w:val="hybridMultilevel"/>
    <w:lvl w:ilvl="0">
      <w:lvlJc w:val="left"/>
      <w:lvlText w:val="(%1)"/>
      <w:numFmt w:val="decimal"/>
      <w:start w:val="5"/>
    </w:lvl>
  </w:abstractNum>
  <w:abstractNum w:abstractNumId="163">
    <w:nsid w:val="C058DF5"/>
    <w:multiLevelType w:val="hybridMultilevel"/>
    <w:lvl w:ilvl="0">
      <w:lvlJc w:val="left"/>
      <w:lvlText w:val="(%1)"/>
      <w:numFmt w:val="decimal"/>
      <w:start w:val="1"/>
    </w:lvl>
  </w:abstractNum>
  <w:abstractNum w:abstractNumId="164">
    <w:nsid w:val="CBE5BE9"/>
    <w:multiLevelType w:val="hybridMultilevel"/>
    <w:lvl w:ilvl="0">
      <w:lvlJc w:val="left"/>
      <w:lvlText w:val="(%1)"/>
      <w:numFmt w:val="lowerLetter"/>
      <w:start w:val="35"/>
    </w:lvl>
  </w:abstractNum>
  <w:abstractNum w:abstractNumId="165">
    <w:nsid w:val="3102BBE2"/>
    <w:multiLevelType w:val="hybridMultilevel"/>
    <w:lvl w:ilvl="0">
      <w:lvlJc w:val="left"/>
      <w:lvlText w:val="(%1)"/>
      <w:numFmt w:val="lowerLetter"/>
      <w:start w:val="1"/>
    </w:lvl>
  </w:abstractNum>
  <w:abstractNum w:abstractNumId="166">
    <w:nsid w:val="26A02C5E"/>
    <w:multiLevelType w:val="hybridMultilevel"/>
    <w:lvl w:ilvl="0">
      <w:lvlJc w:val="left"/>
      <w:lvlText w:val="(%1)"/>
      <w:numFmt w:val="decimal"/>
      <w:start w:val="1"/>
    </w:lvl>
  </w:abstractNum>
  <w:abstractNum w:abstractNumId="167">
    <w:nsid w:val="541C8153"/>
    <w:multiLevelType w:val="hybridMultilevel"/>
    <w:lvl w:ilvl="0">
      <w:lvlJc w:val="left"/>
      <w:lvlText w:val="(%1)"/>
      <w:numFmt w:val="decimal"/>
      <w:start w:val="4"/>
    </w:lvl>
  </w:abstractNum>
  <w:abstractNum w:abstractNumId="168">
    <w:nsid w:val="67906F60"/>
    <w:multiLevelType w:val="hybridMultilevel"/>
    <w:lvl w:ilvl="0">
      <w:lvlJc w:val="left"/>
      <w:lvlText w:val="(%1)"/>
      <w:numFmt w:val="decimal"/>
      <w:start w:val="1"/>
    </w:lvl>
  </w:abstractNum>
  <w:abstractNum w:abstractNumId="169">
    <w:nsid w:val="10DB9DAA"/>
    <w:multiLevelType w:val="hybridMultilevel"/>
    <w:lvl w:ilvl="0">
      <w:lvlJc w:val="left"/>
      <w:lvlText w:val="(%1)"/>
      <w:numFmt w:val="decimal"/>
      <w:start w:val="1"/>
    </w:lvl>
  </w:abstractNum>
  <w:abstractNum w:abstractNumId="170">
    <w:nsid w:val="697D2D2"/>
    <w:multiLevelType w:val="hybridMultilevel"/>
    <w:lvl w:ilvl="0">
      <w:lvlJc w:val="left"/>
      <w:lvlText w:val="(%1)"/>
      <w:numFmt w:val="decimal"/>
      <w:start w:val="3"/>
    </w:lvl>
  </w:abstractNum>
  <w:abstractNum w:abstractNumId="171">
    <w:nsid w:val="6D68AB2"/>
    <w:multiLevelType w:val="hybridMultilevel"/>
    <w:lvl w:ilvl="0">
      <w:lvlJc w:val="left"/>
      <w:lvlText w:val="(%1)"/>
      <w:numFmt w:val="decimal"/>
      <w:start w:val="13"/>
    </w:lvl>
  </w:abstractNum>
  <w:abstractNum w:abstractNumId="172">
    <w:nsid w:val="3A966CD0"/>
    <w:multiLevelType w:val="hybridMultilevel"/>
    <w:lvl w:ilvl="0">
      <w:lvlJc w:val="left"/>
      <w:lvlText w:val="(%1)"/>
      <w:numFmt w:val="decimal"/>
      <w:start w:val="1"/>
    </w:lvl>
  </w:abstractNum>
  <w:abstractNum w:abstractNumId="173">
    <w:nsid w:val="63F37E85"/>
    <w:multiLevelType w:val="hybridMultilevel"/>
    <w:lvl w:ilvl="0">
      <w:lvlJc w:val="left"/>
      <w:lvlText w:val="(%1)"/>
      <w:numFmt w:val="decimal"/>
      <w:start w:val="3"/>
    </w:lvl>
  </w:abstractNum>
  <w:abstractNum w:abstractNumId="174">
    <w:nsid w:val="5895F5FA"/>
    <w:multiLevelType w:val="hybridMultilevel"/>
    <w:lvl w:ilvl="0">
      <w:lvlJc w:val="left"/>
      <w:lvlText w:val="(%1)"/>
      <w:numFmt w:val="decimal"/>
      <w:start w:val="1"/>
    </w:lvl>
  </w:abstractNum>
  <w:abstractNum w:abstractNumId="175">
    <w:nsid w:val="38A5D054"/>
    <w:multiLevelType w:val="hybridMultilevel"/>
    <w:lvl w:ilvl="0">
      <w:lvlJc w:val="left"/>
      <w:lvlText w:val="(%1)"/>
      <w:numFmt w:val="decimal"/>
      <w:start w:val="1"/>
    </w:lvl>
  </w:abstractNum>
  <w:abstractNum w:abstractNumId="176">
    <w:nsid w:val="F3F09D8"/>
    <w:multiLevelType w:val="hybridMultilevel"/>
    <w:lvl w:ilvl="0">
      <w:lvlJc w:val="left"/>
      <w:lvlText w:val="(%1)"/>
      <w:numFmt w:val="decimal"/>
      <w:start w:val="2"/>
    </w:lvl>
  </w:abstractNum>
  <w:abstractNum w:abstractNumId="177">
    <w:nsid w:val="4B793735"/>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78">
    <w:nsid w:val="4A10B4E8"/>
    <w:multiLevelType w:val="hybridMultilevel"/>
    <w:lvl w:ilvl="0">
      <w:lvlJc w:val="left"/>
      <w:lvlText w:val="(%1)"/>
      <w:numFmt w:val="decimal"/>
      <w:start w:val="2"/>
    </w:lvl>
  </w:abstractNum>
  <w:abstractNum w:abstractNumId="179">
    <w:nsid w:val="43D3BCD4"/>
    <w:multiLevelType w:val="hybridMultilevel"/>
    <w:lvl w:ilvl="0">
      <w:lvlJc w:val="left"/>
      <w:lvlText w:val="(%1)"/>
      <w:numFmt w:val="decimal"/>
      <w:start w:val="1"/>
    </w:lvl>
  </w:abstractNum>
  <w:abstractNum w:abstractNumId="180">
    <w:nsid w:val="4C2A7166"/>
    <w:multiLevelType w:val="hybridMultilevel"/>
    <w:lvl w:ilvl="0">
      <w:lvlJc w:val="left"/>
      <w:lvlText w:val="(%1)"/>
      <w:numFmt w:val="decimal"/>
      <w:start w:val="2"/>
    </w:lvl>
  </w:abstractNum>
  <w:abstractNum w:abstractNumId="181">
    <w:nsid w:val="2E534A82"/>
    <w:multiLevelType w:val="hybridMultilevel"/>
    <w:lvl w:ilvl="0">
      <w:lvlJc w:val="left"/>
      <w:lvlText w:val="(%1)"/>
      <w:numFmt w:val="decimal"/>
      <w:start w:val="1"/>
    </w:lvl>
    <w:lvl w:ilvl="1">
      <w:lvlJc w:val="left"/>
      <w:lvlText w:val="(%2)"/>
      <w:numFmt w:val="upperLetter"/>
      <w:start w:val="1"/>
    </w:lvl>
  </w:abstractNum>
  <w:abstractNum w:abstractNumId="182">
    <w:nsid w:val="26F2D364"/>
    <w:multiLevelType w:val="hybridMultilevel"/>
    <w:lvl w:ilvl="0">
      <w:lvlJc w:val="left"/>
      <w:lvlText w:val="(%1)"/>
      <w:numFmt w:val="decimal"/>
      <w:start w:val="2"/>
    </w:lvl>
  </w:abstractNum>
  <w:abstractNum w:abstractNumId="183">
    <w:nsid w:val="71C1AF98"/>
    <w:multiLevelType w:val="hybridMultilevel"/>
    <w:lvl w:ilvl="0">
      <w:lvlJc w:val="left"/>
      <w:lvlText w:val="(%1)"/>
      <w:numFmt w:val="decimal"/>
      <w:start w:val="1"/>
    </w:lvl>
  </w:abstractNum>
  <w:abstractNum w:abstractNumId="184">
    <w:nsid w:val="3D00B9D9"/>
    <w:multiLevelType w:val="hybridMultilevel"/>
    <w:lvl w:ilvl="0">
      <w:lvlJc w:val="left"/>
      <w:lvlText w:val="(%1)"/>
      <w:numFmt w:val="decimal"/>
      <w:start w:val="2"/>
    </w:lvl>
  </w:abstractNum>
  <w:abstractNum w:abstractNumId="185">
    <w:nsid w:val="15BCABA8"/>
    <w:multiLevelType w:val="hybridMultilevel"/>
    <w:lvl w:ilvl="0">
      <w:lvlJc w:val="left"/>
      <w:lvlText w:val="(%1)"/>
      <w:numFmt w:val="decimal"/>
      <w:start w:val="1"/>
    </w:lvl>
  </w:abstractNum>
  <w:abstractNum w:abstractNumId="186">
    <w:nsid w:val="4E0B9A87"/>
    <w:multiLevelType w:val="hybridMultilevel"/>
    <w:lvl w:ilvl="0">
      <w:lvlJc w:val="left"/>
      <w:lvlText w:val="(%1)"/>
      <w:numFmt w:val="decimal"/>
      <w:start w:val="1"/>
    </w:lvl>
  </w:abstractNum>
  <w:abstractNum w:abstractNumId="187">
    <w:nsid w:val="434BAE75"/>
    <w:multiLevelType w:val="hybridMultilevel"/>
    <w:lvl w:ilvl="0">
      <w:lvlJc w:val="left"/>
      <w:lvlText w:val="(%1)"/>
      <w:numFmt w:val="decimal"/>
      <w:start w:val="1"/>
    </w:lvl>
  </w:abstractNum>
  <w:abstractNum w:abstractNumId="188">
    <w:nsid w:val="4F38F265"/>
    <w:multiLevelType w:val="hybridMultilevel"/>
    <w:lvl w:ilvl="0">
      <w:lvlJc w:val="left"/>
      <w:lvlText w:val="(%1)"/>
      <w:numFmt w:val="decimal"/>
      <w:start w:val="1"/>
    </w:lvl>
  </w:abstractNum>
  <w:abstractNum w:abstractNumId="189">
    <w:nsid w:val="4C502870"/>
    <w:multiLevelType w:val="hybridMultilevel"/>
    <w:lvl w:ilvl="0">
      <w:lvlJc w:val="left"/>
      <w:lvlText w:val="(%1)"/>
      <w:numFmt w:val="decimal"/>
      <w:start w:val="4"/>
    </w:lvl>
  </w:abstractNum>
  <w:abstractNum w:abstractNumId="190">
    <w:nsid w:val="1DE8725A"/>
    <w:multiLevelType w:val="hybridMultilevel"/>
    <w:lvl w:ilvl="0">
      <w:lvlJc w:val="left"/>
      <w:lvlText w:val="(%1)"/>
      <w:numFmt w:val="decimal"/>
      <w:start w:val="1"/>
    </w:lvl>
  </w:abstractNum>
  <w:abstractNum w:abstractNumId="191">
    <w:nsid w:val="6A37288A"/>
    <w:multiLevelType w:val="hybridMultilevel"/>
    <w:lvl w:ilvl="0">
      <w:lvlJc w:val="left"/>
      <w:lvlText w:val="(%1)"/>
      <w:numFmt w:val="decimal"/>
      <w:start w:val="1"/>
    </w:lvl>
  </w:abstractNum>
  <w:abstractNum w:abstractNumId="192">
    <w:nsid w:val="8F8B73F"/>
    <w:multiLevelType w:val="hybridMultilevel"/>
    <w:lvl w:ilvl="0">
      <w:lvlJc w:val="left"/>
      <w:lvlText w:val="(%1)"/>
      <w:numFmt w:val="decimal"/>
      <w:start w:val="1"/>
    </w:lvl>
  </w:abstractNum>
  <w:abstractNum w:abstractNumId="193">
    <w:nsid w:val="CA6B462"/>
    <w:multiLevelType w:val="hybridMultilevel"/>
    <w:lvl w:ilvl="0">
      <w:lvlJc w:val="left"/>
      <w:lvlText w:val="(%1)"/>
      <w:numFmt w:val="decimal"/>
      <w:start w:val="1"/>
    </w:lvl>
  </w:abstractNum>
  <w:abstractNum w:abstractNumId="194">
    <w:nsid w:val="763CB680"/>
    <w:multiLevelType w:val="hybridMultilevel"/>
    <w:lvl w:ilvl="0">
      <w:lvlJc w:val="left"/>
      <w:lvlText w:val="(%1)"/>
      <w:numFmt w:val="decimal"/>
      <w:start w:val="2"/>
    </w:lvl>
  </w:abstractNum>
  <w:abstractNum w:abstractNumId="195">
    <w:nsid w:val="15B71329"/>
    <w:multiLevelType w:val="hybridMultilevel"/>
    <w:lvl w:ilvl="0">
      <w:lvlJc w:val="left"/>
      <w:lvlText w:val="(%1)"/>
      <w:numFmt w:val="decimal"/>
      <w:start w:val="1"/>
    </w:lvl>
  </w:abstractNum>
  <w:abstractNum w:abstractNumId="196">
    <w:nsid w:val="3DA97044"/>
    <w:multiLevelType w:val="hybridMultilevel"/>
    <w:lvl w:ilvl="0">
      <w:lvlJc w:val="left"/>
      <w:lvlText w:val="(%1)"/>
      <w:numFmt w:val="decimal"/>
      <w:start w:val="10"/>
    </w:lvl>
    <w:lvl w:ilvl="1">
      <w:lvlJc w:val="left"/>
      <w:lvlText w:val="(%2)"/>
      <w:numFmt w:val="decimal"/>
      <w:start w:val="11"/>
    </w:lvl>
  </w:abstractNum>
  <w:abstractNum w:abstractNumId="197">
    <w:nsid w:val="1CDCE2DE"/>
    <w:multiLevelType w:val="hybridMultilevel"/>
    <w:lvl w:ilvl="0">
      <w:lvlJc w:val="left"/>
      <w:lvlText w:val="(%1)"/>
      <w:numFmt w:val="decimal"/>
      <w:start w:val="1"/>
    </w:lvl>
  </w:abstractNum>
  <w:abstractNum w:abstractNumId="198">
    <w:nsid w:val="69D3947C"/>
    <w:multiLevelType w:val="hybridMultilevel"/>
    <w:lvl w:ilvl="0">
      <w:lvlJc w:val="left"/>
      <w:lvlText w:val="(%1)"/>
      <w:numFmt w:val="decimal"/>
      <w:start w:val="4"/>
    </w:lvl>
  </w:abstractNum>
  <w:abstractNum w:abstractNumId="199">
    <w:nsid w:val="2539DFA5"/>
    <w:multiLevelType w:val="hybridMultilevel"/>
    <w:lvl w:ilvl="0">
      <w:lvlJc w:val="left"/>
      <w:lvlText w:val="(%1)"/>
      <w:numFmt w:val="decimal"/>
      <w:start w:val="1"/>
    </w:lvl>
  </w:abstractNum>
  <w:abstractNum w:abstractNumId="200">
    <w:nsid w:val="2DB88089"/>
    <w:multiLevelType w:val="hybridMultilevel"/>
    <w:lvl w:ilvl="0">
      <w:lvlJc w:val="left"/>
      <w:lvlText w:val="%1)"/>
      <w:numFmt w:val="decimal"/>
      <w:start w:val="307"/>
    </w:lvl>
  </w:abstractNum>
  <w:abstractNum w:abstractNumId="201">
    <w:nsid w:val="706B674E"/>
    <w:multiLevelType w:val="hybridMultilevel"/>
    <w:lvl w:ilvl="0">
      <w:lvlJc w:val="left"/>
      <w:lvlText w:val="%1"/>
      <w:numFmt w:val="upperLetter"/>
      <w:start w:val="1"/>
    </w:lvl>
    <w:lvl w:ilvl="1">
      <w:lvlJc w:val="left"/>
      <w:lvlText w:val="(%2)"/>
      <w:numFmt w:val="decimal"/>
      <w:start w:val="1"/>
    </w:lvl>
  </w:abstractNum>
  <w:abstractNum w:abstractNumId="202">
    <w:nsid w:val="2C106A57"/>
    <w:multiLevelType w:val="hybridMultilevel"/>
    <w:lvl w:ilvl="0">
      <w:lvlJc w:val="left"/>
      <w:lvlText w:val="(%1)"/>
      <w:numFmt w:val="upperLetter"/>
      <w:start w:val="2"/>
    </w:lvl>
    <w:lvl w:ilvl="1">
      <w:lvlJc w:val="left"/>
      <w:lvlText w:val="(%2)"/>
      <w:numFmt w:val="decimal"/>
      <w:start w:val="2"/>
    </w:lvl>
  </w:abstractNum>
  <w:abstractNum w:abstractNumId="203">
    <w:nsid w:val="684EED59"/>
    <w:multiLevelType w:val="hybridMultilevel"/>
    <w:lvl w:ilvl="0">
      <w:lvlJc w:val="left"/>
      <w:lvlText w:val="(%1)"/>
      <w:numFmt w:val="decimal"/>
      <w:start w:val="3"/>
    </w:lvl>
  </w:abstractNum>
  <w:abstractNum w:abstractNumId="204">
    <w:nsid w:val="545EE5D3"/>
    <w:multiLevelType w:val="hybridMultilevel"/>
    <w:lvl w:ilvl="0">
      <w:lvlJc w:val="left"/>
      <w:lvlText w:val="(%1)"/>
      <w:numFmt w:val="decimal"/>
      <w:start w:val="10"/>
    </w:lvl>
  </w:abstractNum>
  <w:abstractNum w:abstractNumId="205">
    <w:nsid w:val="4A66051"/>
    <w:multiLevelType w:val="hybridMultilevel"/>
    <w:lvl w:ilvl="0">
      <w:lvlJc w:val="left"/>
      <w:lvlText w:val="(%1)"/>
      <w:numFmt w:val="decimal"/>
      <w:start w:val="1"/>
    </w:lvl>
  </w:abstractNum>
  <w:abstractNum w:abstractNumId="206">
    <w:nsid w:val="20F4BDAD"/>
    <w:multiLevelType w:val="hybridMultilevel"/>
    <w:lvl w:ilvl="0">
      <w:lvlJc w:val="left"/>
      <w:lvlText w:val="(%1)"/>
      <w:numFmt w:val="lowerRoman"/>
      <w:start w:val="1"/>
    </w:lvl>
  </w:abstractNum>
  <w:abstractNum w:abstractNumId="207">
    <w:nsid w:val="639DEFAC"/>
    <w:multiLevelType w:val="hybridMultilevel"/>
    <w:lvl w:ilvl="0">
      <w:lvlJc w:val="left"/>
      <w:lvlText w:val="(%1)"/>
      <w:numFmt w:val="decimal"/>
      <w:start w:val="2"/>
    </w:lvl>
  </w:abstractNum>
  <w:abstractNum w:abstractNumId="208">
    <w:nsid w:val="501F9786"/>
    <w:multiLevelType w:val="hybridMultilevel"/>
    <w:lvl w:ilvl="0">
      <w:lvlJc w:val="left"/>
      <w:lvlText w:val="(%1)"/>
      <w:numFmt w:val="lowerLetter"/>
      <w:start w:val="1"/>
    </w:lvl>
  </w:abstractNum>
  <w:abstractNum w:abstractNumId="209">
    <w:nsid w:val="6B057295"/>
    <w:multiLevelType w:val="hybridMultilevel"/>
    <w:lvl w:ilvl="0">
      <w:lvlJc w:val="left"/>
      <w:lvlText w:val="%1."/>
      <w:numFmt w:val="decimal"/>
      <w:start w:val="1"/>
    </w:lvl>
  </w:abstractNum>
  <w:abstractNum w:abstractNumId="210">
    <w:nsid w:val="2771AC80"/>
    <w:multiLevelType w:val="hybridMultilevel"/>
    <w:lvl w:ilvl="0">
      <w:lvlJc w:val="left"/>
      <w:lvlText w:val="(%1)"/>
      <w:numFmt w:val="lowerLetter"/>
      <w:start w:val="1"/>
    </w:lvl>
  </w:abstractNum>
  <w:abstractNum w:abstractNumId="211">
    <w:nsid w:val="1C4A08EC"/>
    <w:multiLevelType w:val="hybridMultilevel"/>
    <w:lvl w:ilvl="0">
      <w:lvlJc w:val="left"/>
      <w:lvlText w:val="-"/>
      <w:numFmt w:val="bullet"/>
      <w:start w:val="1"/>
    </w:lvl>
  </w:abstractNum>
  <w:abstractNum w:abstractNumId="212">
    <w:nsid w:val="1958BD17"/>
    <w:multiLevelType w:val="hybridMultilevel"/>
    <w:lvl w:ilvl="0">
      <w:lvlJc w:val="left"/>
      <w:lvlText w:val="(%1)"/>
      <w:numFmt w:val="decimal"/>
      <w:start w:val="612"/>
    </w:lvl>
  </w:abstractNum>
  <w:abstractNum w:abstractNumId="213">
    <w:nsid w:val="4E647FE4"/>
    <w:multiLevelType w:val="hybridMultilevel"/>
    <w:lvl w:ilvl="0">
      <w:lvlJc w:val="left"/>
      <w:lvlText w:val="(%1)"/>
      <w:numFmt w:val="lowerLetter"/>
      <w:start w:val="1"/>
    </w:lvl>
  </w:abstractNum>
  <w:abstractNum w:abstractNumId="214">
    <w:nsid w:val="E0BB885"/>
    <w:multiLevelType w:val="hybridMultilevel"/>
    <w:lvl w:ilvl="0">
      <w:lvlJc w:val="left"/>
      <w:lvlText w:val="%1."/>
      <w:numFmt w:val="lowerLetter"/>
      <w:start w:val="2"/>
    </w:lvl>
  </w:abstractNum>
  <w:abstractNum w:abstractNumId="215">
    <w:nsid w:val="565976F1"/>
    <w:multiLevelType w:val="hybridMultilevel"/>
    <w:lvl w:ilvl="0">
      <w:lvlJc w:val="left"/>
      <w:lvlText w:val="%1."/>
      <w:numFmt w:val="lowerLetter"/>
      <w:start w:val="4"/>
    </w:lvl>
  </w:abstractNum>
  <w:abstractNum w:abstractNumId="216">
    <w:nsid w:val="64212B8C"/>
    <w:multiLevelType w:val="hybridMultilevel"/>
    <w:lvl w:ilvl="0">
      <w:lvlJc w:val="left"/>
      <w:lvlText w:val="*"/>
      <w:numFmt w:val="bullet"/>
      <w:start w:val="1"/>
    </w:lvl>
  </w:abstractNum>
  <w:abstractNum w:abstractNumId="217">
    <w:nsid w:val="5C17530C"/>
    <w:multiLevelType w:val="hybridMultilevel"/>
    <w:lvl w:ilvl="0">
      <w:lvlJc w:val="left"/>
      <w:lvlText w:val="**"/>
      <w:numFmt w:val="bullet"/>
      <w:start w:val="1"/>
    </w:lvl>
  </w:abstractNum>
  <w:abstractNum w:abstractNumId="218">
    <w:nsid w:val="19A52566"/>
    <w:multiLevelType w:val="hybridMultilevel"/>
    <w:lvl w:ilvl="0">
      <w:lvlJc w:val="left"/>
      <w:lvlText w:val="-"/>
      <w:numFmt w:val="bullet"/>
      <w:start w:val="1"/>
    </w:lvl>
  </w:abstractNum>
  <w:abstractNum w:abstractNumId="219">
    <w:nsid w:val="335A1DF1"/>
    <w:multiLevelType w:val="hybridMultilevel"/>
    <w:lvl w:ilvl="0">
      <w:lvlJc w:val="left"/>
      <w:lvlText w:val="(%1)"/>
      <w:numFmt w:val="decimal"/>
      <w:start w:val="612"/>
    </w:lvl>
  </w:abstractNum>
  <w:abstractNum w:abstractNumId="220">
    <w:nsid w:val="28677B7C"/>
    <w:multiLevelType w:val="hybridMultilevel"/>
    <w:lvl w:ilvl="0">
      <w:lvlJc w:val="left"/>
      <w:lvlText w:val="(%1)"/>
      <w:numFmt w:val="lowerLetter"/>
      <w:start w:val="1"/>
    </w:lvl>
  </w:abstractNum>
  <w:abstractNum w:abstractNumId="221">
    <w:nsid w:val="378D97C0"/>
    <w:multiLevelType w:val="hybridMultilevel"/>
    <w:lvl w:ilvl="0">
      <w:lvlJc w:val="left"/>
      <w:lvlText w:val="%1."/>
      <w:numFmt w:val="lowerLetter"/>
      <w:start w:val="4"/>
    </w:lvl>
  </w:abstractNum>
  <w:abstractNum w:abstractNumId="222">
    <w:nsid w:val="1D91467C"/>
    <w:multiLevelType w:val="hybridMultilevel"/>
    <w:lvl w:ilvl="0">
      <w:lvlJc w:val="left"/>
      <w:lvlText w:val="*"/>
      <w:numFmt w:val="bullet"/>
      <w:start w:val="1"/>
    </w:lvl>
  </w:abstractNum>
  <w:abstractNum w:abstractNumId="223">
    <w:nsid w:val="316032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2019-12-12T06:59:06Z</dcterms:created>
  <dcterms:modified xsi:type="dcterms:W3CDTF">2019-12-12T06:59:06Z</dcterms:modified>
</cp:coreProperties>
</file>