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240" w:after="60"/>
        <w:jc w:val="left"/>
        <w:rPr>
          <w:bdr w:val="single" w:sz="16" w:space="1" w:color="000000"/>
        </w:rPr>
      </w:pPr>
      <w:bookmarkStart w:id="0" w:name="tm2513434d1_8k.htm"/>
      <w:bookmarkStart w:id="1" w:name="kstm2513434d1_8k"/>
      <w:bookmarkEnd w:id="0"/>
      <w:bookmarkEnd w:id="1"/>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 xml:space="preserve">FORM </w:t>
      </w:r>
      <w:bookmarkStart w:id="2" w:name="xdx_905_edei--DocumentType_c20250424__20"/>
      <w:bookmarkEnd w:id="2"/>
      <w:r>
        <w:rPr>
          <w:rFonts w:ascii="Times New Roman;Times;Serif" w:hAnsi="Times New Roman;Times;Serif"/>
          <w:b/>
          <w:i w:val="false"/>
          <w:caps w:val="false"/>
          <w:smallCaps w:val="false"/>
          <w:sz w:val="32"/>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 w:name="xdx_90F_edei--DocumentPeriodEndDate_c202"/>
      <w:bookmarkEnd w:id="3"/>
      <w:r>
        <w:rPr>
          <w:rFonts w:ascii="Times New Roman;Times;Serif" w:hAnsi="Times New Roman;Times;Serif"/>
          <w:b/>
          <w:i w:val="false"/>
          <w:caps w:val="false"/>
          <w:smallCaps w:val="false"/>
          <w:sz w:val="20"/>
        </w:rPr>
        <w:t>April 24, 2025</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of Report (date of earliest event reported)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1078865" cy="26543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078865" cy="265430"/>
                    </a:xfrm>
                    <a:prstGeom prst="rect">
                      <a:avLst/>
                    </a:prstGeom>
                  </pic:spPr>
                </pic:pic>
              </a:graphicData>
            </a:graphic>
          </wp:inline>
        </w:drawing>
      </w: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pBdr>
          <w:bottom w:val="single" w:sz="8" w:space="1" w:color="000000"/>
        </w:pBdr>
        <w:bidi w:val="0"/>
        <w:spacing w:before="0" w:after="0"/>
        <w:ind w:left="0" w:right="0" w:hanging="0"/>
        <w:jc w:val="center"/>
        <w:rPr>
          <w:rFonts w:ascii="Times New Roman;Times;Serif" w:hAnsi="Times New Roman;Times;Serif"/>
          <w:b/>
          <w:i w:val="false"/>
          <w:caps/>
          <w:sz w:val="32"/>
        </w:rPr>
      </w:pPr>
      <w:bookmarkStart w:id="4" w:name="xdx_901_edei--EntityRegistrantName_c2025"/>
      <w:bookmarkEnd w:id="4"/>
      <w:r>
        <w:rPr>
          <w:rFonts w:ascii="Times New Roman;Times;Serif" w:hAnsi="Times New Roman;Times;Serif"/>
          <w:b/>
          <w:i w:val="false"/>
          <w:caps/>
          <w:sz w:val="32"/>
        </w:rPr>
        <w:t>Micron Technology,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5535" w:type="dxa"/>
        <w:jc w:val="left"/>
        <w:tblInd w:w="0" w:type="dxa"/>
        <w:tblLayout w:type="fixed"/>
        <w:tblCellMar>
          <w:top w:w="0" w:type="dxa"/>
          <w:left w:w="0" w:type="dxa"/>
          <w:bottom w:w="0" w:type="dxa"/>
          <w:right w:w="0" w:type="dxa"/>
        </w:tblCellMar>
      </w:tblPr>
      <w:tblGrid>
        <w:gridCol w:w="2375"/>
        <w:gridCol w:w="60"/>
        <w:gridCol w:w="1505"/>
        <w:gridCol w:w="60"/>
        <w:gridCol w:w="1535"/>
      </w:tblGrid>
      <w:tr>
        <w:trPr/>
        <w:tc>
          <w:tcPr>
            <w:tcW w:w="2375" w:type="dxa"/>
            <w:tcBorders/>
            <w:vAlign w:val="center"/>
          </w:tcPr>
          <w:p>
            <w:pPr>
              <w:pStyle w:val="TableContents"/>
              <w:bidi w:val="0"/>
              <w:spacing w:before="0" w:after="283"/>
              <w:jc w:val="center"/>
              <w:rPr>
                <w:rFonts w:ascii="Times New Roman;Times;Serif" w:hAnsi="Times New Roman;Times;Serif"/>
                <w:b/>
                <w:sz w:val="20"/>
              </w:rPr>
            </w:pPr>
            <w:bookmarkStart w:id="5" w:name="xdx_902_edei--EntityIncorporationStateCo"/>
            <w:bookmarkEnd w:id="5"/>
            <w:r>
              <w:rPr>
                <w:rFonts w:ascii="Times New Roman;Times;Serif" w:hAnsi="Times New Roman;Times;Serif"/>
                <w:b/>
                <w:sz w:val="20"/>
              </w:rPr>
              <w:t>Delaware</w:t>
            </w:r>
          </w:p>
        </w:tc>
        <w:tc>
          <w:tcPr>
            <w:tcW w:w="60" w:type="dxa"/>
            <w:tcBorders/>
            <w:vAlign w:val="center"/>
          </w:tcPr>
          <w:p>
            <w:pPr>
              <w:pStyle w:val="TableContents"/>
              <w:bidi w:val="0"/>
              <w:spacing w:before="0" w:after="283"/>
              <w:jc w:val="center"/>
              <w:rPr/>
            </w:pPr>
            <w:r>
              <w:rPr/>
              <w:t> </w:t>
            </w:r>
          </w:p>
        </w:tc>
        <w:tc>
          <w:tcPr>
            <w:tcW w:w="1505" w:type="dxa"/>
            <w:tcBorders/>
            <w:vAlign w:val="center"/>
          </w:tcPr>
          <w:p>
            <w:pPr>
              <w:pStyle w:val="TableContents"/>
              <w:bidi w:val="0"/>
              <w:spacing w:before="0" w:after="283"/>
              <w:jc w:val="center"/>
              <w:rPr>
                <w:rFonts w:ascii="Times New Roman;Times;Serif" w:hAnsi="Times New Roman;Times;Serif"/>
                <w:b/>
                <w:sz w:val="20"/>
              </w:rPr>
            </w:pPr>
            <w:bookmarkStart w:id="6" w:name="xdx_907_edei--EntityFileNumber_c20250424"/>
            <w:bookmarkEnd w:id="6"/>
            <w:r>
              <w:rPr>
                <w:rFonts w:ascii="Times New Roman;Times;Serif" w:hAnsi="Times New Roman;Times;Serif"/>
                <w:b/>
                <w:sz w:val="20"/>
              </w:rPr>
              <w:t>1-10658</w:t>
            </w:r>
          </w:p>
        </w:tc>
        <w:tc>
          <w:tcPr>
            <w:tcW w:w="60" w:type="dxa"/>
            <w:tcBorders/>
            <w:vAlign w:val="center"/>
          </w:tcPr>
          <w:p>
            <w:pPr>
              <w:pStyle w:val="TableContents"/>
              <w:bidi w:val="0"/>
              <w:spacing w:before="0" w:after="283"/>
              <w:jc w:val="center"/>
              <w:rPr/>
            </w:pPr>
            <w:r>
              <w:rPr/>
              <w:t> </w:t>
            </w:r>
          </w:p>
        </w:tc>
        <w:tc>
          <w:tcPr>
            <w:tcW w:w="1535" w:type="dxa"/>
            <w:tcBorders/>
            <w:vAlign w:val="center"/>
          </w:tcPr>
          <w:p>
            <w:pPr>
              <w:pStyle w:val="TableContents"/>
              <w:bidi w:val="0"/>
              <w:spacing w:before="0" w:after="283"/>
              <w:jc w:val="center"/>
              <w:rPr>
                <w:rFonts w:ascii="Times New Roman;Times;Serif" w:hAnsi="Times New Roman;Times;Serif"/>
                <w:b/>
                <w:sz w:val="20"/>
              </w:rPr>
            </w:pPr>
            <w:bookmarkStart w:id="7" w:name="xdx_90C_edei--EntityTaxIdentificationNum"/>
            <w:bookmarkEnd w:id="7"/>
            <w:r>
              <w:rPr>
                <w:rFonts w:ascii="Times New Roman;Times;Serif" w:hAnsi="Times New Roman;Times;Serif"/>
                <w:b/>
                <w:sz w:val="20"/>
              </w:rPr>
              <w:t>75-1618004</w:t>
            </w:r>
          </w:p>
        </w:tc>
      </w:tr>
      <w:tr>
        <w:trPr/>
        <w:tc>
          <w:tcPr>
            <w:tcW w:w="237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(State or other jurisdiction of</w:t>
              <w:br/>
              <w:t>incorporation)</w:t>
            </w:r>
          </w:p>
        </w:tc>
        <w:tc>
          <w:tcPr>
            <w:tcW w:w="60" w:type="dxa"/>
            <w:tcBorders/>
            <w:vAlign w:val="center"/>
          </w:tcPr>
          <w:p>
            <w:pPr>
              <w:pStyle w:val="TableContents"/>
              <w:bidi w:val="0"/>
              <w:spacing w:before="0" w:after="283"/>
              <w:jc w:val="center"/>
              <w:rPr/>
            </w:pPr>
            <w:r>
              <w:rPr/>
              <w:t> </w:t>
            </w:r>
          </w:p>
        </w:tc>
        <w:tc>
          <w:tcPr>
            <w:tcW w:w="150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(Commission File </w:t>
              <w:br/>
              <w:t>Number)</w:t>
            </w:r>
          </w:p>
        </w:tc>
        <w:tc>
          <w:tcPr>
            <w:tcW w:w="60" w:type="dxa"/>
            <w:tcBorders/>
            <w:vAlign w:val="center"/>
          </w:tcPr>
          <w:p>
            <w:pPr>
              <w:pStyle w:val="TableContents"/>
              <w:bidi w:val="0"/>
              <w:spacing w:before="0" w:after="283"/>
              <w:jc w:val="center"/>
              <w:rPr/>
            </w:pPr>
            <w:r>
              <w:rPr/>
              <w:t> </w:t>
            </w:r>
          </w:p>
        </w:tc>
        <w:tc>
          <w:tcPr>
            <w:tcW w:w="153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(IRS Employer</w:t>
              <w:br/>
              <w:t>Identification No.)</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xdx_902_edei--EntityAddressAddressLine1_"/>
      <w:bookmarkEnd w:id="8"/>
      <w:r>
        <w:rPr>
          <w:rFonts w:ascii="Times New Roman;Times;Serif" w:hAnsi="Times New Roman;Times;Serif"/>
          <w:b/>
          <w:i w:val="false"/>
          <w:caps w:val="false"/>
          <w:smallCaps w:val="false"/>
          <w:sz w:val="20"/>
        </w:rPr>
        <w:t>8000 South Federal Way</w:t>
      </w:r>
    </w:p>
    <w:p>
      <w:pPr>
        <w:pStyle w:val="TextBody"/>
        <w:bidi w:val="0"/>
        <w:spacing w:before="0" w:after="0"/>
        <w:ind w:left="0" w:right="0" w:hanging="0"/>
        <w:jc w:val="center"/>
        <w:rPr>
          <w:rFonts w:ascii="Arial;Helvetica;Sans-Serif" w:hAnsi="Arial;Helvetica;Sans-Serif"/>
          <w:b w:val="false"/>
          <w:i w:val="false"/>
          <w:caps w:val="false"/>
          <w:smallCaps w:val="false"/>
          <w:sz w:val="20"/>
        </w:rPr>
      </w:pPr>
      <w:bookmarkStart w:id="9" w:name="xdx_907_edei--EntityAddressCityOrTown_c2"/>
      <w:bookmarkEnd w:id="9"/>
      <w:r>
        <w:rPr>
          <w:rFonts w:ascii="Times New Roman;Times;Serif" w:hAnsi="Times New Roman;Times;Serif"/>
          <w:b/>
          <w:i w:val="false"/>
          <w:caps w:val="false"/>
          <w:smallCaps w:val="false"/>
          <w:sz w:val="20"/>
        </w:rPr>
        <w:t xml:space="preserve">Boise, </w:t>
      </w:r>
      <w:bookmarkStart w:id="10" w:name="xdx_901_edei--EntityAddressStateOrProvin"/>
      <w:bookmarkEnd w:id="10"/>
      <w:r>
        <w:rPr>
          <w:rFonts w:ascii="Times New Roman;Times;Serif" w:hAnsi="Times New Roman;Times;Serif"/>
          <w:b/>
          <w:i w:val="false"/>
          <w:caps w:val="false"/>
          <w:smallCaps w:val="false"/>
          <w:sz w:val="20"/>
        </w:rPr>
        <w:t>Idaho</w:t>
      </w:r>
      <w:r>
        <w:rPr>
          <w:rFonts w:ascii="Arial;Helvetica;Sans-Serif" w:hAnsi="Arial;Helvetica;Sans-Serif"/>
          <w:b w:val="false"/>
          <w:i w:val="false"/>
          <w:caps w:val="false"/>
          <w:smallCaps w:val="false"/>
          <w:sz w:val="20"/>
        </w:rPr>
        <w:t xml:space="preserve"> </w:t>
      </w:r>
      <w:bookmarkStart w:id="11" w:name="xdx_90B_edei--EntityAddressPostalZipCode"/>
      <w:bookmarkEnd w:id="11"/>
      <w:r>
        <w:rPr>
          <w:rFonts w:ascii="Times New Roman;Times;Serif" w:hAnsi="Times New Roman;Times;Serif"/>
          <w:b/>
          <w:i w:val="false"/>
          <w:caps w:val="false"/>
          <w:smallCaps w:val="false"/>
          <w:sz w:val="20"/>
        </w:rPr>
        <w:t>83716-9632</w:t>
      </w:r>
    </w:p>
    <w:tbl>
      <w:tblPr>
        <w:tblW w:w="4505" w:type="dxa"/>
        <w:jc w:val="left"/>
        <w:tblInd w:w="0" w:type="dxa"/>
        <w:tblLayout w:type="fixed"/>
        <w:tblCellMar>
          <w:top w:w="28" w:type="dxa"/>
          <w:left w:w="0" w:type="dxa"/>
          <w:bottom w:w="0" w:type="dxa"/>
          <w:right w:w="0" w:type="dxa"/>
        </w:tblCellMar>
      </w:tblPr>
      <w:tblGrid>
        <w:gridCol w:w="75"/>
        <w:gridCol w:w="4355"/>
        <w:gridCol w:w="75"/>
      </w:tblGrid>
      <w:tr>
        <w:trPr/>
        <w:tc>
          <w:tcPr>
            <w:tcW w:w="75" w:type="dxa"/>
            <w:tcBorders>
              <w:top w:val="single" w:sz="8" w:space="0" w:color="000000"/>
            </w:tcBorders>
            <w:vAlign w:val="center"/>
          </w:tcPr>
          <w:p>
            <w:pPr>
              <w:pStyle w:val="TableContents"/>
              <w:bidi w:val="0"/>
              <w:spacing w:before="0" w:after="283"/>
              <w:jc w:val="left"/>
              <w:rPr/>
            </w:pPr>
            <w:r>
              <w:rPr/>
              <w:t> </w:t>
            </w:r>
          </w:p>
        </w:tc>
        <w:tc>
          <w:tcPr>
            <w:tcW w:w="4355" w:type="dxa"/>
            <w:tcBorders>
              <w:top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 and Zip Code)</w:t>
            </w:r>
          </w:p>
        </w:tc>
        <w:tc>
          <w:tcPr>
            <w:tcW w:w="75" w:type="dxa"/>
            <w:tcBorders>
              <w:top w:val="single" w:sz="8" w:space="0" w:color="000000"/>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t>
      </w:r>
      <w:bookmarkStart w:id="12" w:name="xdx_901_edei--CityAreaCode_c20250424__20"/>
      <w:bookmarkEnd w:id="12"/>
      <w:r>
        <w:rPr>
          <w:rFonts w:ascii="Times New Roman;Times;Serif" w:hAnsi="Times New Roman;Times;Serif"/>
          <w:b/>
          <w:i w:val="false"/>
          <w:caps w:val="false"/>
          <w:smallCaps w:val="false"/>
          <w:sz w:val="20"/>
        </w:rPr>
        <w:t xml:space="preserve">208) </w:t>
      </w:r>
      <w:bookmarkStart w:id="13" w:name="xdx_901_edei--LocalPhoneNumber_c20250424"/>
      <w:bookmarkEnd w:id="13"/>
      <w:r>
        <w:rPr>
          <w:rFonts w:ascii="Times New Roman;Times;Serif" w:hAnsi="Times New Roman;Times;Serif"/>
          <w:b/>
          <w:i w:val="false"/>
          <w:caps w:val="false"/>
          <w:smallCaps w:val="false"/>
          <w:sz w:val="20"/>
        </w:rPr>
        <w:t>368-4000</w:t>
      </w:r>
    </w:p>
    <w:tbl>
      <w:tblPr>
        <w:tblW w:w="4475" w:type="dxa"/>
        <w:jc w:val="left"/>
        <w:tblInd w:w="0" w:type="dxa"/>
        <w:tblLayout w:type="fixed"/>
        <w:tblCellMar>
          <w:top w:w="28" w:type="dxa"/>
          <w:left w:w="0" w:type="dxa"/>
          <w:bottom w:w="0" w:type="dxa"/>
          <w:right w:w="0" w:type="dxa"/>
        </w:tblCellMar>
      </w:tblPr>
      <w:tblGrid>
        <w:gridCol w:w="75"/>
        <w:gridCol w:w="4325"/>
        <w:gridCol w:w="75"/>
      </w:tblGrid>
      <w:tr>
        <w:trPr/>
        <w:tc>
          <w:tcPr>
            <w:tcW w:w="75" w:type="dxa"/>
            <w:tcBorders>
              <w:top w:val="single" w:sz="8" w:space="0" w:color="000000"/>
            </w:tcBorders>
            <w:vAlign w:val="center"/>
          </w:tcPr>
          <w:p>
            <w:pPr>
              <w:pStyle w:val="TableContents"/>
              <w:bidi w:val="0"/>
              <w:spacing w:before="0" w:after="283"/>
              <w:jc w:val="left"/>
              <w:rPr/>
            </w:pPr>
            <w:r>
              <w:rPr/>
              <w:t> </w:t>
            </w:r>
          </w:p>
        </w:tc>
        <w:tc>
          <w:tcPr>
            <w:tcW w:w="4325" w:type="dxa"/>
            <w:tcBorders>
              <w:top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tc>
        <w:tc>
          <w:tcPr>
            <w:tcW w:w="75" w:type="dxa"/>
            <w:tcBorders>
              <w:top w:val="single" w:sz="8" w:space="0" w:color="000000"/>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8793" w:type="dxa"/>
        <w:jc w:val="left"/>
        <w:tblInd w:w="0" w:type="dxa"/>
        <w:tblLayout w:type="fixed"/>
        <w:tblCellMar>
          <w:top w:w="0" w:type="dxa"/>
          <w:left w:w="0" w:type="dxa"/>
          <w:bottom w:w="0" w:type="dxa"/>
          <w:right w:w="0" w:type="dxa"/>
        </w:tblCellMar>
      </w:tblPr>
      <w:tblGrid>
        <w:gridCol w:w="38"/>
        <w:gridCol w:w="230"/>
        <w:gridCol w:w="852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4" w:name="xdx_90E_edei--WrittenCommunications_c202"/>
            <w:bookmarkEnd w:id="14"/>
            <w:r>
              <w:rPr/>
              <w:t>☐</w:t>
            </w:r>
          </w:p>
        </w:tc>
        <w:tc>
          <w:tcPr>
            <w:tcW w:w="852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Written communications pursuant to Rule 425 under the Securities Act (17 CFR 230.425)</w:t>
            </w:r>
          </w:p>
        </w:tc>
      </w:tr>
    </w:tbl>
    <w:p>
      <w:pPr>
        <w:pStyle w:val="TextBody"/>
        <w:bidi w:val="0"/>
        <w:spacing w:before="0" w:after="0"/>
        <w:ind w:left="285" w:right="0" w:hanging="285"/>
        <w:jc w:val="left"/>
        <w:rPr>
          <w:caps w:val="false"/>
          <w:smallCaps w:val="false"/>
        </w:rPr>
      </w:pPr>
      <w:r>
        <w:rPr>
          <w:caps w:val="false"/>
          <w:smallCaps w:val="false"/>
        </w:rPr>
        <w:t> </w:t>
      </w:r>
    </w:p>
    <w:tbl>
      <w:tblPr>
        <w:tblW w:w="8823" w:type="dxa"/>
        <w:jc w:val="left"/>
        <w:tblInd w:w="0" w:type="dxa"/>
        <w:tblLayout w:type="fixed"/>
        <w:tblCellMar>
          <w:top w:w="0" w:type="dxa"/>
          <w:left w:w="0" w:type="dxa"/>
          <w:bottom w:w="0" w:type="dxa"/>
          <w:right w:w="0" w:type="dxa"/>
        </w:tblCellMar>
      </w:tblPr>
      <w:tblGrid>
        <w:gridCol w:w="38"/>
        <w:gridCol w:w="230"/>
        <w:gridCol w:w="855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5" w:name="xdx_905_edei--SolicitingMaterial_c202504"/>
            <w:bookmarkEnd w:id="15"/>
            <w:r>
              <w:rPr/>
              <w:t>☐</w:t>
            </w:r>
          </w:p>
        </w:tc>
        <w:tc>
          <w:tcPr>
            <w:tcW w:w="855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Soliciting material pursuant to Rule 14a-12 under the Exchange Act (17 CFR 240.14a-12)</w:t>
            </w:r>
          </w:p>
        </w:tc>
      </w:tr>
    </w:tbl>
    <w:p>
      <w:pPr>
        <w:pStyle w:val="TextBody"/>
        <w:bidi w:val="0"/>
        <w:spacing w:before="0" w:after="0"/>
        <w:ind w:left="285" w:right="0" w:hanging="285"/>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6" w:name="xdx_900_edei--PreCommencementTenderOffer"/>
            <w:bookmarkEnd w:id="16"/>
            <w:r>
              <w:rPr/>
              <w:t>☐</w:t>
            </w:r>
          </w:p>
        </w:tc>
        <w:tc>
          <w:tcPr>
            <w:tcW w:w="993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Pre-commencement communications pursuant to Rule 14d-2(b) under the Exchange Act (17 CFR 240.14d-2(b))</w:t>
            </w:r>
          </w:p>
        </w:tc>
      </w:tr>
    </w:tbl>
    <w:p>
      <w:pPr>
        <w:pStyle w:val="TextBody"/>
        <w:bidi w:val="0"/>
        <w:spacing w:before="0" w:after="0"/>
        <w:ind w:left="285" w:right="0" w:hanging="285"/>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7" w:name="xdx_901_edei--PreCommencementIssuerTende"/>
            <w:bookmarkEnd w:id="17"/>
            <w:r>
              <w:rPr/>
              <w:t>☐</w:t>
            </w:r>
          </w:p>
        </w:tc>
        <w:tc>
          <w:tcPr>
            <w:tcW w:w="993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7065" w:type="dxa"/>
        <w:jc w:val="left"/>
        <w:tblInd w:w="0" w:type="dxa"/>
        <w:tblLayout w:type="fixed"/>
        <w:tblCellMar>
          <w:top w:w="0" w:type="dxa"/>
          <w:left w:w="0" w:type="dxa"/>
          <w:bottom w:w="28" w:type="dxa"/>
          <w:right w:w="0" w:type="dxa"/>
        </w:tblCellMar>
      </w:tblPr>
      <w:tblGrid>
        <w:gridCol w:w="3410"/>
        <w:gridCol w:w="60"/>
        <w:gridCol w:w="725"/>
        <w:gridCol w:w="60"/>
        <w:gridCol w:w="2810"/>
      </w:tblGrid>
      <w:tr>
        <w:trPr/>
        <w:tc>
          <w:tcPr>
            <w:tcW w:w="341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Title of each class</w:t>
            </w:r>
          </w:p>
        </w:tc>
        <w:tc>
          <w:tcPr>
            <w:tcW w:w="60" w:type="dxa"/>
            <w:tcBorders/>
            <w:tcMar>
              <w:bottom w:w="0" w:type="dxa"/>
            </w:tcMar>
            <w:vAlign w:val="center"/>
          </w:tcPr>
          <w:p>
            <w:pPr>
              <w:pStyle w:val="TableContents"/>
              <w:bidi w:val="0"/>
              <w:spacing w:before="0" w:after="283"/>
              <w:jc w:val="left"/>
              <w:rPr/>
            </w:pPr>
            <w:r>
              <w:rPr/>
              <w:t> </w:t>
            </w:r>
          </w:p>
        </w:tc>
        <w:tc>
          <w:tcPr>
            <w:tcW w:w="725"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Trading</w:t>
              <w:br/>
              <w:t> symbol</w:t>
            </w:r>
          </w:p>
        </w:tc>
        <w:tc>
          <w:tcPr>
            <w:tcW w:w="60" w:type="dxa"/>
            <w:tcBorders/>
            <w:tcMar>
              <w:bottom w:w="0" w:type="dxa"/>
            </w:tcMar>
            <w:vAlign w:val="center"/>
          </w:tcPr>
          <w:p>
            <w:pPr>
              <w:pStyle w:val="TableContents"/>
              <w:bidi w:val="0"/>
              <w:spacing w:before="0" w:after="283"/>
              <w:jc w:val="left"/>
              <w:rPr/>
            </w:pPr>
            <w:r>
              <w:rPr/>
              <w:t> </w:t>
            </w:r>
          </w:p>
        </w:tc>
        <w:tc>
          <w:tcPr>
            <w:tcW w:w="281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Name of each exchange on which</w:t>
              <w:br/>
              <w:t>registered</w:t>
            </w:r>
          </w:p>
        </w:tc>
      </w:tr>
      <w:tr>
        <w:trPr/>
        <w:tc>
          <w:tcPr>
            <w:tcW w:w="3410" w:type="dxa"/>
            <w:tcBorders/>
            <w:tcMar>
              <w:bottom w:w="0" w:type="dxa"/>
            </w:tcMar>
            <w:vAlign w:val="center"/>
          </w:tcPr>
          <w:p>
            <w:pPr>
              <w:pStyle w:val="TableContents"/>
              <w:bidi w:val="0"/>
              <w:spacing w:before="0" w:after="283"/>
              <w:jc w:val="center"/>
              <w:rPr>
                <w:rFonts w:ascii="Times New Roman;Times;Serif" w:hAnsi="Times New Roman;Times;Serif"/>
                <w:sz w:val="20"/>
              </w:rPr>
            </w:pPr>
            <w:bookmarkStart w:id="18" w:name="xdx_900_edei--Security12bTitle_c20250424"/>
            <w:bookmarkEnd w:id="18"/>
            <w:r>
              <w:rPr>
                <w:rFonts w:ascii="Times New Roman;Times;Serif" w:hAnsi="Times New Roman;Times;Serif"/>
                <w:sz w:val="20"/>
              </w:rPr>
              <w:t>Common Stock, par value $0.10 per share</w:t>
            </w:r>
          </w:p>
        </w:tc>
        <w:tc>
          <w:tcPr>
            <w:tcW w:w="60" w:type="dxa"/>
            <w:tcBorders/>
            <w:tcMar>
              <w:bottom w:w="0" w:type="dxa"/>
            </w:tcMar>
            <w:vAlign w:val="center"/>
          </w:tcPr>
          <w:p>
            <w:pPr>
              <w:pStyle w:val="TableContents"/>
              <w:bidi w:val="0"/>
              <w:spacing w:before="0" w:after="283"/>
              <w:jc w:val="left"/>
              <w:rPr/>
            </w:pPr>
            <w:r>
              <w:rPr/>
              <w:t> </w:t>
            </w:r>
          </w:p>
        </w:tc>
        <w:tc>
          <w:tcPr>
            <w:tcW w:w="725" w:type="dxa"/>
            <w:tcBorders/>
            <w:tcMar>
              <w:bottom w:w="0" w:type="dxa"/>
            </w:tcMar>
            <w:vAlign w:val="center"/>
          </w:tcPr>
          <w:p>
            <w:pPr>
              <w:pStyle w:val="TableContents"/>
              <w:bidi w:val="0"/>
              <w:spacing w:before="0" w:after="283"/>
              <w:jc w:val="center"/>
              <w:rPr>
                <w:rFonts w:ascii="Times New Roman;Times;Serif" w:hAnsi="Times New Roman;Times;Serif"/>
                <w:sz w:val="20"/>
              </w:rPr>
            </w:pPr>
            <w:bookmarkStart w:id="19" w:name="xdx_90F_edei--TradingSymbol_c20250424__2"/>
            <w:bookmarkEnd w:id="19"/>
            <w:r>
              <w:rPr>
                <w:rFonts w:ascii="Times New Roman;Times;Serif" w:hAnsi="Times New Roman;Times;Serif"/>
                <w:sz w:val="20"/>
              </w:rPr>
              <w:t>MU</w:t>
            </w:r>
          </w:p>
        </w:tc>
        <w:tc>
          <w:tcPr>
            <w:tcW w:w="60" w:type="dxa"/>
            <w:tcBorders/>
            <w:tcMar>
              <w:bottom w:w="0" w:type="dxa"/>
            </w:tcMar>
            <w:vAlign w:val="center"/>
          </w:tcPr>
          <w:p>
            <w:pPr>
              <w:pStyle w:val="TableContents"/>
              <w:bidi w:val="0"/>
              <w:spacing w:before="0" w:after="283"/>
              <w:jc w:val="left"/>
              <w:rPr/>
            </w:pPr>
            <w:r>
              <w:rPr/>
              <w:t> </w:t>
            </w:r>
          </w:p>
        </w:tc>
        <w:tc>
          <w:tcPr>
            <w:tcW w:w="2810" w:type="dxa"/>
            <w:tcBorders/>
            <w:tcMar>
              <w:bottom w:w="0" w:type="dxa"/>
            </w:tcMar>
            <w:vAlign w:val="center"/>
          </w:tcPr>
          <w:p>
            <w:pPr>
              <w:pStyle w:val="TableContents"/>
              <w:bidi w:val="0"/>
              <w:spacing w:before="0" w:after="283"/>
              <w:jc w:val="center"/>
              <w:rPr>
                <w:rFonts w:ascii="Times New Roman;Times;Serif" w:hAnsi="Times New Roman;Times;Serif"/>
                <w:sz w:val="20"/>
              </w:rPr>
            </w:pPr>
            <w:bookmarkStart w:id="20" w:name="xdx_906_edei--SecurityExchangeName_c2025"/>
            <w:bookmarkEnd w:id="20"/>
            <w:r>
              <w:rPr>
                <w:rFonts w:ascii="Times New Roman;Times;Serif" w:hAnsi="Times New Roman;Times;Serif"/>
                <w:sz w:val="20"/>
              </w:rPr>
              <w:t>Nasdaq Global Select Market</w:t>
            </w:r>
          </w:p>
        </w:tc>
      </w:tr>
    </w:tbl>
    <w:p>
      <w:pPr>
        <w:pStyle w:val="TextBody"/>
        <w:bidi w:val="0"/>
        <w:spacing w:before="0" w:after="283"/>
        <w:jc w:val="left"/>
        <w:rPr/>
      </w:pPr>
      <w:r>
        <w:rPr/>
        <w:t> </w:t>
      </w:r>
    </w:p>
    <w:p>
      <w:pPr>
        <w:pStyle w:val="TextBody"/>
        <w:bidi w:val="0"/>
        <w:jc w:val="left"/>
        <w:rPr>
          <w:rFonts w:ascii="Times New Roman;Times;Serif" w:hAnsi="Times New Roman;Times;Serif"/>
        </w:rPr>
      </w:pPr>
      <w:r>
        <w:rPr>
          <w:rFonts w:ascii="Times New Roman;Times;Serif" w:hAnsi="Times New Roman;Times;Serif"/>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1" w:name="xdx_90D_edei--EntityEmergingGrowthCompan"/>
      <w:bookmarkEnd w:id="21"/>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24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538" w:type="dxa"/>
        <w:jc w:val="left"/>
        <w:tblInd w:w="0" w:type="dxa"/>
        <w:tblLayout w:type="fixed"/>
        <w:tblCellMar>
          <w:top w:w="0" w:type="dxa"/>
          <w:left w:w="0" w:type="dxa"/>
          <w:bottom w:w="0" w:type="dxa"/>
          <w:right w:w="0" w:type="dxa"/>
        </w:tblCellMar>
      </w:tblPr>
      <w:tblGrid>
        <w:gridCol w:w="38"/>
        <w:gridCol w:w="1025"/>
        <w:gridCol w:w="4475"/>
      </w:tblGrid>
      <w:tr>
        <w:trPr/>
        <w:tc>
          <w:tcPr>
            <w:tcW w:w="38"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b/>
              </w:rPr>
            </w:pPr>
            <w:r>
              <w:rPr>
                <w:b/>
              </w:rPr>
              <w:t>Item 1.01.</w:t>
            </w:r>
          </w:p>
        </w:tc>
        <w:tc>
          <w:tcPr>
            <w:tcW w:w="4475" w:type="dxa"/>
            <w:tcBorders/>
            <w:vAlign w:val="center"/>
          </w:tcPr>
          <w:p>
            <w:pPr>
              <w:pStyle w:val="TableContents"/>
              <w:bidi w:val="0"/>
              <w:spacing w:before="0" w:after="283"/>
              <w:jc w:val="left"/>
              <w:rPr>
                <w:b/>
              </w:rPr>
            </w:pPr>
            <w:r>
              <w:rPr>
                <w:b/>
              </w:rPr>
              <w:t>Entry into a Material Definitive Agreement.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29, 2025, Micron Technology, Inc. ("Micron," "we," "us," or "our") settled its offering of (i) $500,000,000 aggregate principal amount of 5.65% senior notes due 2032 (the "2032 Notes"), and (ii) $1,250,000,000 aggregate principal amount of 6.05% senior notes due 2035 (the "2035 Notes" and, together with the 2032 Notes, the "Notes"). The Notes were issued and sold in a public offering pursuant to a registration statement on Form S-3 (File No. 333-275276), including the prospectus contained therein (the "Base Prospectus"), filed with the Securities and Exchange Commission under the Securities Act of 1933, as amended, a preliminary prospectus supplement dated April 24, 2025, a related final prospectus supplement dated April 24, 2025 (together with the Base Prospectus, the "Prospectus"), and a free writing prospectus dated April 24,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series of Notes was issued pursuant to an indenture, dated as of February 6, 2019 (the "Base Indenture"), between Micron and U.S. Bank Trust Company, National Association (as successor in interest to U.S. Bank National Association), as trustee, as supplemented by a tenth supplemental indenture, dated as of April 29, 2025 (the "Supplemental Indenture" and, together with the Base Indenture, the "Indenture"). The Indenture contains certain covenants, events of default and other customary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2032 Notes bear interest at a rate of 5.65% per year and will mature on November 1, 2032. The 2035 Notes bear interest at a rate of 6.05% per year and will mature on November 1, 2035. Interest on each series of Notes is payable on May 1 and November 1 of each year, beginning on November 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the applicable Par Call Date (as defined below), we may redeem the Notes of any series at our option, in whole or in part, at any time and from time to time, at a redemption price equal to the greater of (i)(a) the sum of the present values of the remaining scheduled payments of principal and interest thereon discounted to the redemption date (assuming the Notes of such series matured on the applicable Par Call Date) on a semi-annual basis (assuming a 360-day year consisting of twelve 30-day months) at the then current treasury rate plus 25 basis points, in the case of the 2032 Notes, and 30 basis points, in the case of the 2035 Notes, less (b) interest accrued to the date of redemption, and (ii) 100% of the principal amount of the Notes of the applicable series to be redeemed, and plus, in each case, accrued and unpaid interest, if any, on the amount being redeemed to, but excluding, the date of redemption. In addition, we may, at our option, redeem the 2032 Notes and the 2035 Notes on or after the applicable Par Call Date, in whole or in part, at any time and from time to time, at a redemption price equal to 100% of the principal amount of the Notes of the applicable series to be redeemed, plus accrued and unpaid interest thereon, if any, to, but excluding, the date of redemption. "Par Call Date" means September 1, 2032 (two months prior to the maturity date), in the case of the 2032 Notes, and August 1, 2035 (three months prior to the maturity date), in the case of the 2035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experience specified change of control triggering events with respect to the Notes of a series, we must offer to repurchase the Notes of such series at a price equal to 101% of the principal amount of such Notes repurchased, plus accrued and unpaid interest, if 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 contains limited affirmative and negative covenants of Micron, each of which is subject to a number of limitations and exceptions in the Indenture. The negative covenants restrict our ability and certain of our subsidiaries to incur liens on Principal Property (as defined in the Indenture); to engage in sale and lease-back transactions with respect to any Principal Property; and our ability to consolidate, merge or convey, transfer or lease all or substantially all of our properties and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Events of default under the Indenture include a failure to make payments, non-performance of affirmative and negative covenants, and the occurrence of bankruptcy and insolvency-related events. Our obligations may be accelerated upon an event of default, in which case the entire principal amount of the Notes would become immediately due and payable.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intend to use the net proceeds from the sale of the Notes to pay the redemption price of the 2027 Notes (as defined below), and terminate the fixed-to-floating interest rate swaps we entered into in connection with the 2027 Notes and any remainder of the net proceeds for general corporate purposes, which may include the repayment of other indebtedness.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 of certain terms of the Indenture does not purport to be complete and is qualified in its entirety by reference to the full text of the Base Indenture, the Supplemental Indenture, the form of the 2032 Notes and the form of the 2035 Notes, which are filed with this report as Exhibits 4.1, 4.2, 4.3, and 4.4, respectively.</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891"/>
        <w:gridCol w:w="9276"/>
      </w:tblGrid>
      <w:tr>
        <w:trPr/>
        <w:tc>
          <w:tcPr>
            <w:tcW w:w="38"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b/>
              </w:rPr>
            </w:pPr>
            <w:r>
              <w:rPr>
                <w:b/>
              </w:rPr>
              <w:t>Item 2.03.</w:t>
            </w:r>
          </w:p>
        </w:tc>
        <w:tc>
          <w:tcPr>
            <w:tcW w:w="9276" w:type="dxa"/>
            <w:tcBorders/>
            <w:vAlign w:val="center"/>
          </w:tcPr>
          <w:p>
            <w:pPr>
              <w:pStyle w:val="TableContents"/>
              <w:bidi w:val="0"/>
              <w:spacing w:before="0" w:after="283"/>
              <w:jc w:val="left"/>
              <w:rPr>
                <w:b/>
              </w:rPr>
            </w:pPr>
            <w:r>
              <w:rPr>
                <w:b/>
              </w:rPr>
              <w:t>Creation of a Direct Financial Obligation or an Obligation under an Off-Balance Sheet Arrangement of a Registrant.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set forth under Item 1.01 of this Current Report is incorporated herein by reference.</w:t>
      </w:r>
    </w:p>
    <w:p>
      <w:pPr>
        <w:pStyle w:val="TextBody"/>
        <w:bidi w:val="0"/>
        <w:spacing w:before="0" w:after="0"/>
        <w:ind w:left="0" w:right="0" w:hanging="0"/>
        <w:jc w:val="left"/>
        <w:rPr>
          <w:caps w:val="false"/>
          <w:smallCaps w:val="false"/>
        </w:rPr>
      </w:pPr>
      <w:r>
        <w:rPr>
          <w:caps w:val="false"/>
          <w:smallCaps w:val="false"/>
        </w:rPr>
        <w:t> </w:t>
      </w:r>
    </w:p>
    <w:tbl>
      <w:tblPr>
        <w:tblW w:w="2508" w:type="dxa"/>
        <w:jc w:val="left"/>
        <w:tblInd w:w="0" w:type="dxa"/>
        <w:tblLayout w:type="fixed"/>
        <w:tblCellMar>
          <w:top w:w="0" w:type="dxa"/>
          <w:left w:w="0" w:type="dxa"/>
          <w:bottom w:w="0" w:type="dxa"/>
          <w:right w:w="0" w:type="dxa"/>
        </w:tblCellMar>
      </w:tblPr>
      <w:tblGrid>
        <w:gridCol w:w="38"/>
        <w:gridCol w:w="1025"/>
        <w:gridCol w:w="1445"/>
      </w:tblGrid>
      <w:tr>
        <w:trPr/>
        <w:tc>
          <w:tcPr>
            <w:tcW w:w="38"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b/>
              </w:rPr>
            </w:pPr>
            <w:r>
              <w:rPr>
                <w:b/>
              </w:rPr>
              <w:t>Item 8.01.</w:t>
            </w:r>
          </w:p>
        </w:tc>
        <w:tc>
          <w:tcPr>
            <w:tcW w:w="1445" w:type="dxa"/>
            <w:tcBorders/>
            <w:vAlign w:val="center"/>
          </w:tcPr>
          <w:p>
            <w:pPr>
              <w:pStyle w:val="TableContents"/>
              <w:bidi w:val="0"/>
              <w:spacing w:before="0" w:after="283"/>
              <w:jc w:val="left"/>
              <w:rPr>
                <w:b/>
              </w:rPr>
            </w:pPr>
            <w:r>
              <w:rPr>
                <w:b/>
              </w:rPr>
              <w:t>Other Events.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Wilson Sonsini Goodrich &amp; Rosati, Professional Corporation, counsel to Micron, has issued an opinion to Micron dated April 29, 2025 regarding the legality of the Notes. A copy of the opinion is filed as Exhibit 5.1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24, 2025, we issued a notice to redeem in full our outstanding 4.185% Senior Notes due 2027 (the "2027 Notes"). The redemption of the 2027 Notes will be effected pursuant to the terms of the Second Supplemental Indenture, dated as of July 12, 2019 (the "2027 Indenture"), that governs the 2027 Notes. We will redeem $900,000,000 in aggregate principal amount at a price equal to 100% of the principal amount thereof, plus a make-whole premium determined pursuant to the terms of the 2027 Indenture, plus any accrued and unpaid interest to, but excluding, such redemption date.</w:t>
      </w:r>
    </w:p>
    <w:p>
      <w:pPr>
        <w:pStyle w:val="TextBody"/>
        <w:bidi w:val="0"/>
        <w:spacing w:before="0" w:after="0"/>
        <w:ind w:left="0" w:right="0" w:hanging="0"/>
        <w:jc w:val="left"/>
        <w:rPr>
          <w:caps w:val="false"/>
          <w:smallCaps w:val="false"/>
        </w:rPr>
      </w:pPr>
      <w:r>
        <w:rPr>
          <w:caps w:val="false"/>
          <w:smallCaps w:val="false"/>
        </w:rPr>
        <w:t> </w:t>
      </w:r>
    </w:p>
    <w:tbl>
      <w:tblPr>
        <w:tblW w:w="4623" w:type="dxa"/>
        <w:jc w:val="left"/>
        <w:tblInd w:w="0" w:type="dxa"/>
        <w:tblLayout w:type="fixed"/>
        <w:tblCellMar>
          <w:top w:w="0" w:type="dxa"/>
          <w:left w:w="0" w:type="dxa"/>
          <w:bottom w:w="0" w:type="dxa"/>
          <w:right w:w="0" w:type="dxa"/>
        </w:tblCellMar>
      </w:tblPr>
      <w:tblGrid>
        <w:gridCol w:w="38"/>
        <w:gridCol w:w="1025"/>
        <w:gridCol w:w="3560"/>
      </w:tblGrid>
      <w:tr>
        <w:trPr/>
        <w:tc>
          <w:tcPr>
            <w:tcW w:w="38"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b/>
              </w:rPr>
            </w:pPr>
            <w:r>
              <w:rPr>
                <w:b/>
              </w:rPr>
              <w:t>Item 9.01.</w:t>
            </w:r>
          </w:p>
        </w:tc>
        <w:tc>
          <w:tcPr>
            <w:tcW w:w="3560" w:type="dxa"/>
            <w:tcBorders/>
            <w:vAlign w:val="center"/>
          </w:tcPr>
          <w:p>
            <w:pPr>
              <w:pStyle w:val="TableContents"/>
              <w:bidi w:val="0"/>
              <w:spacing w:before="0" w:after="283"/>
              <w:jc w:val="left"/>
              <w:rPr>
                <w:b/>
              </w:rPr>
            </w:pPr>
            <w:r>
              <w:rPr>
                <w:b/>
              </w:rPr>
              <w:t>Financial Statements and Exhibits.</w:t>
            </w:r>
          </w:p>
        </w:tc>
      </w:tr>
    </w:tbl>
    <w:p>
      <w:pPr>
        <w:pStyle w:val="TextBody"/>
        <w:bidi w:val="0"/>
        <w:spacing w:before="0" w:after="0"/>
        <w:ind w:left="0" w:right="0" w:hanging="0"/>
        <w:jc w:val="left"/>
        <w:rPr>
          <w:caps w:val="false"/>
          <w:smallCaps w:val="false"/>
        </w:rPr>
      </w:pPr>
      <w:r>
        <w:rPr>
          <w:caps w:val="false"/>
          <w:smallCaps w:val="false"/>
        </w:rPr>
        <w:t> </w:t>
      </w:r>
    </w:p>
    <w:tbl>
      <w:tblPr>
        <w:tblW w:w="1203" w:type="dxa"/>
        <w:jc w:val="left"/>
        <w:tblInd w:w="0" w:type="dxa"/>
        <w:tblLayout w:type="fixed"/>
        <w:tblCellMar>
          <w:top w:w="0" w:type="dxa"/>
          <w:left w:w="0" w:type="dxa"/>
          <w:bottom w:w="0" w:type="dxa"/>
          <w:right w:w="0" w:type="dxa"/>
        </w:tblCellMar>
      </w:tblPr>
      <w:tblGrid>
        <w:gridCol w:w="38"/>
        <w:gridCol w:w="290"/>
        <w:gridCol w:w="87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(d)</w:t>
            </w:r>
          </w:p>
        </w:tc>
        <w:tc>
          <w:tcPr>
            <w:tcW w:w="875" w:type="dxa"/>
            <w:tcBorders/>
            <w:vAlign w:val="center"/>
          </w:tcPr>
          <w:p>
            <w:pPr>
              <w:pStyle w:val="TableContents"/>
              <w:bidi w:val="0"/>
              <w:spacing w:before="0" w:after="283"/>
              <w:jc w:val="both"/>
              <w:rPr/>
            </w:pPr>
            <w:r>
              <w:rPr/>
              <w:t>Exhibits.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710"/>
        <w:gridCol w:w="60"/>
        <w:gridCol w:w="9435"/>
      </w:tblGrid>
      <w:tr>
        <w:trPr/>
        <w:tc>
          <w:tcPr>
            <w:tcW w:w="710" w:type="dxa"/>
            <w:tcBorders>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Exhibit </w:t>
              <w:br/>
              <w:t>No.</w:t>
            </w:r>
          </w:p>
        </w:tc>
        <w:tc>
          <w:tcPr>
            <w:tcW w:w="60" w:type="dxa"/>
            <w:tcBorders/>
            <w:tcMar>
              <w:bottom w:w="0" w:type="dxa"/>
            </w:tcMar>
            <w:vAlign w:val="center"/>
          </w:tcPr>
          <w:p>
            <w:pPr>
              <w:pStyle w:val="TableContents"/>
              <w:bidi w:val="0"/>
              <w:spacing w:before="0" w:after="283"/>
              <w:jc w:val="left"/>
              <w:rPr/>
            </w:pPr>
            <w:r>
              <w:rPr/>
              <w:t> </w:t>
            </w:r>
          </w:p>
        </w:tc>
        <w:tc>
          <w:tcPr>
            <w:tcW w:w="9435"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Description</w:t>
            </w:r>
          </w:p>
        </w:tc>
      </w:tr>
      <w:tr>
        <w:trPr/>
        <w:tc>
          <w:tcPr>
            <w:tcW w:w="710" w:type="dxa"/>
            <w:tcBorders/>
            <w:tcMar>
              <w:bottom w:w="0" w:type="dxa"/>
            </w:tcMar>
            <w:vAlign w:val="center"/>
          </w:tcPr>
          <w:p>
            <w:pPr>
              <w:pStyle w:val="TableContents"/>
              <w:bidi w:val="0"/>
              <w:spacing w:before="0" w:after="283"/>
              <w:jc w:val="left"/>
              <w:rPr/>
            </w:pPr>
            <w:r>
              <w:fldChar w:fldCharType="begin"/>
            </w:r>
            <w:r>
              <w:rPr>
                <w:rStyle w:val="InternetLink"/>
                <w:sz w:val="20"/>
                <w:rFonts w:ascii="Times New Roman;Times;Serif" w:hAnsi="Times New Roman;Times;Serif"/>
              </w:rPr>
              <w:instrText xml:space="preserve"> HYPERLINK "https://www.sec.gov/Archives/edgar/data/723125/000110465919006069/a18-36862_4ex4d1.htm" \l "Exhibit4_1_083200"</w:instrText>
            </w:r>
            <w:r>
              <w:rPr>
                <w:rStyle w:val="InternetLink"/>
                <w:sz w:val="20"/>
                <w:rFonts w:ascii="Times New Roman;Times;Serif" w:hAnsi="Times New Roman;Times;Serif"/>
              </w:rPr>
              <w:fldChar w:fldCharType="separate"/>
            </w:r>
            <w:r>
              <w:rPr>
                <w:rStyle w:val="InternetLink"/>
                <w:rFonts w:ascii="Times New Roman;Times;Serif" w:hAnsi="Times New Roman;Times;Serif"/>
                <w:sz w:val="20"/>
              </w:rPr>
              <w:t>4.1</w:t>
            </w:r>
            <w:r>
              <w:rPr>
                <w:rStyle w:val="InternetLink"/>
                <w:sz w:val="20"/>
                <w:rFonts w:ascii="Times New Roman;Times;Serif" w:hAnsi="Times New Roman;Times;Serif"/>
              </w:rPr>
              <w:fldChar w:fldCharType="end"/>
            </w:r>
          </w:p>
        </w:tc>
        <w:tc>
          <w:tcPr>
            <w:tcW w:w="60" w:type="dxa"/>
            <w:tcBorders/>
            <w:tcMar>
              <w:bottom w:w="0" w:type="dxa"/>
            </w:tcMar>
            <w:vAlign w:val="center"/>
          </w:tcPr>
          <w:p>
            <w:pPr>
              <w:pStyle w:val="TableContents"/>
              <w:bidi w:val="0"/>
              <w:spacing w:before="0" w:after="283"/>
              <w:jc w:val="left"/>
              <w:rPr/>
            </w:pPr>
            <w:r>
              <w:rPr/>
              <w:t> </w:t>
            </w:r>
          </w:p>
        </w:tc>
        <w:tc>
          <w:tcPr>
            <w:tcW w:w="9435" w:type="dxa"/>
            <w:tcBorders/>
            <w:tcMar>
              <w:bottom w:w="0" w:type="dxa"/>
            </w:tcMar>
            <w:vAlign w:val="center"/>
          </w:tcPr>
          <w:p>
            <w:pPr>
              <w:pStyle w:val="TableContents"/>
              <w:bidi w:val="0"/>
              <w:spacing w:before="0" w:after="283"/>
              <w:jc w:val="left"/>
              <w:rPr/>
            </w:pPr>
            <w:r>
              <w:fldChar w:fldCharType="begin"/>
            </w:r>
            <w:r>
              <w:rPr>
                <w:rStyle w:val="InternetLink"/>
                <w:sz w:val="20"/>
                <w:rFonts w:ascii="Times New Roman;Times;Serif" w:hAnsi="Times New Roman;Times;Serif"/>
              </w:rPr>
              <w:instrText xml:space="preserve"> HYPERLINK "https://www.sec.gov/Archives/edgar/data/723125/000110465919006069/a18-36862_4ex4d1.htm" \l "Exhibit4_1_083200"</w:instrText>
            </w:r>
            <w:r>
              <w:rPr>
                <w:rStyle w:val="InternetLink"/>
                <w:sz w:val="20"/>
                <w:rFonts w:ascii="Times New Roman;Times;Serif" w:hAnsi="Times New Roman;Times;Serif"/>
              </w:rPr>
              <w:fldChar w:fldCharType="separate"/>
            </w:r>
            <w:r>
              <w:rPr>
                <w:rStyle w:val="InternetLink"/>
                <w:rFonts w:ascii="Times New Roman;Times;Serif" w:hAnsi="Times New Roman;Times;Serif"/>
                <w:sz w:val="20"/>
              </w:rPr>
              <w:t>Indenture, dated February 6, 2019, by and between Micron Technology, Inc. and U.S. Bank Trust Company, National Association (as successor in interest to U.S. Bank National Association), as Trustee, filed as Exhibit 4.1 to Micron’s Form 8-K filed on February 6, 2019</w:t>
            </w:r>
            <w:r>
              <w:rPr>
                <w:rStyle w:val="InternetLink"/>
                <w:sz w:val="20"/>
                <w:rFonts w:ascii="Times New Roman;Times;Serif" w:hAnsi="Times New Roman;Times;Serif"/>
              </w:rPr>
              <w:fldChar w:fldCharType="end"/>
            </w:r>
          </w:p>
        </w:tc>
      </w:tr>
      <w:tr>
        <w:trPr/>
        <w:tc>
          <w:tcPr>
            <w:tcW w:w="710" w:type="dxa"/>
            <w:tcBorders/>
            <w:tcMar>
              <w:bottom w:w="0" w:type="dxa"/>
            </w:tcMar>
            <w:vAlign w:val="center"/>
          </w:tcPr>
          <w:p>
            <w:pPr>
              <w:pStyle w:val="TableContents"/>
              <w:bidi w:val="0"/>
              <w:spacing w:before="0" w:after="283"/>
              <w:jc w:val="left"/>
              <w:rPr/>
            </w:pPr>
            <w:hyperlink w:anchor="tm2513434d1_ex4-2.htm">
              <w:r>
                <w:rPr>
                  <w:rStyle w:val="InternetLink"/>
                  <w:rFonts w:ascii="Times New Roman;Times;Serif" w:hAnsi="Times New Roman;Times;Serif"/>
                  <w:sz w:val="20"/>
                </w:rPr>
                <w:t>4.2</w:t>
              </w:r>
            </w:hyperlink>
          </w:p>
        </w:tc>
        <w:tc>
          <w:tcPr>
            <w:tcW w:w="60" w:type="dxa"/>
            <w:tcBorders/>
            <w:tcMar>
              <w:bottom w:w="0" w:type="dxa"/>
            </w:tcMar>
            <w:vAlign w:val="center"/>
          </w:tcPr>
          <w:p>
            <w:pPr>
              <w:pStyle w:val="TableContents"/>
              <w:bidi w:val="0"/>
              <w:spacing w:before="0" w:after="283"/>
              <w:jc w:val="left"/>
              <w:rPr/>
            </w:pPr>
            <w:r>
              <w:rPr/>
              <w:t> </w:t>
            </w:r>
          </w:p>
        </w:tc>
        <w:tc>
          <w:tcPr>
            <w:tcW w:w="9435" w:type="dxa"/>
            <w:tcBorders/>
            <w:tcMar>
              <w:bottom w:w="0" w:type="dxa"/>
            </w:tcMar>
            <w:vAlign w:val="center"/>
          </w:tcPr>
          <w:p>
            <w:pPr>
              <w:pStyle w:val="TableContents"/>
              <w:bidi w:val="0"/>
              <w:spacing w:before="0" w:after="283"/>
              <w:jc w:val="left"/>
              <w:rPr/>
            </w:pPr>
            <w:hyperlink w:anchor="tm2513434d1_ex4-2.htm">
              <w:r>
                <w:rPr>
                  <w:rStyle w:val="InternetLink"/>
                  <w:rFonts w:ascii="Times New Roman;Times;Serif" w:hAnsi="Times New Roman;Times;Serif"/>
                  <w:sz w:val="20"/>
                </w:rPr>
                <w:t>Tenth Supplemental Indenture, dated as of April 29, 2025, by and between Micron Technology, Inc. and U.S. Bank Trust Company, National Association, as Trustee</w:t>
              </w:r>
            </w:hyperlink>
          </w:p>
        </w:tc>
      </w:tr>
      <w:tr>
        <w:trPr/>
        <w:tc>
          <w:tcPr>
            <w:tcW w:w="710" w:type="dxa"/>
            <w:tcBorders/>
            <w:tcMar>
              <w:bottom w:w="0" w:type="dxa"/>
            </w:tcMar>
            <w:vAlign w:val="center"/>
          </w:tcPr>
          <w:p>
            <w:pPr>
              <w:pStyle w:val="TableContents"/>
              <w:bidi w:val="0"/>
              <w:spacing w:before="0" w:after="283"/>
              <w:jc w:val="left"/>
              <w:rPr/>
            </w:pPr>
            <w:hyperlink w:anchor="tm2513434d1_ex4-2.htm">
              <w:r>
                <w:rPr>
                  <w:rStyle w:val="InternetLink"/>
                  <w:rFonts w:ascii="Times New Roman;Times;Serif" w:hAnsi="Times New Roman;Times;Serif"/>
                  <w:sz w:val="20"/>
                </w:rPr>
                <w:t>4.3</w:t>
              </w:r>
            </w:hyperlink>
          </w:p>
        </w:tc>
        <w:tc>
          <w:tcPr>
            <w:tcW w:w="60" w:type="dxa"/>
            <w:tcBorders/>
            <w:tcMar>
              <w:bottom w:w="0" w:type="dxa"/>
            </w:tcMar>
            <w:vAlign w:val="center"/>
          </w:tcPr>
          <w:p>
            <w:pPr>
              <w:pStyle w:val="TableContents"/>
              <w:bidi w:val="0"/>
              <w:spacing w:before="0" w:after="283"/>
              <w:jc w:val="left"/>
              <w:rPr/>
            </w:pPr>
            <w:r>
              <w:rPr/>
              <w:t> </w:t>
            </w:r>
          </w:p>
        </w:tc>
        <w:tc>
          <w:tcPr>
            <w:tcW w:w="9435" w:type="dxa"/>
            <w:tcBorders/>
            <w:tcMar>
              <w:bottom w:w="0" w:type="dxa"/>
            </w:tcMar>
            <w:vAlign w:val="center"/>
          </w:tcPr>
          <w:p>
            <w:pPr>
              <w:pStyle w:val="TableContents"/>
              <w:bidi w:val="0"/>
              <w:spacing w:before="0" w:after="283"/>
              <w:jc w:val="left"/>
              <w:rPr/>
            </w:pPr>
            <w:hyperlink w:anchor="tm2513434d1_ex4-2.htm">
              <w:r>
                <w:rPr>
                  <w:rStyle w:val="InternetLink"/>
                  <w:rFonts w:ascii="Times New Roman;Times;Serif" w:hAnsi="Times New Roman;Times;Serif"/>
                  <w:sz w:val="20"/>
                </w:rPr>
                <w:t>Form of Note for Micron Technology, Inc.’s 5.65% Senior Notes due 2032(incorporated by reference from Exhibit 4.2 hereto)</w:t>
              </w:r>
            </w:hyperlink>
          </w:p>
        </w:tc>
      </w:tr>
      <w:tr>
        <w:trPr/>
        <w:tc>
          <w:tcPr>
            <w:tcW w:w="710" w:type="dxa"/>
            <w:tcBorders/>
            <w:tcMar>
              <w:bottom w:w="0" w:type="dxa"/>
            </w:tcMar>
            <w:vAlign w:val="center"/>
          </w:tcPr>
          <w:p>
            <w:pPr>
              <w:pStyle w:val="TableContents"/>
              <w:bidi w:val="0"/>
              <w:spacing w:before="0" w:after="283"/>
              <w:jc w:val="left"/>
              <w:rPr/>
            </w:pPr>
            <w:hyperlink w:anchor="tm2513434d1_ex4-2.htm">
              <w:r>
                <w:rPr>
                  <w:rStyle w:val="InternetLink"/>
                  <w:rFonts w:ascii="Times New Roman;Times;Serif" w:hAnsi="Times New Roman;Times;Serif"/>
                  <w:sz w:val="20"/>
                </w:rPr>
                <w:t>4.4</w:t>
              </w:r>
            </w:hyperlink>
          </w:p>
        </w:tc>
        <w:tc>
          <w:tcPr>
            <w:tcW w:w="60" w:type="dxa"/>
            <w:tcBorders/>
            <w:tcMar>
              <w:bottom w:w="0" w:type="dxa"/>
            </w:tcMar>
            <w:vAlign w:val="center"/>
          </w:tcPr>
          <w:p>
            <w:pPr>
              <w:pStyle w:val="TableContents"/>
              <w:bidi w:val="0"/>
              <w:spacing w:before="0" w:after="283"/>
              <w:jc w:val="left"/>
              <w:rPr/>
            </w:pPr>
            <w:r>
              <w:rPr/>
              <w:t> </w:t>
            </w:r>
          </w:p>
        </w:tc>
        <w:tc>
          <w:tcPr>
            <w:tcW w:w="9435" w:type="dxa"/>
            <w:tcBorders/>
            <w:tcMar>
              <w:bottom w:w="0" w:type="dxa"/>
            </w:tcMar>
            <w:vAlign w:val="center"/>
          </w:tcPr>
          <w:p>
            <w:pPr>
              <w:pStyle w:val="TableContents"/>
              <w:bidi w:val="0"/>
              <w:spacing w:before="0" w:after="283"/>
              <w:jc w:val="left"/>
              <w:rPr/>
            </w:pPr>
            <w:hyperlink w:anchor="tm2513434d1_ex4-2.htm">
              <w:r>
                <w:rPr>
                  <w:rStyle w:val="InternetLink"/>
                  <w:rFonts w:ascii="Times New Roman;Times;Serif" w:hAnsi="Times New Roman;Times;Serif"/>
                  <w:sz w:val="20"/>
                </w:rPr>
                <w:t>Form of Note for Micron Technology, Inc.’s 6.05% Senior Notes due 2035 (incorporated by reference from Exhibit 4.2 hereto)</w:t>
              </w:r>
            </w:hyperlink>
          </w:p>
        </w:tc>
      </w:tr>
      <w:tr>
        <w:trPr/>
        <w:tc>
          <w:tcPr>
            <w:tcW w:w="710" w:type="dxa"/>
            <w:tcBorders/>
            <w:tcMar>
              <w:bottom w:w="0" w:type="dxa"/>
            </w:tcMar>
            <w:vAlign w:val="center"/>
          </w:tcPr>
          <w:p>
            <w:pPr>
              <w:pStyle w:val="TableContents"/>
              <w:bidi w:val="0"/>
              <w:spacing w:before="0" w:after="283"/>
              <w:jc w:val="left"/>
              <w:rPr/>
            </w:pPr>
            <w:hyperlink w:anchor="tm2513434d1_ex5-1.htm">
              <w:r>
                <w:rPr>
                  <w:rStyle w:val="InternetLink"/>
                  <w:rFonts w:ascii="Times New Roman;Times;Serif" w:hAnsi="Times New Roman;Times;Serif"/>
                  <w:sz w:val="20"/>
                </w:rPr>
                <w:t>5.1</w:t>
              </w:r>
            </w:hyperlink>
          </w:p>
        </w:tc>
        <w:tc>
          <w:tcPr>
            <w:tcW w:w="60" w:type="dxa"/>
            <w:tcBorders/>
            <w:tcMar>
              <w:bottom w:w="0" w:type="dxa"/>
            </w:tcMar>
            <w:vAlign w:val="center"/>
          </w:tcPr>
          <w:p>
            <w:pPr>
              <w:pStyle w:val="TableContents"/>
              <w:bidi w:val="0"/>
              <w:spacing w:before="0" w:after="283"/>
              <w:jc w:val="left"/>
              <w:rPr/>
            </w:pPr>
            <w:r>
              <w:rPr/>
              <w:t> </w:t>
            </w:r>
          </w:p>
        </w:tc>
        <w:tc>
          <w:tcPr>
            <w:tcW w:w="9435" w:type="dxa"/>
            <w:tcBorders/>
            <w:tcMar>
              <w:bottom w:w="0" w:type="dxa"/>
            </w:tcMar>
            <w:vAlign w:val="center"/>
          </w:tcPr>
          <w:p>
            <w:pPr>
              <w:pStyle w:val="TableContents"/>
              <w:bidi w:val="0"/>
              <w:spacing w:before="0" w:after="283"/>
              <w:jc w:val="left"/>
              <w:rPr/>
            </w:pPr>
            <w:hyperlink w:anchor="tm2513434d1_ex5-1.htm">
              <w:r>
                <w:rPr>
                  <w:rStyle w:val="InternetLink"/>
                  <w:rFonts w:ascii="Times New Roman;Times;Serif" w:hAnsi="Times New Roman;Times;Serif"/>
                  <w:sz w:val="20"/>
                </w:rPr>
                <w:t>Opinion of Wilson Sonsini Goodrich &amp; Rosati, Professional Corporation</w:t>
              </w:r>
            </w:hyperlink>
          </w:p>
        </w:tc>
      </w:tr>
      <w:tr>
        <w:trPr/>
        <w:tc>
          <w:tcPr>
            <w:tcW w:w="710" w:type="dxa"/>
            <w:tcBorders/>
            <w:tcMar>
              <w:bottom w:w="0" w:type="dxa"/>
            </w:tcMar>
            <w:vAlign w:val="center"/>
          </w:tcPr>
          <w:p>
            <w:pPr>
              <w:pStyle w:val="TableContents"/>
              <w:bidi w:val="0"/>
              <w:spacing w:before="0" w:after="283"/>
              <w:jc w:val="left"/>
              <w:rPr/>
            </w:pPr>
            <w:hyperlink w:anchor="tm2513434d1_ex5-1.htm">
              <w:r>
                <w:rPr>
                  <w:rStyle w:val="InternetLink"/>
                  <w:rFonts w:ascii="Times New Roman;Times;Serif" w:hAnsi="Times New Roman;Times;Serif"/>
                  <w:sz w:val="20"/>
                </w:rPr>
                <w:t>23.1</w:t>
              </w:r>
            </w:hyperlink>
          </w:p>
        </w:tc>
        <w:tc>
          <w:tcPr>
            <w:tcW w:w="60" w:type="dxa"/>
            <w:tcBorders/>
            <w:tcMar>
              <w:bottom w:w="0" w:type="dxa"/>
            </w:tcMar>
            <w:vAlign w:val="center"/>
          </w:tcPr>
          <w:p>
            <w:pPr>
              <w:pStyle w:val="TableContents"/>
              <w:bidi w:val="0"/>
              <w:spacing w:before="0" w:after="283"/>
              <w:jc w:val="left"/>
              <w:rPr/>
            </w:pPr>
            <w:r>
              <w:rPr/>
              <w:t> </w:t>
            </w:r>
          </w:p>
        </w:tc>
        <w:tc>
          <w:tcPr>
            <w:tcW w:w="9435" w:type="dxa"/>
            <w:tcBorders/>
            <w:tcMar>
              <w:bottom w:w="0" w:type="dxa"/>
            </w:tcMar>
            <w:vAlign w:val="center"/>
          </w:tcPr>
          <w:p>
            <w:pPr>
              <w:pStyle w:val="TableContents"/>
              <w:bidi w:val="0"/>
              <w:spacing w:before="0" w:after="283"/>
              <w:jc w:val="left"/>
              <w:rPr/>
            </w:pPr>
            <w:hyperlink w:anchor="tm2513434d1_ex5-1.htm">
              <w:r>
                <w:rPr>
                  <w:rStyle w:val="InternetLink"/>
                  <w:rFonts w:ascii="Times New Roman;Times;Serif" w:hAnsi="Times New Roman;Times;Serif"/>
                  <w:sz w:val="20"/>
                </w:rPr>
                <w:t>Consent of Wilson Sonsini Goodrich &amp; Rosati, Professional Corporation (included in Exhibit 5.1)</w:t>
              </w:r>
            </w:hyperlink>
          </w:p>
        </w:tc>
      </w:tr>
      <w:tr>
        <w:trPr/>
        <w:tc>
          <w:tcPr>
            <w:tcW w:w="71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104</w:t>
            </w:r>
          </w:p>
        </w:tc>
        <w:tc>
          <w:tcPr>
            <w:tcW w:w="60" w:type="dxa"/>
            <w:tcBorders/>
            <w:tcMar>
              <w:bottom w:w="0" w:type="dxa"/>
            </w:tcMar>
            <w:vAlign w:val="center"/>
          </w:tcPr>
          <w:p>
            <w:pPr>
              <w:pStyle w:val="TableContents"/>
              <w:bidi w:val="0"/>
              <w:spacing w:before="0" w:after="283"/>
              <w:jc w:val="left"/>
              <w:rPr/>
            </w:pPr>
            <w:r>
              <w:rPr/>
              <w:t> </w:t>
            </w:r>
          </w:p>
        </w:tc>
        <w:tc>
          <w:tcPr>
            <w:tcW w:w="943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Cover Page Interactive Data File (embedded within the Inline XBRL document)</w:t>
            </w:r>
          </w:p>
        </w:tc>
      </w:tr>
    </w:tbl>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6570" w:type="dxa"/>
        <w:jc w:val="left"/>
        <w:tblInd w:w="0" w:type="dxa"/>
        <w:tblLayout w:type="fixed"/>
        <w:tblCellMar>
          <w:top w:w="0" w:type="dxa"/>
          <w:left w:w="0" w:type="dxa"/>
          <w:bottom w:w="0" w:type="dxa"/>
          <w:right w:w="0" w:type="dxa"/>
        </w:tblCellMar>
      </w:tblPr>
      <w:tblGrid>
        <w:gridCol w:w="1700"/>
        <w:gridCol w:w="545"/>
        <w:gridCol w:w="4325"/>
      </w:tblGrid>
      <w:tr>
        <w:trPr/>
        <w:tc>
          <w:tcPr>
            <w:tcW w:w="1700" w:type="dxa"/>
            <w:tcBorders/>
            <w:vAlign w:val="center"/>
          </w:tcPr>
          <w:p>
            <w:pPr>
              <w:pStyle w:val="TableContents"/>
              <w:bidi w:val="0"/>
              <w:spacing w:before="0" w:after="283"/>
              <w:jc w:val="left"/>
              <w:rPr>
                <w:sz w:val="20"/>
              </w:rPr>
            </w:pPr>
            <w:r>
              <w:rPr>
                <w:sz w:val="20"/>
              </w:rPr>
              <w:t>Date: April 29, 2025</w:t>
            </w:r>
          </w:p>
        </w:tc>
        <w:tc>
          <w:tcPr>
            <w:tcW w:w="4870" w:type="dxa"/>
            <w:gridSpan w:val="2"/>
            <w:tcBorders/>
            <w:vAlign w:val="center"/>
          </w:tcPr>
          <w:p>
            <w:pPr>
              <w:pStyle w:val="TableContents"/>
              <w:bidi w:val="0"/>
              <w:spacing w:before="0" w:after="283"/>
              <w:jc w:val="left"/>
              <w:rPr/>
            </w:pPr>
            <w:r>
              <w:rPr>
                <w:b/>
              </w:rPr>
              <w:t>MICRON TECHNOLOGY, INC.</w:t>
            </w:r>
            <w:r>
              <w:rPr/>
              <w:t xml:space="preserve">  </w:t>
            </w:r>
          </w:p>
        </w:tc>
      </w:tr>
      <w:tr>
        <w:trPr/>
        <w:tc>
          <w:tcPr>
            <w:tcW w:w="1700" w:type="dxa"/>
            <w:tcBorders/>
            <w:vAlign w:val="center"/>
          </w:tcPr>
          <w:p>
            <w:pPr>
              <w:pStyle w:val="TableContents"/>
              <w:bidi w:val="0"/>
              <w:spacing w:before="0" w:after="283"/>
              <w:jc w:val="left"/>
              <w:rPr/>
            </w:pPr>
            <w:r>
              <w:rPr/>
              <w:t> </w:t>
            </w:r>
          </w:p>
        </w:tc>
        <w:tc>
          <w:tcPr>
            <w:tcW w:w="4870" w:type="dxa"/>
            <w:gridSpan w:val="2"/>
            <w:tcBorders/>
            <w:vAlign w:val="center"/>
          </w:tcPr>
          <w:p>
            <w:pPr>
              <w:pStyle w:val="TableContents"/>
              <w:bidi w:val="0"/>
              <w:spacing w:before="0" w:after="283"/>
              <w:jc w:val="left"/>
              <w:rPr/>
            </w:pPr>
            <w:r>
              <w:rPr/>
              <w:t> </w:t>
            </w:r>
          </w:p>
        </w:tc>
      </w:tr>
      <w:tr>
        <w:trPr/>
        <w:tc>
          <w:tcPr>
            <w:tcW w:w="170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By: </w:t>
            </w:r>
          </w:p>
        </w:tc>
        <w:tc>
          <w:tcPr>
            <w:tcW w:w="432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Mark Murphy</w:t>
            </w:r>
          </w:p>
        </w:tc>
      </w:tr>
      <w:tr>
        <w:trPr/>
        <w:tc>
          <w:tcPr>
            <w:tcW w:w="170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43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Mark Murphy</w:t>
            </w:r>
          </w:p>
        </w:tc>
      </w:tr>
      <w:tr>
        <w:trPr/>
        <w:tc>
          <w:tcPr>
            <w:tcW w:w="170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43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Executive Vice President and 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bookmarkStart w:id="22" w:name="tm2513434d1_ex4-2.htm"/>
      <w:bookmarkStart w:id="23" w:name="kstm2513434d1_ex42"/>
      <w:bookmarkEnd w:id="22"/>
      <w:bookmarkEnd w:id="23"/>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4.2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MICRON TECHNOLOGY,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$500,000,000 5.65% SENIOR NOTES DUE 2032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$1,250,000,000 6.05% SENIOR NOTES DUE 2035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TENTH SUPPLEMENTAL INDENTURE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Dated as of April 29,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INDENTURE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Dated as of February 6, 2019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 BANK TRUST COMPANY, NATIONAL ASSOCIATION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left"/>
        <w:rPr>
          <w:caps w:val="false"/>
          <w:smallCaps w:val="false"/>
        </w:rPr>
      </w:pPr>
      <w:r>
        <w:rPr>
          <w:caps w:val="false"/>
          <w:smallCaps w:val="false"/>
        </w:rPr>
        <w:t> </w:t>
      </w:r>
    </w:p>
    <w:tbl>
      <w:tblPr>
        <w:tblW w:w="6390" w:type="dxa"/>
        <w:jc w:val="left"/>
        <w:tblInd w:w="0" w:type="dxa"/>
        <w:tblLayout w:type="fixed"/>
        <w:tblCellMar>
          <w:top w:w="0" w:type="dxa"/>
          <w:left w:w="0" w:type="dxa"/>
          <w:bottom w:w="0" w:type="dxa"/>
          <w:right w:w="0" w:type="dxa"/>
        </w:tblCellMar>
      </w:tblPr>
      <w:tblGrid>
        <w:gridCol w:w="75"/>
        <w:gridCol w:w="1085"/>
        <w:gridCol w:w="4985"/>
        <w:gridCol w:w="245"/>
      </w:tblGrid>
      <w:tr>
        <w:trPr/>
        <w:tc>
          <w:tcPr>
            <w:tcW w:w="6145" w:type="dxa"/>
            <w:gridSpan w:val="3"/>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ARTICLE 1. DEFINITIONS AND INCORPORATION BY REFERENCE</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w:t>
            </w:r>
          </w:p>
        </w:tc>
      </w:tr>
      <w:tr>
        <w:trPr/>
        <w:tc>
          <w:tcPr>
            <w:tcW w:w="75"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1.1.</w:t>
            </w:r>
          </w:p>
        </w:tc>
        <w:tc>
          <w:tcPr>
            <w:tcW w:w="498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Relationship with Base Indenture</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w:t>
            </w:r>
          </w:p>
        </w:tc>
      </w:tr>
      <w:tr>
        <w:trPr/>
        <w:tc>
          <w:tcPr>
            <w:tcW w:w="75"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1.2.</w:t>
            </w:r>
          </w:p>
        </w:tc>
        <w:tc>
          <w:tcPr>
            <w:tcW w:w="498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Definitions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w:t>
            </w:r>
          </w:p>
        </w:tc>
      </w:tr>
      <w:tr>
        <w:trPr/>
        <w:tc>
          <w:tcPr>
            <w:tcW w:w="6145" w:type="dxa"/>
            <w:gridSpan w:val="3"/>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ARTICLE 2. THE NOTES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w:t>
            </w:r>
          </w:p>
        </w:tc>
      </w:tr>
      <w:tr>
        <w:trPr/>
        <w:tc>
          <w:tcPr>
            <w:tcW w:w="75"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2.1.</w:t>
            </w:r>
          </w:p>
        </w:tc>
        <w:tc>
          <w:tcPr>
            <w:tcW w:w="498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Form and Dating</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w:t>
            </w:r>
          </w:p>
        </w:tc>
      </w:tr>
      <w:tr>
        <w:trPr/>
        <w:tc>
          <w:tcPr>
            <w:tcW w:w="75"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2.2.</w:t>
            </w:r>
          </w:p>
        </w:tc>
        <w:tc>
          <w:tcPr>
            <w:tcW w:w="498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Transfer and Exchange</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w:t>
            </w:r>
          </w:p>
        </w:tc>
      </w:tr>
      <w:tr>
        <w:trPr/>
        <w:tc>
          <w:tcPr>
            <w:tcW w:w="75"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2.3.</w:t>
            </w:r>
          </w:p>
        </w:tc>
        <w:tc>
          <w:tcPr>
            <w:tcW w:w="498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Issuance of Additional Notes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w:t>
            </w:r>
          </w:p>
        </w:tc>
      </w:tr>
      <w:tr>
        <w:trPr/>
        <w:tc>
          <w:tcPr>
            <w:tcW w:w="75"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2.4.</w:t>
            </w:r>
          </w:p>
        </w:tc>
        <w:tc>
          <w:tcPr>
            <w:tcW w:w="498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Execution and Authentication</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w:t>
            </w:r>
          </w:p>
        </w:tc>
      </w:tr>
      <w:tr>
        <w:trPr/>
        <w:tc>
          <w:tcPr>
            <w:tcW w:w="6145" w:type="dxa"/>
            <w:gridSpan w:val="3"/>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ARTICLE 3. REDEMPTION AND PREPAYMENT</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w:t>
            </w:r>
          </w:p>
        </w:tc>
      </w:tr>
      <w:tr>
        <w:trPr/>
        <w:tc>
          <w:tcPr>
            <w:tcW w:w="75"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3.1.</w:t>
            </w:r>
          </w:p>
        </w:tc>
        <w:tc>
          <w:tcPr>
            <w:tcW w:w="498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Optional Redemption</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w:t>
            </w:r>
          </w:p>
        </w:tc>
      </w:tr>
      <w:tr>
        <w:trPr/>
        <w:tc>
          <w:tcPr>
            <w:tcW w:w="75"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3.2.</w:t>
            </w:r>
          </w:p>
        </w:tc>
        <w:tc>
          <w:tcPr>
            <w:tcW w:w="498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Mandatory Redemption</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w:t>
            </w:r>
          </w:p>
        </w:tc>
      </w:tr>
      <w:tr>
        <w:trPr/>
        <w:tc>
          <w:tcPr>
            <w:tcW w:w="6145" w:type="dxa"/>
            <w:gridSpan w:val="3"/>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ARTICLE 4. PARTICULAR COVENANTS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w:t>
            </w:r>
          </w:p>
        </w:tc>
      </w:tr>
      <w:tr>
        <w:trPr/>
        <w:tc>
          <w:tcPr>
            <w:tcW w:w="75"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4.1.</w:t>
            </w:r>
          </w:p>
        </w:tc>
        <w:tc>
          <w:tcPr>
            <w:tcW w:w="498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Offer to Purchase Upon Change of Control Triggering Event</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w:t>
            </w:r>
          </w:p>
        </w:tc>
      </w:tr>
      <w:tr>
        <w:trPr/>
        <w:tc>
          <w:tcPr>
            <w:tcW w:w="75"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4.2.</w:t>
            </w:r>
          </w:p>
        </w:tc>
        <w:tc>
          <w:tcPr>
            <w:tcW w:w="498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Liens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w:t>
            </w:r>
          </w:p>
        </w:tc>
      </w:tr>
      <w:tr>
        <w:trPr/>
        <w:tc>
          <w:tcPr>
            <w:tcW w:w="75"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4.3.</w:t>
            </w:r>
          </w:p>
        </w:tc>
        <w:tc>
          <w:tcPr>
            <w:tcW w:w="498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Sale and Lease Back Transactions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w:t>
            </w:r>
          </w:p>
        </w:tc>
      </w:tr>
      <w:tr>
        <w:trPr/>
        <w:tc>
          <w:tcPr>
            <w:tcW w:w="75"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4.4.</w:t>
            </w:r>
          </w:p>
        </w:tc>
        <w:tc>
          <w:tcPr>
            <w:tcW w:w="498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Covenants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w:t>
            </w:r>
          </w:p>
        </w:tc>
      </w:tr>
      <w:tr>
        <w:trPr/>
        <w:tc>
          <w:tcPr>
            <w:tcW w:w="6145" w:type="dxa"/>
            <w:gridSpan w:val="3"/>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ARTICLE 5. SATISFACTION AND DISCHARGE; DEFEASANCE</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w:t>
            </w:r>
          </w:p>
        </w:tc>
      </w:tr>
      <w:tr>
        <w:trPr/>
        <w:tc>
          <w:tcPr>
            <w:tcW w:w="75"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5.1.</w:t>
            </w:r>
          </w:p>
        </w:tc>
        <w:tc>
          <w:tcPr>
            <w:tcW w:w="498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Satisfaction and Discharge of Indenture</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w:t>
            </w:r>
          </w:p>
        </w:tc>
      </w:tr>
      <w:tr>
        <w:trPr/>
        <w:tc>
          <w:tcPr>
            <w:tcW w:w="75"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5.2.</w:t>
            </w:r>
          </w:p>
        </w:tc>
        <w:tc>
          <w:tcPr>
            <w:tcW w:w="498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Legal Defeasance of Securities of any Series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w:t>
            </w:r>
          </w:p>
        </w:tc>
      </w:tr>
      <w:tr>
        <w:trPr/>
        <w:tc>
          <w:tcPr>
            <w:tcW w:w="75"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5.3.</w:t>
            </w:r>
          </w:p>
        </w:tc>
        <w:tc>
          <w:tcPr>
            <w:tcW w:w="498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Covenant Defeasance</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w:t>
            </w:r>
          </w:p>
        </w:tc>
      </w:tr>
      <w:tr>
        <w:trPr/>
        <w:tc>
          <w:tcPr>
            <w:tcW w:w="6145" w:type="dxa"/>
            <w:gridSpan w:val="3"/>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ARTICLE 6. MISCELLANEOUS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w:t>
            </w:r>
          </w:p>
        </w:tc>
      </w:tr>
      <w:tr>
        <w:trPr/>
        <w:tc>
          <w:tcPr>
            <w:tcW w:w="75"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6.1.</w:t>
            </w:r>
          </w:p>
        </w:tc>
        <w:tc>
          <w:tcPr>
            <w:tcW w:w="498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Trust Indenture Act Controls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w:t>
            </w:r>
          </w:p>
        </w:tc>
      </w:tr>
      <w:tr>
        <w:trPr/>
        <w:tc>
          <w:tcPr>
            <w:tcW w:w="75"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6.2.</w:t>
            </w:r>
          </w:p>
        </w:tc>
        <w:tc>
          <w:tcPr>
            <w:tcW w:w="498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Governing Law</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w:t>
            </w:r>
          </w:p>
        </w:tc>
      </w:tr>
      <w:tr>
        <w:trPr/>
        <w:tc>
          <w:tcPr>
            <w:tcW w:w="75"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6.3.</w:t>
            </w:r>
          </w:p>
        </w:tc>
        <w:tc>
          <w:tcPr>
            <w:tcW w:w="498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Successors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w:t>
            </w:r>
          </w:p>
        </w:tc>
      </w:tr>
      <w:tr>
        <w:trPr/>
        <w:tc>
          <w:tcPr>
            <w:tcW w:w="75"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6.4.</w:t>
            </w:r>
          </w:p>
        </w:tc>
        <w:tc>
          <w:tcPr>
            <w:tcW w:w="498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Severability</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w:t>
            </w:r>
          </w:p>
        </w:tc>
      </w:tr>
      <w:tr>
        <w:trPr/>
        <w:tc>
          <w:tcPr>
            <w:tcW w:w="75"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6.5.</w:t>
            </w:r>
          </w:p>
        </w:tc>
        <w:tc>
          <w:tcPr>
            <w:tcW w:w="498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Counterpart Originals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w:t>
            </w:r>
          </w:p>
        </w:tc>
      </w:tr>
      <w:tr>
        <w:trPr/>
        <w:tc>
          <w:tcPr>
            <w:tcW w:w="75"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6.6.</w:t>
            </w:r>
          </w:p>
        </w:tc>
        <w:tc>
          <w:tcPr>
            <w:tcW w:w="4985" w:type="dxa"/>
            <w:tcBorders/>
            <w:vAlign w:val="center"/>
          </w:tcPr>
          <w:p>
            <w:pPr>
              <w:pStyle w:val="TableContents"/>
              <w:bidi w:val="0"/>
              <w:spacing w:before="0" w:after="283"/>
              <w:jc w:val="left"/>
              <w:rPr/>
            </w:pPr>
            <w:r>
              <w:rPr>
                <w:rFonts w:ascii="Times New Roman;Times;Serif" w:hAnsi="Times New Roman;Times;Serif"/>
                <w:i/>
                <w:sz w:val="20"/>
              </w:rPr>
              <w:t>Table of Contents, Headings, Etc</w:t>
            </w:r>
            <w:r>
              <w:rPr/>
              <w:t>.</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w:t>
            </w:r>
          </w:p>
        </w:tc>
      </w:tr>
      <w:tr>
        <w:trPr/>
        <w:tc>
          <w:tcPr>
            <w:tcW w:w="75"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6.7.</w:t>
            </w:r>
          </w:p>
        </w:tc>
        <w:tc>
          <w:tcPr>
            <w:tcW w:w="498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Waiver of Jury Trial</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w:t>
            </w:r>
          </w:p>
        </w:tc>
      </w:tr>
      <w:tr>
        <w:trPr/>
        <w:tc>
          <w:tcPr>
            <w:tcW w:w="75"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6.8.</w:t>
            </w:r>
          </w:p>
        </w:tc>
        <w:tc>
          <w:tcPr>
            <w:tcW w:w="498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Interpretation</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w:t>
            </w:r>
          </w:p>
        </w:tc>
      </w:tr>
      <w:tr>
        <w:trPr/>
        <w:tc>
          <w:tcPr>
            <w:tcW w:w="75"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6.9.</w:t>
            </w:r>
          </w:p>
        </w:tc>
        <w:tc>
          <w:tcPr>
            <w:tcW w:w="498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Instruction by Electronic Transmissions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w:t>
            </w:r>
          </w:p>
        </w:tc>
      </w:tr>
      <w:tr>
        <w:trPr/>
        <w:tc>
          <w:tcPr>
            <w:tcW w:w="75"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6.10.</w:t>
            </w:r>
          </w:p>
        </w:tc>
        <w:tc>
          <w:tcPr>
            <w:tcW w:w="498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Notices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w:t>
            </w:r>
          </w:p>
        </w:tc>
      </w:tr>
      <w:tr>
        <w:trPr/>
        <w:tc>
          <w:tcPr>
            <w:tcW w:w="75"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6.11.</w:t>
            </w:r>
          </w:p>
        </w:tc>
        <w:tc>
          <w:tcPr>
            <w:tcW w:w="498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Miscellaneous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w:t>
            </w:r>
          </w:p>
        </w:tc>
      </w:tr>
    </w:tbl>
    <w:tbl>
      <w:tblPr>
        <w:tblW w:w="2725" w:type="dxa"/>
        <w:jc w:val="left"/>
        <w:tblInd w:w="0" w:type="dxa"/>
        <w:tblLayout w:type="fixed"/>
        <w:tblCellMar>
          <w:top w:w="0" w:type="dxa"/>
          <w:left w:w="0" w:type="dxa"/>
          <w:bottom w:w="0" w:type="dxa"/>
          <w:right w:w="0" w:type="dxa"/>
        </w:tblCellMar>
      </w:tblPr>
      <w:tblGrid>
        <w:gridCol w:w="830"/>
        <w:gridCol w:w="1895"/>
      </w:tblGrid>
      <w:tr>
        <w:trPr/>
        <w:tc>
          <w:tcPr>
            <w:tcW w:w="8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Exhibit A</w:t>
            </w:r>
          </w:p>
        </w:tc>
        <w:tc>
          <w:tcPr>
            <w:tcW w:w="189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FORM OF 2032 NOTE</w:t>
            </w:r>
          </w:p>
        </w:tc>
      </w:tr>
      <w:tr>
        <w:trPr/>
        <w:tc>
          <w:tcPr>
            <w:tcW w:w="8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Exhibit B</w:t>
            </w:r>
          </w:p>
        </w:tc>
        <w:tc>
          <w:tcPr>
            <w:tcW w:w="189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FORM OF 2035 NOTE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TENTH SUPPLEMENTAL INDENTURE dated as of April 29, 2025 by and between Micron Technology, Inc., a Delaware corporation (the “</w:t>
      </w:r>
      <w:r>
        <w:rPr>
          <w:rFonts w:ascii="Times New Roman;Times;Serif" w:hAnsi="Times New Roman;Times;Serif"/>
          <w:b/>
          <w:i/>
          <w:caps w:val="false"/>
          <w:smallCaps w:val="false"/>
          <w:sz w:val="20"/>
        </w:rPr>
        <w:t>Company</w:t>
      </w:r>
      <w:r>
        <w:rPr>
          <w:rFonts w:ascii="Times New Roman;Times;Serif" w:hAnsi="Times New Roman;Times;Serif"/>
          <w:b w:val="false"/>
          <w:i w:val="false"/>
          <w:caps w:val="false"/>
          <w:smallCaps w:val="false"/>
          <w:sz w:val="20"/>
        </w:rPr>
        <w:t>”), and U.S. Bank Trust Company, National Association, as trustee (the “</w:t>
      </w:r>
      <w:r>
        <w:rPr>
          <w:rFonts w:ascii="Times New Roman;Times;Serif" w:hAnsi="Times New Roman;Times;Serif"/>
          <w:b/>
          <w:i/>
          <w:caps w:val="false"/>
          <w:smallCaps w:val="false"/>
          <w:sz w:val="20"/>
        </w:rPr>
        <w:t>Trustee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heretofore executed and delivered to the Trustee (as successor in interest to U.S. Bank National Association) an indenture, dated as of February 6, 2019 (the “</w:t>
      </w:r>
      <w:r>
        <w:rPr>
          <w:rFonts w:ascii="Times New Roman;Times;Serif" w:hAnsi="Times New Roman;Times;Serif"/>
          <w:b/>
          <w:i/>
          <w:caps w:val="false"/>
          <w:smallCaps w:val="false"/>
          <w:sz w:val="20"/>
        </w:rPr>
        <w:t>Base Indenture</w:t>
      </w:r>
      <w:r>
        <w:rPr>
          <w:rFonts w:ascii="Times New Roman;Times;Serif" w:hAnsi="Times New Roman;Times;Serif"/>
          <w:b w:val="false"/>
          <w:i w:val="false"/>
          <w:caps w:val="false"/>
          <w:smallCaps w:val="false"/>
          <w:sz w:val="20"/>
        </w:rPr>
        <w:t>”), providing for the issuance from time to time of one or more Series of the Company’s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9.1 of the Base Indenture provides that the Company and the Trustee, without the consent of any holders of the Company’s Securities, from time to time may amend or supplement certain terms and conditions in the Base Indenture, including to provide for the issuance of and establishment of terms of a Series of Securities as permitted by Sections 2.1 and 2.2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desires and has requested the Trustee pursuant to Section 9.1 of the Base Indenture to join with it in the execution and delivery of this Supplemental Indenture (together with the Base Indenture, the “</w:t>
      </w:r>
      <w:r>
        <w:rPr>
          <w:rFonts w:ascii="Times New Roman;Times;Serif" w:hAnsi="Times New Roman;Times;Serif"/>
          <w:b/>
          <w:i/>
          <w:caps w:val="false"/>
          <w:smallCaps w:val="false"/>
          <w:sz w:val="20"/>
        </w:rPr>
        <w:t>Indenture</w:t>
      </w:r>
      <w:r>
        <w:rPr>
          <w:rFonts w:ascii="Times New Roman;Times;Serif" w:hAnsi="Times New Roman;Times;Serif"/>
          <w:b w:val="false"/>
          <w:i w:val="false"/>
          <w:caps w:val="false"/>
          <w:smallCaps w:val="false"/>
          <w:sz w:val="20"/>
        </w:rPr>
        <w:t>”) in order to supplement the Base Indenture as, and to the extent set forth herein, to provide for the issuance of and establish the forms and terms and conditions of each Series of the Notes (as defined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execution and delivery of this Supplemental Indenture has been duly authorized by votes of the Board of Directors or a duly authorized committee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conditions and requirements necessary to make this Supplemental Indenture a valid, binding and legal instrument in accordance with its terms have been performed and fulfilled by the parties hereto and the execution and delivery thereof have been in all respects duly authorized by the parties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and the Trustee agree as follows for the benefit of each other and for the equal and ratable benefit of the Holders (as defined herein) of the 5.65% Senior Notes due 2032 and 6.05% Senior Notes due 2035: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1.</w:t>
        <w:br/>
        <w:t>DEFINITIONS AND INCORPORATION</w:t>
        <w:br/>
        <w:t>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      </w:t>
      </w:r>
      <w:r>
        <w:rPr>
          <w:rFonts w:ascii="Times New Roman;Times;Serif" w:hAnsi="Times New Roman;Times;Serif"/>
          <w:b w:val="false"/>
          <w:i/>
          <w:caps w:val="false"/>
          <w:smallCaps w:val="false"/>
          <w:sz w:val="20"/>
        </w:rPr>
        <w:t>Relationship with Base Indenture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and provisions contained in the Base Indenture will constitute, and are hereby expressly made, a part of this Supplemental Indenture and the Company and the Trustee, by their execution and delivery of this Supplemental Indenture, expressly agree to such terms and provisions and to be bound thereby. However, to the extent any provision of the Base Indenture conflicts with the express provisions of this Supplemental Indenture or the Notes, the provisions of this Supplemental Indenture or the Notes, as applicable, will govern and be controlling.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accepts the amendment of the Base Indenture effected by this Supplemental Indenture and agrees to execute the trust created by the Base Indenture as hereby amended, but only upon the terms and conditions set forth in this Supplemental Indenture, including the rights, privileges and immunities of the Trustee set forth in the Base Indenture and the terms and provisions defining and limiting the liabilities and responsibilities of the Trustee in the performance of the trust created by the Base Indenture, and without limiting the generality of the foregoing, the Trustee will not be responsible in any manner whatsoever for, or with respect to, any of the recitals or statements contained herein, all of which recitals or statements are made solely by the Company, or for, or with respect to, (1) the proper authorization of this Supplemental Indenture by the Company, (2) the due execution hereof by the Company or (3) the consequences (direct or indirect and whether deliberate or inadvertent) of any amendment herein provided for, and the Trustee makes no representation with respect to any such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the Trustee shall not be responsible or liable for any failure or delay in the performance of its obligations under this Indenture arising out of or caused, directly or indirectly, by circumstances beyond its reasonable control, including acts of God; earthquakes; fires; floods; wars; civil or military disturbances; sabotage; epidemics; riots; interruptions, loss or malfunctions of utilities, computer (hardware or software) or communications service; accidents; labor disputes; acts of civil or military authority or governmental actions; it being understood that the Trustee shall use its best efforts to resume performance as soon as practicable under the circumstances.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1.2.      </w:t>
      </w:r>
      <w:r>
        <w:rPr>
          <w:rFonts w:ascii="Times New Roman;Times;Serif" w:hAnsi="Times New Roman;Times;Serif"/>
          <w:b w:val="false"/>
          <w:i/>
          <w:caps w:val="false"/>
          <w:smallCaps w:val="false"/>
          <w:sz w:val="20"/>
        </w:rPr>
        <w:t>Definitions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Capitalized terms used herein without definition shall have the respective meanings set forth in the Base Indenture. The following terms have the meanings given to them in this Section 1.2: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2032 Notes</w:t>
      </w:r>
      <w:r>
        <w:rPr>
          <w:rFonts w:ascii="Times New Roman;Times;Serif" w:hAnsi="Times New Roman;Times;Serif"/>
          <w:b w:val="false"/>
          <w:i w:val="false"/>
          <w:caps w:val="false"/>
          <w:smallCaps w:val="false"/>
          <w:sz w:val="20"/>
        </w:rPr>
        <w:t xml:space="preserve">” means the Company’s 5.65% Senior Notes due 2032;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the Initial 2032 Notes and the Additional 2032 Notes, if any, will be treated as a single Series for all purposes under this Supplemental Indenture, and unless the context otherwise requires, all references to the 2032 Notes will include the Initial 2032 Notes and any Additional 2032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2035 Notes</w:t>
      </w:r>
      <w:r>
        <w:rPr>
          <w:rFonts w:ascii="Times New Roman;Times;Serif" w:hAnsi="Times New Roman;Times;Serif"/>
          <w:b w:val="false"/>
          <w:i w:val="false"/>
          <w:caps w:val="false"/>
          <w:smallCaps w:val="false"/>
          <w:sz w:val="20"/>
        </w:rPr>
        <w:t xml:space="preserve">” means the Company’s 6.05% Senior Notes due 2035;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the Initial 2035 Notes and the Additional 2035 Notes, if any, will be treated as a single Series for all purposes under this Supplemental Indenture, and unless the context otherwise requires, all references to the 2035 Notes will include the Initial 2035 Notes and any Additional 2035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Additional 2032 Notes</w:t>
      </w:r>
      <w:r>
        <w:rPr>
          <w:rFonts w:ascii="Times New Roman;Times;Serif" w:hAnsi="Times New Roman;Times;Serif"/>
          <w:b w:val="false"/>
          <w:i w:val="false"/>
          <w:caps w:val="false"/>
          <w:smallCaps w:val="false"/>
          <w:sz w:val="20"/>
        </w:rPr>
        <w:t>” means any 2032 Notes (other than the Initial 2032 Notes) issued under this Supplemental Indenture in accordance with Section 2.3 hereof, as part of the same Series as the Initial 2032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Additional 2035 Notes</w:t>
      </w:r>
      <w:r>
        <w:rPr>
          <w:rFonts w:ascii="Times New Roman;Times;Serif" w:hAnsi="Times New Roman;Times;Serif"/>
          <w:b w:val="false"/>
          <w:i w:val="false"/>
          <w:caps w:val="false"/>
          <w:smallCaps w:val="false"/>
          <w:sz w:val="20"/>
        </w:rPr>
        <w:t>” means any 2035 Notes (other than the Initial 2035 Notes) issued under this Supplemental Indenture in accordance with Section 2.3 hereof, as part of the same Series as the Initial 2035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Additional Notes</w:t>
      </w:r>
      <w:r>
        <w:rPr>
          <w:rFonts w:ascii="Times New Roman;Times;Serif" w:hAnsi="Times New Roman;Times;Serif"/>
          <w:b w:val="false"/>
          <w:i w:val="false"/>
          <w:caps w:val="false"/>
          <w:smallCaps w:val="false"/>
          <w:sz w:val="20"/>
        </w:rPr>
        <w:t>” means any Additional 2032 Notes and any Additional 2035 Notes,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Aggregate Debt</w:t>
      </w:r>
      <w:r>
        <w:rPr>
          <w:rFonts w:ascii="Times New Roman;Times;Serif" w:hAnsi="Times New Roman;Times;Serif"/>
          <w:b w:val="false"/>
          <w:i w:val="false"/>
          <w:caps w:val="false"/>
          <w:smallCaps w:val="false"/>
          <w:sz w:val="20"/>
        </w:rPr>
        <w:t>” means the sum of the following as of the date of determination: (1) the then aggregate outstanding amount of the Indebtedness of the Company and its Restricted Subsidiaries, without duplication, incurred after the Issue Date and secured by Liens not otherwise permitted by Section 4.2(a) hereof; and (2) the then existing Attributable Debt of the Company and its Restricted Subsidiaries in respect of Sale and Lease Back Transactions, without duplication, entered into after the Issue Date pursuant to the last paragraph of Section 4.3 hereof; provided that any such Attributable Debt will be excluded from this clause (2) to the extent that Indebtedness relating thereto is included in clause (1) of this definition, provided further, that in no event will the amount of any Indebtedness be required to be included in the calculation of Aggregate Debt more than once despite the fact that more than one person is liable with respect to such Indebtedness and despite the fact that such Indebtedness is secured by the assets of more than one person (for example, and for avoidance of doubt, in the case where there are Liens on assets of one or more of the Company and its Restricted Subsidiaries securing such Indebtedness, the amount of Indebtedness so secured shall only be included once in the calculation of Aggregate Debt). Whenever a calculation is to be made with respect to creation or incurrence under revolving credit Indebtedness, such calculation may, at the Company’s election, be determined by treating the maximum committed amount of such revolving credit Indebtedness as having been incurred on the date of such calculation, whether or not such amount has actually been drawn upon, and, if such election has been made, (i) subsequent borrowings and reborrowings of such revolving credit Indebtedness (and related Liens), up to the maximum committed amount, shall not be deemed additional incurrences of Indebtedness (and related Liens) requiring calculations of the amount of Aggregate Debt (but subsequent borrowings in connection with increases in such maximum committed amount shall require calculations under this definition, or shall otherwise comply with Section 4.2 hereof), and (ii) for purposes of subsequent calculations under this definition, the maximum committed amount of such revolving credit Indebtedness on the date of any such calculation shall be deemed to be outstanding throughout such period, whether or not such amount is actually outstanding. The Company may revoke an election pursuant to this paragraph at any time, at which time the entire drawn outstanding amount of such revolving credit Indebtedness will be deemed to be incurred and secured by any relevant Liens at such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Applicable Procedures</w:t>
      </w:r>
      <w:r>
        <w:rPr>
          <w:rFonts w:ascii="Times New Roman;Times;Serif" w:hAnsi="Times New Roman;Times;Serif"/>
          <w:b w:val="false"/>
          <w:i w:val="false"/>
          <w:caps w:val="false"/>
          <w:smallCaps w:val="false"/>
          <w:sz w:val="20"/>
        </w:rPr>
        <w:t>” means, with respect to any transfer or exchange of or for beneficial interests in any Global Note, the rules and procedures established by and customary for the Depositary that apply to such transfer or exchange.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Attributable Debt</w:t>
      </w:r>
      <w:r>
        <w:rPr>
          <w:rFonts w:ascii="Times New Roman;Times;Serif" w:hAnsi="Times New Roman;Times;Serif"/>
          <w:b w:val="false"/>
          <w:i w:val="false"/>
          <w:caps w:val="false"/>
          <w:smallCaps w:val="false"/>
          <w:sz w:val="20"/>
        </w:rPr>
        <w:t>” means in connection with a Sale and Lease Back Transaction the lesser of: (1) the fair value of the assets subject to such transaction, as determined in good faith by a Senior Officer of the Company; and (2) the present value of the minimum rental payments called for during the terms of the lease (including any period for which such lease has been extended), determined in accordance with GAAP, discounted at a rate that, at the inception of the lease, the lessee would have incurred to borrow over a similar term the funds necessary to purchase the leased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Base Indenture</w:t>
      </w:r>
      <w:r>
        <w:rPr>
          <w:rFonts w:ascii="Times New Roman;Times;Serif" w:hAnsi="Times New Roman;Times;Serif"/>
          <w:b w:val="false"/>
          <w:i w:val="false"/>
          <w:caps w:val="false"/>
          <w:smallCaps w:val="false"/>
          <w:sz w:val="20"/>
        </w:rPr>
        <w:t>” has the meaning set forth in the preamble to this Supplemental Indenture, as it may be amended, supplemented or otherwise modified from time to time in accordance with the terms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Below Investment Grade Rating Event</w:t>
      </w:r>
      <w:r>
        <w:rPr>
          <w:rFonts w:ascii="Times New Roman;Times;Serif" w:hAnsi="Times New Roman;Times;Serif"/>
          <w:b w:val="false"/>
          <w:i w:val="false"/>
          <w:caps w:val="false"/>
          <w:smallCaps w:val="false"/>
          <w:sz w:val="20"/>
        </w:rPr>
        <w:t>” means, with respect to each Series of Notes, the rating on the Notes of such Series is lowered by two or more of the Rating Agencies within 60 days from the earlier of (1) the date of the first public notice of an arrangement that could result in a Change of Control or (2) the occurrence of a Change of Control (which period shall be extended so long as the rating of such Series of Notes is under publicly announced consideration for possible downgrade by any of the Rating Agencies); provided, however, that a particular reduction in rating will not be deemed to have occurred in respect of a particular Change of Control (and thus will not be deemed a Below Investment Grade Rating Event for purposes of the definition of Change of Control Triggering Event) unless each of the Rating Agencies making the reduction in rating to which this definition would otherwise apply announces or publicly confirms that the reduction was the result, in whole or in part, of any event or circumstance comprised of or arising as a result of, or in respect of, the applicable Change of Control (whether or not the applicable Change of Control has occurred at the time of the Below Investment Grade Rating Event); provided, further, that notwithstanding the foregoing, a Below Investment Grade Rating Event shall not be deemed to have occurred so long as the applicable Series of Notes are rated Investment Grade by two or more of the Rating Agencies.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Change of Control</w:t>
      </w:r>
      <w:r>
        <w:rPr>
          <w:rFonts w:ascii="Times New Roman;Times;Serif" w:hAnsi="Times New Roman;Times;Serif"/>
          <w:b w:val="false"/>
          <w:i w:val="false"/>
          <w:caps w:val="false"/>
          <w:smallCaps w:val="false"/>
          <w:sz w:val="20"/>
        </w:rPr>
        <w:t>” means: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any “person” or “group” (as such terms are used in Sections 13(d) and 14(d) of the Exchange Act), other than the Company, its Subsidiaries or any employee benefit plan of the Company or its Subsidiaries, files a Schedule 13D or Schedule TO (or any successor schedule, form or report) pursuant to the Exchange Act disclosing that such person has become the direct or indirect “beneficial owner” (as such term is used in Rules 13d-3 and 13d-5 under the Exchange Act) of more than 50% of the Voting Stock of the Company, unless such beneficial ownership (a) arises solely as a result of a revocable proxy delivered in response to a proxy or consent solicitation made pursuant to the applicable rules and regulations under the Exchange Act, and (b) is not also then reportable on Schedule 13D (or any successor schedule) under the Exchange Act, except that for the purpose of this clause (1) a person will be deemed to have beneficial ownership of all shares that such person has the right to acquire irrespective of whether that right is exercisable immediately or only after the passage of time; provided, however, that a transaction will not be deemed to involve a Change of Control under this clause (1) if (a) the Company becomes a direct or indirect wholly owned subsidiary of a holding company, and (b)(i) the direct or indirect holders of the Voting Stock of such holding company immediately following that transaction are substantially the same as the holders of the Company’s Voting Stock immediately prior to that transaction or (ii) immediately following that transaction no “person” or “group”(other than a holding company satisfying the requirements of this sentence) is the beneficial owner, directly or indirectly, of more than 50% of the Voting Stock of such holding company;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Company sells, conveys, transfers or leases (either in one transaction or a series of related transactions) all or substantially all assets of the Company and its Subsidiaries taken as a whole to, or merges or consolidates with, a person (other than the Company or any of its Subsidiaries), other than any such merger or consolidation where the shares of the Company’s Voting Stock outstanding immediately prior to such transaction constitute, or are converted into or exchanged for, a majority of the Voting Stock of the surviving person or parent entity thereof immediately after giving effect to such transaction;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adoption of a plan relating to the Company’s liquidation or dissolution.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Change of Control Triggering Event</w:t>
      </w:r>
      <w:r>
        <w:rPr>
          <w:rFonts w:ascii="Times New Roman;Times;Serif" w:hAnsi="Times New Roman;Times;Serif"/>
          <w:b w:val="false"/>
          <w:i w:val="false"/>
          <w:caps w:val="false"/>
          <w:smallCaps w:val="false"/>
          <w:sz w:val="20"/>
        </w:rPr>
        <w:t>” means, with respect to a Series of Notes hereunder, the occurrence of both a Change of Control and a Below Investment Grade Rating Event.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Consolidated Net Tangible Assets</w:t>
      </w:r>
      <w:r>
        <w:rPr>
          <w:rFonts w:ascii="Times New Roman;Times;Serif" w:hAnsi="Times New Roman;Times;Serif"/>
          <w:b w:val="false"/>
          <w:i w:val="false"/>
          <w:caps w:val="false"/>
          <w:smallCaps w:val="false"/>
          <w:sz w:val="20"/>
        </w:rPr>
        <w:t>” means, with respect to any person, the total amount of assets of such person and its Consolidated Subsidiaries after deducting therefrom (a) all current liabilities of such person and its Consolidated Subsidiaries (excluding (i) any notes or loans payable within 12 months, the current portion of long-term debt, the current portion of deferred revenue and of obligations under operating and finance leases, and the portion of any convertible debt classified as “current” despite having a stated maturity more than 12 months from the date as of which the amount thereof is being computed and (ii) any liabilities which are by their terms renewable or extendible at the option of the obligor thereon to a date more than 12 months from the date as of which the amount thereof is being computed) and (b) all goodwill, trade names, trademarks, patents, unamortized debt discount and expense and any other like intangibles of such person and its Consolidated Subsidiaries, all as set forth on the consolidated balance sheet of such person for the most recently completed fiscal quarter for which financial statements have been filed with the SEC and computed in accordance with GAAP.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Consolidated Subsidiaries</w:t>
      </w:r>
      <w:r>
        <w:rPr>
          <w:rFonts w:ascii="Times New Roman;Times;Serif" w:hAnsi="Times New Roman;Times;Serif"/>
          <w:b w:val="false"/>
          <w:i w:val="false"/>
          <w:caps w:val="false"/>
          <w:smallCaps w:val="false"/>
          <w:sz w:val="20"/>
        </w:rPr>
        <w:t>” means, as of any date of determination and with respect to any person, those subsidiaries of that person whose financial data is, in accordance with GAAP, reflected in that person’s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Definitive Note</w:t>
      </w:r>
      <w:r>
        <w:rPr>
          <w:rFonts w:ascii="Times New Roman;Times;Serif" w:hAnsi="Times New Roman;Times;Serif"/>
          <w:b w:val="false"/>
          <w:i w:val="false"/>
          <w:caps w:val="false"/>
          <w:smallCaps w:val="false"/>
          <w:sz w:val="20"/>
        </w:rPr>
        <w:t xml:space="preserve">” means a certificated Note registered in the name of the Holder thereof and issued in accordance with Section 2.2 hereof, substantially in the form of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 xml:space="preserve"> hereto, except that such Note will not bear the Global Note Legend.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Depositary</w:t>
      </w:r>
      <w:r>
        <w:rPr>
          <w:rFonts w:ascii="Times New Roman;Times;Serif" w:hAnsi="Times New Roman;Times;Serif"/>
          <w:b w:val="false"/>
          <w:i w:val="false"/>
          <w:caps w:val="false"/>
          <w:smallCaps w:val="false"/>
          <w:sz w:val="20"/>
        </w:rPr>
        <w:t>” means, with respect to the Notes of a Series hereunder issuable or issued in whole or in part in global form, the person specified in Section 2.1 hereof as the Depositary with respect to such Notes, and any and all successors thereto appointed as depositary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Equity Interests</w:t>
      </w:r>
      <w:r>
        <w:rPr>
          <w:rFonts w:ascii="Times New Roman;Times;Serif" w:hAnsi="Times New Roman;Times;Serif"/>
          <w:b w:val="false"/>
          <w:i w:val="false"/>
          <w:caps w:val="false"/>
          <w:smallCaps w:val="false"/>
          <w:sz w:val="20"/>
        </w:rPr>
        <w:t>” means all Capital Stock and all warrants or options with respect to, or other rights to purchase, Capital Stock, but excluding Indebtedness convertible into or exchangeable for equity.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Fitch</w:t>
      </w:r>
      <w:r>
        <w:rPr>
          <w:rFonts w:ascii="Times New Roman;Times;Serif" w:hAnsi="Times New Roman;Times;Serif"/>
          <w:b w:val="false"/>
          <w:i w:val="false"/>
          <w:caps w:val="false"/>
          <w:smallCaps w:val="false"/>
          <w:sz w:val="20"/>
        </w:rPr>
        <w:t>” means Fitch Ratings Inc. and any successor to its rating agency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Foreign Subsidiary</w:t>
      </w:r>
      <w:r>
        <w:rPr>
          <w:rFonts w:ascii="Times New Roman;Times;Serif" w:hAnsi="Times New Roman;Times;Serif"/>
          <w:b w:val="false"/>
          <w:i w:val="false"/>
          <w:caps w:val="false"/>
          <w:smallCaps w:val="false"/>
          <w:sz w:val="20"/>
        </w:rPr>
        <w:t>” means, with respect to any person, any Subsidiary of such person other than one that is organized or existing under the laws of the United States, any state thereof or the District of Columbia.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Global Note Legend</w:t>
      </w:r>
      <w:r>
        <w:rPr>
          <w:rFonts w:ascii="Times New Roman;Times;Serif" w:hAnsi="Times New Roman;Times;Serif"/>
          <w:b w:val="false"/>
          <w:i w:val="false"/>
          <w:caps w:val="false"/>
          <w:smallCaps w:val="false"/>
          <w:sz w:val="20"/>
        </w:rPr>
        <w:t>” means the legend set forth in Section 2.2(e) hereof, which is required to be placed on all Global Notes issued under this Supplemental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Global Notes</w:t>
      </w:r>
      <w:r>
        <w:rPr>
          <w:rFonts w:ascii="Times New Roman;Times;Serif" w:hAnsi="Times New Roman;Times;Serif"/>
          <w:b w:val="false"/>
          <w:i w:val="false"/>
          <w:caps w:val="false"/>
          <w:smallCaps w:val="false"/>
          <w:sz w:val="20"/>
        </w:rPr>
        <w:t xml:space="preserve">” means, individually and collectively, (a) with respect to the 2032 Notes, each of the Global Notes, in the form of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hereto, and (b) with respect to the 2035 Notes, each of the Global Notes, in the form of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 xml:space="preserve"> hereto, in each case, issued in accordance with Section 2.1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Holder</w:t>
      </w:r>
      <w:r>
        <w:rPr>
          <w:rFonts w:ascii="Times New Roman;Times;Serif" w:hAnsi="Times New Roman;Times;Serif"/>
          <w:b w:val="false"/>
          <w:i w:val="false"/>
          <w:caps w:val="false"/>
          <w:smallCaps w:val="false"/>
          <w:sz w:val="20"/>
        </w:rPr>
        <w:t>” means a person in whose name a Note is registered.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Indebtedness</w:t>
      </w:r>
      <w:r>
        <w:rPr>
          <w:rFonts w:ascii="Times New Roman;Times;Serif" w:hAnsi="Times New Roman;Times;Serif"/>
          <w:b w:val="false"/>
          <w:i w:val="false"/>
          <w:caps w:val="false"/>
          <w:smallCaps w:val="false"/>
          <w:sz w:val="20"/>
        </w:rPr>
        <w:t>” means indebtedness for borrowed money. For the avoidance of doubt, Indebtedness with respect to any person only includes indebtedness for the repayment of money borrowed provided to such person, and does not include any other kind of indebtedness or obligation notwithstanding that such other indebtedness or obligation may be evidenced by a note, bond, debenture or other similar instrument, may be in the nature of a financing transaction, or may be an obligation that under GAAP is classified as “debt” or another type of liability, whether required to be reflected on the balance sheet of the obligor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 of any Indebtedness outstanding as of any date will be: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accreted value of the Indebtedness, in the case of any Indebtedness that does not require the current payment of interest;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principal amount of the Indebtedness, in the case of any other Indebtedness;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in respect of Indebtedness of another person secured by a Lien on the assets of the specified person, the lesser of: (a) the fair value (as determined in good faith by a Senior Officer of the Company) of such assets at the date of determination; and (b) the principal amount of the Indebtedness secured by such Lien.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accrual of interest and accretion or amortization of original issue discount will not be deemed to be an incurrence of Indebtedness for any purpose under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Indenture</w:t>
      </w:r>
      <w:r>
        <w:rPr>
          <w:rFonts w:ascii="Times New Roman;Times;Serif" w:hAnsi="Times New Roman;Times;Serif"/>
          <w:b w:val="false"/>
          <w:i w:val="false"/>
          <w:caps w:val="false"/>
          <w:smallCaps w:val="false"/>
          <w:sz w:val="20"/>
        </w:rPr>
        <w:t>” means the Base Indenture, as supplemented by this Supplemental Indenture, governing the Notes, in each case, as amended, supplemented or restated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Indirect Participant</w:t>
      </w:r>
      <w:r>
        <w:rPr>
          <w:rFonts w:ascii="Times New Roman;Times;Serif" w:hAnsi="Times New Roman;Times;Serif"/>
          <w:b w:val="false"/>
          <w:i w:val="false"/>
          <w:caps w:val="false"/>
          <w:smallCaps w:val="false"/>
          <w:sz w:val="20"/>
        </w:rPr>
        <w:t>” means a person who holds a beneficial interest in a Global Note through a Participant.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Initial 2032 Notes</w:t>
      </w:r>
      <w:r>
        <w:rPr>
          <w:rFonts w:ascii="Times New Roman;Times;Serif" w:hAnsi="Times New Roman;Times;Serif"/>
          <w:b w:val="false"/>
          <w:i w:val="false"/>
          <w:caps w:val="false"/>
          <w:smallCaps w:val="false"/>
          <w:sz w:val="20"/>
        </w:rPr>
        <w:t>” means the $500,000,000 aggregate principal amount of 2032 Notes issued under this Supplemental Indenture on the date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Initial 2035 Notes</w:t>
      </w:r>
      <w:r>
        <w:rPr>
          <w:rFonts w:ascii="Times New Roman;Times;Serif" w:hAnsi="Times New Roman;Times;Serif"/>
          <w:b w:val="false"/>
          <w:i w:val="false"/>
          <w:caps w:val="false"/>
          <w:smallCaps w:val="false"/>
          <w:sz w:val="20"/>
        </w:rPr>
        <w:t>” means the $1,250,000,000 aggregate principal amount of 2035 Notes issued under this Supplemental Indenture on the date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Investment Grade</w:t>
      </w:r>
      <w:r>
        <w:rPr>
          <w:rFonts w:ascii="Times New Roman;Times;Serif" w:hAnsi="Times New Roman;Times;Serif"/>
          <w:b w:val="false"/>
          <w:i w:val="false"/>
          <w:caps w:val="false"/>
          <w:smallCaps w:val="false"/>
          <w:sz w:val="20"/>
        </w:rPr>
        <w:t>” means a rating of BBB- or better by Fitch (or its equivalent under any successor rating categories of Fitch), Baa3 or better by Moody’s (or its equivalent under any successor rating categories of Moody’s) and a rating of BBB- or better by S&amp;P (or its equivalent under any successor rating categories of S&amp;P) or the equivalent investment grade credit rating from any additional Rating Agency or Rating Agencies selected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Issue Date</w:t>
      </w:r>
      <w:r>
        <w:rPr>
          <w:rFonts w:ascii="Times New Roman;Times;Serif" w:hAnsi="Times New Roman;Times;Serif"/>
          <w:b w:val="false"/>
          <w:i w:val="false"/>
          <w:caps w:val="false"/>
          <w:smallCaps w:val="false"/>
          <w:sz w:val="20"/>
        </w:rPr>
        <w:t>” means the date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Joint Venture</w:t>
      </w:r>
      <w:r>
        <w:rPr>
          <w:rFonts w:ascii="Times New Roman;Times;Serif" w:hAnsi="Times New Roman;Times;Serif"/>
          <w:b w:val="false"/>
          <w:i w:val="false"/>
          <w:caps w:val="false"/>
          <w:smallCaps w:val="false"/>
          <w:sz w:val="20"/>
        </w:rPr>
        <w:t>” means, with respect to any person, any partnership, corporation or other entity in which up to and including 50% of the Equity Interests is owned, directly or indirectly, by such person and/or one or more of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Lien</w:t>
      </w:r>
      <w:r>
        <w:rPr>
          <w:rFonts w:ascii="Times New Roman;Times;Serif" w:hAnsi="Times New Roman;Times;Serif"/>
          <w:b w:val="false"/>
          <w:i w:val="false"/>
          <w:caps w:val="false"/>
          <w:smallCaps w:val="false"/>
          <w:sz w:val="20"/>
        </w:rPr>
        <w:t>” means any lien, security interest, mortgage, charge or similar encumbrance, provided, however, that in no event shall either (i) any legal or equitable encumbrances deemed to exist by reason of a negative pledge or (ii) an operating lease or a non-exclusive license be deemed to constitute a Lien.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Moody’s</w:t>
      </w:r>
      <w:r>
        <w:rPr>
          <w:rFonts w:ascii="Times New Roman;Times;Serif" w:hAnsi="Times New Roman;Times;Serif"/>
          <w:b w:val="false"/>
          <w:i w:val="false"/>
          <w:caps w:val="false"/>
          <w:smallCaps w:val="false"/>
          <w:sz w:val="20"/>
        </w:rPr>
        <w:t>” means Moody’s Investors Service, Inc. and any successor to its rating agency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Nonrecourse Obligation</w:t>
      </w:r>
      <w:r>
        <w:rPr>
          <w:rFonts w:ascii="Times New Roman;Times;Serif" w:hAnsi="Times New Roman;Times;Serif"/>
          <w:b w:val="false"/>
          <w:i w:val="false"/>
          <w:caps w:val="false"/>
          <w:smallCaps w:val="false"/>
          <w:sz w:val="20"/>
        </w:rPr>
        <w:t>” means Indebtedness substantially related to (i) the acquisition of assets not previously owned by the Company or any Restricted Subsidiary or (ii) the financing of a project involving the development or expansion of properties of the Company or any Restricted Subsidiary, as to which the obligee with respect to such Indebtedness has no recourse to the Company or any Restricted Subsidiary or any assets of the Company or any Restricted Subsidiary other than the assets which were acquired with the proceeds of such transaction or the project financed with the proceeds of such transaction (and the proceeds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Notes</w:t>
      </w:r>
      <w:r>
        <w:rPr>
          <w:rFonts w:ascii="Times New Roman;Times;Serif" w:hAnsi="Times New Roman;Times;Serif"/>
          <w:b w:val="false"/>
          <w:i w:val="false"/>
          <w:caps w:val="false"/>
          <w:smallCaps w:val="false"/>
          <w:sz w:val="20"/>
        </w:rPr>
        <w:t>” means, collectively, the 2032 Notes and the 2035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Par Call Date</w:t>
      </w:r>
      <w:r>
        <w:rPr>
          <w:rFonts w:ascii="Times New Roman;Times;Serif" w:hAnsi="Times New Roman;Times;Serif"/>
          <w:b w:val="false"/>
          <w:i w:val="false"/>
          <w:caps w:val="false"/>
          <w:smallCaps w:val="false"/>
          <w:sz w:val="20"/>
        </w:rPr>
        <w:t>” means (i) September 1, 2032, with respect to any 2032 Notes, and (ii) August 1, 2035, with respect to any 2035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Participant</w:t>
      </w:r>
      <w:r>
        <w:rPr>
          <w:rFonts w:ascii="Times New Roman;Times;Serif" w:hAnsi="Times New Roman;Times;Serif"/>
          <w:b w:val="false"/>
          <w:i w:val="false"/>
          <w:caps w:val="false"/>
          <w:smallCaps w:val="false"/>
          <w:sz w:val="20"/>
        </w:rPr>
        <w:t>” means, with respect to the Depositary, a person who has an account with the Depositary.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Permitted Liens</w:t>
      </w:r>
      <w:r>
        <w:rPr>
          <w:rFonts w:ascii="Times New Roman;Times;Serif" w:hAnsi="Times New Roman;Times;Serif"/>
          <w:b w:val="false"/>
          <w:i w:val="false"/>
          <w:caps w:val="false"/>
          <w:smallCaps w:val="false"/>
          <w:sz w:val="20"/>
        </w:rPr>
        <w:t>” means: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82"/>
        <w:gridCol w:w="9885"/>
      </w:tblGrid>
      <w:tr>
        <w:trPr/>
        <w:tc>
          <w:tcPr>
            <w:tcW w:w="38"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pPr>
            <w:r>
              <w:rPr/>
              <w:t>(1)</w:t>
            </w:r>
          </w:p>
        </w:tc>
        <w:tc>
          <w:tcPr>
            <w:tcW w:w="9885" w:type="dxa"/>
            <w:tcBorders/>
            <w:vAlign w:val="center"/>
          </w:tcPr>
          <w:p>
            <w:pPr>
              <w:pStyle w:val="TableContents"/>
              <w:bidi w:val="0"/>
              <w:spacing w:before="0" w:after="283"/>
              <w:jc w:val="both"/>
              <w:rPr/>
            </w:pPr>
            <w:r>
              <w:rPr/>
              <w:t>Liens existing as of the Issue Date or arising thereafter pursuant to related agreements existing as of the Issue Date;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7"/>
        <w:gridCol w:w="9890"/>
      </w:tblGrid>
      <w:tr>
        <w:trPr/>
        <w:tc>
          <w:tcPr>
            <w:tcW w:w="38"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pPr>
            <w:r>
              <w:rPr/>
              <w:t>(2)</w:t>
            </w:r>
          </w:p>
        </w:tc>
        <w:tc>
          <w:tcPr>
            <w:tcW w:w="9890" w:type="dxa"/>
            <w:tcBorders/>
            <w:vAlign w:val="center"/>
          </w:tcPr>
          <w:p>
            <w:pPr>
              <w:pStyle w:val="TableContents"/>
              <w:bidi w:val="0"/>
              <w:spacing w:before="0" w:after="283"/>
              <w:jc w:val="both"/>
              <w:rPr/>
            </w:pPr>
            <w:r>
              <w:rPr/>
              <w:t>With respect to a Series of Notes, Liens granted after the Issue Date created in favor of the Holders of such Series of Notes;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2"/>
        <w:gridCol w:w="9945"/>
      </w:tblGrid>
      <w:tr>
        <w:trPr/>
        <w:tc>
          <w:tcPr>
            <w:tcW w:w="38"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pPr>
            <w:r>
              <w:rPr/>
              <w:t>(3)</w:t>
            </w:r>
          </w:p>
        </w:tc>
        <w:tc>
          <w:tcPr>
            <w:tcW w:w="9945" w:type="dxa"/>
            <w:tcBorders/>
            <w:vAlign w:val="center"/>
          </w:tcPr>
          <w:p>
            <w:pPr>
              <w:pStyle w:val="TableContents"/>
              <w:bidi w:val="0"/>
              <w:spacing w:before="0" w:after="283"/>
              <w:jc w:val="left"/>
              <w:rPr/>
            </w:pPr>
            <w:r>
              <w:rPr/>
              <w:t>Liens on Principal Property or Liens on the Capital Stock of any Person formed to acquire or hold such Principal Property given to secure all or any part of the payment of or financing of all or any part of the purchase price thereof, or the cost of development, operation, construction, alteration, repair or improvement of all or any part thereof; provided that such Liens shall be given (or given pursuant to firm commitment financing arrangements obtained within such period) by the time of or within 24 months after the later of (i) the acquisition of such Principal Property and/or the completion of any such development, operation, construction, alteration, repair or improvement, whichever is later and (ii) the placing into commercial operation of such Principal Property after the acquisition or completion of any such development, operation, construction, alteration, repair or improvement;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2"/>
        <w:gridCol w:w="9945"/>
      </w:tblGrid>
      <w:tr>
        <w:trPr/>
        <w:tc>
          <w:tcPr>
            <w:tcW w:w="38"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pPr>
            <w:r>
              <w:rPr/>
              <w:t>(4)</w:t>
            </w:r>
          </w:p>
        </w:tc>
        <w:tc>
          <w:tcPr>
            <w:tcW w:w="9945" w:type="dxa"/>
            <w:tcBorders/>
            <w:vAlign w:val="center"/>
          </w:tcPr>
          <w:p>
            <w:pPr>
              <w:pStyle w:val="TableContents"/>
              <w:bidi w:val="0"/>
              <w:spacing w:before="0" w:after="283"/>
              <w:jc w:val="left"/>
              <w:rPr/>
            </w:pPr>
            <w:r>
              <w:rPr/>
              <w:t>Liens existing on any Principal Property at the time of acquisition of such Principal Property or Liens existing on shares of Capital Stock or assets of a person and its Subsidiaries prior to the time such person becomes a Restricted Subsidiary (or arising thereafter pursuant to contractual commitments entered into prior to acquiring such Principal Property or such shares of Capital Stock) (including acquisition through merger or consolidation) or at the time of such acquisition (or arising thereafter pursuant to contractual commitments entered into prior to such person becoming a Restricted Subsidiary) by the Company or any Subsidiary of the Company; provided that such Liens do not extend to (i) any Principal Property owned by the Company or any Restricted Subsidiary or (ii) shares of Capital Stock of any Restricted Subsidiary that, in each case, were not previously encumbered by such Liens;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1"/>
        <w:gridCol w:w="9946"/>
      </w:tblGrid>
      <w:tr>
        <w:trPr/>
        <w:tc>
          <w:tcPr>
            <w:tcW w:w="38"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pPr>
            <w:r>
              <w:rPr/>
              <w:t>(5)</w:t>
            </w:r>
          </w:p>
        </w:tc>
        <w:tc>
          <w:tcPr>
            <w:tcW w:w="9946" w:type="dxa"/>
            <w:tcBorders/>
            <w:vAlign w:val="center"/>
          </w:tcPr>
          <w:p>
            <w:pPr>
              <w:pStyle w:val="TableContents"/>
              <w:bidi w:val="0"/>
              <w:spacing w:before="0" w:after="283"/>
              <w:jc w:val="left"/>
              <w:rPr/>
            </w:pPr>
            <w:r>
              <w:rPr/>
              <w:t>(a) Liens on the Equity Interests of any person, including any Joint Venture of the Company, and its Subsidiaries which, when such Liens arise, concurrently becomes a Restricted Subsidiary and Liens on Principal Property of such person, including any Joint Venture of the Company, and its Subsidiaries arising in connection with the purchase or acquisition thereof or of an interest therein by the Company or any of its Subsidiaries, and (b) Liens on Equity Interests in any Joint Venture of the Company or any of its Subsidiaries, or in any Subsidiary of the Company that owns an Equity Interest in a Joint Venture of the Company to secure Indebtedness contributed or advanced solely to that Joint Venture; provided that, in the case of each of the preceding clauses (a) and (b), such Liens do not extend to other Principal Property owned by the Company or any Restricted Subsidiary or shares of Capital Stock of a Restricted Subsidiary that, in each case, were not previously encumbered by such Liens;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4"/>
        <w:gridCol w:w="9933"/>
      </w:tblGrid>
      <w:tr>
        <w:trPr/>
        <w:tc>
          <w:tcPr>
            <w:tcW w:w="38"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pPr>
            <w:r>
              <w:rPr/>
              <w:t>(6)</w:t>
            </w:r>
          </w:p>
        </w:tc>
        <w:tc>
          <w:tcPr>
            <w:tcW w:w="9933" w:type="dxa"/>
            <w:tcBorders/>
            <w:vAlign w:val="center"/>
          </w:tcPr>
          <w:p>
            <w:pPr>
              <w:pStyle w:val="TableContents"/>
              <w:bidi w:val="0"/>
              <w:spacing w:before="0" w:after="283"/>
              <w:jc w:val="left"/>
              <w:rPr/>
            </w:pPr>
            <w:r>
              <w:rPr/>
              <w:t>Liens securing Indebtedness of up to 5.0% of Consolidated Net Tangible Assets of the Company to any strategic partner of the Company and/or one or more of its Subsidiaries incurred in connection with joint technology efforts between such partner and the Company and/or one or more of its Subsidiaries and/or the financing of manufacturing of products;</w:t>
            </w:r>
          </w:p>
        </w:tc>
      </w:tr>
    </w:tbl>
    <w:p>
      <w:pPr>
        <w:pStyle w:val="TextBody"/>
        <w:bidi w:val="0"/>
        <w:spacing w:before="0" w:after="0"/>
        <w:ind w:left="0" w:right="0" w:hanging="0"/>
        <w:jc w:val="left"/>
        <w:rPr>
          <w:caps w:val="false"/>
          <w:smallCaps w:val="false"/>
        </w:rPr>
      </w:pPr>
      <w:r>
        <w:rPr>
          <w:caps w:val="false"/>
          <w:smallCaps w:val="false"/>
        </w:rPr>
        <w:t> </w:t>
      </w:r>
    </w:p>
    <w:tbl>
      <w:tblPr>
        <w:tblW w:w="7413" w:type="dxa"/>
        <w:jc w:val="left"/>
        <w:tblInd w:w="0" w:type="dxa"/>
        <w:tblLayout w:type="fixed"/>
        <w:tblCellMar>
          <w:top w:w="0" w:type="dxa"/>
          <w:left w:w="0" w:type="dxa"/>
          <w:bottom w:w="0" w:type="dxa"/>
          <w:right w:w="0" w:type="dxa"/>
        </w:tblCellMar>
      </w:tblPr>
      <w:tblGrid>
        <w:gridCol w:w="38"/>
        <w:gridCol w:w="290"/>
        <w:gridCol w:w="708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(7)</w:t>
            </w:r>
          </w:p>
        </w:tc>
        <w:tc>
          <w:tcPr>
            <w:tcW w:w="7085" w:type="dxa"/>
            <w:tcBorders/>
            <w:vAlign w:val="center"/>
          </w:tcPr>
          <w:p>
            <w:pPr>
              <w:pStyle w:val="TableContents"/>
              <w:bidi w:val="0"/>
              <w:spacing w:before="0" w:after="283"/>
              <w:jc w:val="both"/>
              <w:rPr/>
            </w:pPr>
            <w:r>
              <w:rPr/>
              <w:t>Liens in favor of the Company or a Restricted Subsidiary of the Company;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8"/>
        <w:gridCol w:w="9929"/>
      </w:tblGrid>
      <w:tr>
        <w:trPr/>
        <w:tc>
          <w:tcPr>
            <w:tcW w:w="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pPr>
            <w:r>
              <w:rPr/>
              <w:t>(8)</w:t>
            </w:r>
          </w:p>
        </w:tc>
        <w:tc>
          <w:tcPr>
            <w:tcW w:w="9929" w:type="dxa"/>
            <w:tcBorders/>
            <w:vAlign w:val="center"/>
          </w:tcPr>
          <w:p>
            <w:pPr>
              <w:pStyle w:val="TableContents"/>
              <w:bidi w:val="0"/>
              <w:spacing w:before="0" w:after="283"/>
              <w:jc w:val="left"/>
              <w:rPr/>
            </w:pPr>
            <w:r>
              <w:rPr/>
              <w:t>Liens imposed by law, such as carriers’, warehousemen’s and mechanic’s Liens and other similar Liens arising in the ordinary course of business (including Liens incident in the ordinary course of the construction or maintenance of Principal Property), and Liens in connection with legal proceedings;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8"/>
        <w:gridCol w:w="9919"/>
      </w:tblGrid>
      <w:tr>
        <w:trPr/>
        <w:tc>
          <w:tcPr>
            <w:tcW w:w="3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pPr>
            <w:r>
              <w:rPr/>
              <w:t>(9)</w:t>
            </w:r>
          </w:p>
        </w:tc>
        <w:tc>
          <w:tcPr>
            <w:tcW w:w="9919" w:type="dxa"/>
            <w:tcBorders/>
            <w:vAlign w:val="center"/>
          </w:tcPr>
          <w:p>
            <w:pPr>
              <w:pStyle w:val="TableContents"/>
              <w:bidi w:val="0"/>
              <w:spacing w:before="0" w:after="283"/>
              <w:jc w:val="both"/>
              <w:rPr/>
            </w:pPr>
            <w:r>
              <w:rPr/>
              <w:t>Liens for taxes, assessments or other governmental charges not yet overdue for a period of more than 30 days or subject to penalties for non-payment or which are being contested in good faith by appropriate proceedings;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44"/>
        <w:gridCol w:w="9823"/>
      </w:tblGrid>
      <w:tr>
        <w:trPr/>
        <w:tc>
          <w:tcPr>
            <w:tcW w:w="38"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pPr>
            <w:r>
              <w:rPr/>
              <w:t>(10)</w:t>
            </w:r>
          </w:p>
        </w:tc>
        <w:tc>
          <w:tcPr>
            <w:tcW w:w="9823" w:type="dxa"/>
            <w:tcBorders/>
            <w:vAlign w:val="center"/>
          </w:tcPr>
          <w:p>
            <w:pPr>
              <w:pStyle w:val="TableContents"/>
              <w:bidi w:val="0"/>
              <w:spacing w:before="0" w:after="283"/>
              <w:jc w:val="left"/>
              <w:rPr/>
            </w:pPr>
            <w:r>
              <w:rPr/>
              <w:t>Liens to secure the performance of bids, trade or commercial contracts, government contracts, purchase, construction, sales and servicing contracts (including utility contracts), leases, statutory obligations, surety, stay, customs and appeal bonds, performance bonds and other obligations of a like nature, in each case in the ordinary course of business, deposits as security for contested taxes, import or customs duties, liabilities to insurance carriers or for the payment of rent, and Liens to secure letters of credit, guarantees, bonds or other sureties given in connection with the foregoing obligations or in connection with workers’ compensation, unemployment insurance or other types of social security or similar laws and regulations;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48"/>
        <w:gridCol w:w="9819"/>
      </w:tblGrid>
      <w:tr>
        <w:trPr/>
        <w:tc>
          <w:tcPr>
            <w:tcW w:w="3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pPr>
            <w:r>
              <w:rPr/>
              <w:t>(11)</w:t>
            </w:r>
          </w:p>
        </w:tc>
        <w:tc>
          <w:tcPr>
            <w:tcW w:w="9819" w:type="dxa"/>
            <w:tcBorders/>
            <w:vAlign w:val="center"/>
          </w:tcPr>
          <w:p>
            <w:pPr>
              <w:pStyle w:val="TableContents"/>
              <w:bidi w:val="0"/>
              <w:spacing w:before="0" w:after="283"/>
              <w:jc w:val="left"/>
              <w:rPr/>
            </w:pPr>
            <w:r>
              <w:rPr/>
              <w:t>Liens in favor of the United States or any state, territory or possession thereof (or the District of Columbia), or any department, agency, instrumentality or political subdivision of the United States or any state, territory or possession thereof (or the District of Columbia), to secure partial, progress, advance or other payments pursuant to any contract or statute or to secure any Indebtedness incurred for the purpose of financing all or any part of the purchase price or the cost of constructing or improving the property subject to such Liens;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59"/>
        <w:gridCol w:w="9808"/>
      </w:tblGrid>
      <w:tr>
        <w:trPr/>
        <w:tc>
          <w:tcPr>
            <w:tcW w:w="38"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pPr>
            <w:r>
              <w:rPr/>
              <w:t>(12)</w:t>
            </w:r>
          </w:p>
        </w:tc>
        <w:tc>
          <w:tcPr>
            <w:tcW w:w="9808" w:type="dxa"/>
            <w:tcBorders/>
            <w:vAlign w:val="center"/>
          </w:tcPr>
          <w:p>
            <w:pPr>
              <w:pStyle w:val="TableContents"/>
              <w:bidi w:val="0"/>
              <w:spacing w:before="0" w:after="283"/>
              <w:jc w:val="left"/>
              <w:rPr/>
            </w:pPr>
            <w:r>
              <w:rPr/>
              <w:t>Liens created, incurred or assumed in connection with an industrial revenue bond, pollution control bond or similar financing between the Company or any of its Subsidiaries and any federal, state or municipal government or other government body or quasi-governmental agency;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9"/>
        <w:gridCol w:w="9778"/>
      </w:tblGrid>
      <w:tr>
        <w:trPr/>
        <w:tc>
          <w:tcPr>
            <w:tcW w:w="38"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pPr>
            <w:r>
              <w:rPr/>
              <w:t>(13)</w:t>
            </w:r>
          </w:p>
        </w:tc>
        <w:tc>
          <w:tcPr>
            <w:tcW w:w="9778" w:type="dxa"/>
            <w:tcBorders/>
            <w:vAlign w:val="center"/>
          </w:tcPr>
          <w:p>
            <w:pPr>
              <w:pStyle w:val="TableContents"/>
              <w:bidi w:val="0"/>
              <w:spacing w:before="0" w:after="283"/>
              <w:jc w:val="left"/>
              <w:rPr/>
            </w:pPr>
            <w:r>
              <w:rPr/>
              <w:t>Liens created in connection with the acquisition of assets or a project financed with, and created to secure a Nonrecourse Obligation;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42"/>
        <w:gridCol w:w="9825"/>
      </w:tblGrid>
      <w:tr>
        <w:trPr/>
        <w:tc>
          <w:tcPr>
            <w:tcW w:w="38"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pPr>
            <w:r>
              <w:rPr/>
              <w:t>(14)</w:t>
            </w:r>
          </w:p>
        </w:tc>
        <w:tc>
          <w:tcPr>
            <w:tcW w:w="9825" w:type="dxa"/>
            <w:tcBorders/>
            <w:vAlign w:val="center"/>
          </w:tcPr>
          <w:p>
            <w:pPr>
              <w:pStyle w:val="TableContents"/>
              <w:bidi w:val="0"/>
              <w:spacing w:before="0" w:after="283"/>
              <w:jc w:val="left"/>
              <w:rPr/>
            </w:pPr>
            <w:r>
              <w:rPr/>
              <w:t>any extension, renewal, substitution, reinstatement or replacement (or successive extensions, renewals, substitutions, reinstatements or replacements), in whole or in part, of any Lien referred to in this or the preceding clauses (1) through (13), and any Liens that secure an extension, renewal, reinstatement, replacement, refinancing or refunding (including any successive extensions, renewals, reinstatements, replacements, refinancings or refundings) of any Indebtedness at any time prior to or within 12 months after the maturity, retirement or other repayment or prepayment of the Indebtedness (including any such repayment pursuant to amortization obligations with respect to such Indebtedness) being extended, renewed, substituted, replaced, refinanced or refunded, which Indebtedness is or was secured by a Lien referred to in this or the preceding clauses (1) through (13).</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avoidance of doubt, the inclusion of specific Liens in the definition of Permitted Liens shall not create any implication that the obligations secured by such Liens constitute Indebtedness.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Principal Property</w:t>
      </w:r>
      <w:r>
        <w:rPr>
          <w:rFonts w:ascii="Times New Roman;Times;Serif" w:hAnsi="Times New Roman;Times;Serif"/>
          <w:b w:val="false"/>
          <w:i w:val="false"/>
          <w:caps w:val="false"/>
          <w:smallCaps w:val="false"/>
          <w:sz w:val="20"/>
        </w:rPr>
        <w:t>” means any single parcel (or group of contiguous parcels that comprise the same facility, office or plant) of real property or any permanent improvement thereon (1) owned by the Company or any of its Subsidiaries located in the United States, including its principal corporate office, any manufacturing facility or plant, any research and development facility or any portion thereof and (2) having a net book value, as of the date of determination, in excess of 1% of Consolidated Net Tangible Assets of the Company. Notwithstanding the foregoing, (i) Principal Property does not include any property that the Board of Directors has determined not to be of material importance to the business conducted by the Company and its Subsidiaries, taken as a whole and (ii) Principal Property only includes personal property to the extent it becomes, and continues to be, a “fixture” within the meaning of Article 9 of the Uniform Commercial Code of the applicable real property.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Rating Agency</w:t>
      </w:r>
      <w:r>
        <w:rPr>
          <w:rFonts w:ascii="Times New Roman;Times;Serif" w:hAnsi="Times New Roman;Times;Serif"/>
          <w:b w:val="false"/>
          <w:i w:val="false"/>
          <w:caps w:val="false"/>
          <w:smallCaps w:val="false"/>
          <w:sz w:val="20"/>
        </w:rPr>
        <w:t>” means (1) each of Fitch, Moody’s and S&amp;P; and (2) if any of Fitch, Moody’s or S&amp;P ceases to rate the notes or fails to make a rating of the notes publicly available for reasons outside of the Company’s control, a “nationally recognized statistical rating organization” within the meaning of Section 3(a)(62) of the Exchange Act, selected by the Company as a replacement agency for Fitch, Moody’s or S&amp;P, or all of them, as the case may be.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Remaining Scheduled Payments</w:t>
      </w:r>
      <w:r>
        <w:rPr>
          <w:rFonts w:ascii="Times New Roman;Times;Serif" w:hAnsi="Times New Roman;Times;Serif"/>
          <w:b w:val="false"/>
          <w:i w:val="false"/>
          <w:caps w:val="false"/>
          <w:smallCaps w:val="false"/>
          <w:sz w:val="20"/>
        </w:rPr>
        <w:t>” means, with respect to any Notes being redeemed, the sum of the present values of the remaining scheduled payments of the principal and interest thereon discounted to the redemption date (assuming such Notes matured on the applicable Par Call Date) on a semi-annual basis (assuming a 360-day year consisting of twelve 30-day months) at the Treasury Rate plus 25 basis points, in the case of the 2032 Notes, and 30 basis points, in the case of the 2035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Restricted Subsidiary</w:t>
      </w:r>
      <w:r>
        <w:rPr>
          <w:rFonts w:ascii="Times New Roman;Times;Serif" w:hAnsi="Times New Roman;Times;Serif"/>
          <w:b w:val="false"/>
          <w:i w:val="false"/>
          <w:caps w:val="false"/>
          <w:smallCaps w:val="false"/>
          <w:sz w:val="20"/>
        </w:rPr>
        <w:t>” shall mean each Subsidiary of the Company (1) that is organized or existing under the laws of the United States, any state thereof or the District of Columbia other than any such Subsidiary that is a direct or indirect Subsidiary of one or more Foreign Subsidiaries of the Company, (2) that owns a Principal Property, and (3) at least 80% of the Voting Stock of which is owned by the Company or one or more Subsidiaries of which at least 80% of the Voting Stock is owned directly or indirectly by the Company, provided that, for purposes of the foregoing, any Voting Stock owned by a Subsidiary of the Company that is not a Restricted Subsidiary based on the foregoing clause (3) shall be excluded.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S&amp;P</w:t>
      </w:r>
      <w:r>
        <w:rPr>
          <w:rFonts w:ascii="Times New Roman;Times;Serif" w:hAnsi="Times New Roman;Times;Serif"/>
          <w:b w:val="false"/>
          <w:i w:val="false"/>
          <w:caps w:val="false"/>
          <w:smallCaps w:val="false"/>
          <w:sz w:val="20"/>
        </w:rPr>
        <w:t>” means S&amp;P Global Ratings, and any successor to its rating agency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Sale and Lease Back Transaction</w:t>
      </w:r>
      <w:r>
        <w:rPr>
          <w:rFonts w:ascii="Times New Roman;Times;Serif" w:hAnsi="Times New Roman;Times;Serif"/>
          <w:b w:val="false"/>
          <w:i w:val="false"/>
          <w:caps w:val="false"/>
          <w:smallCaps w:val="false"/>
          <w:sz w:val="20"/>
        </w:rPr>
        <w:t>” means an arrangement with any lender or investor or to which such lender or investor is a party providing for the leasing by the Company or any Subsidiary of the Company of any Principal Property that, more than 12 months after the later of (i) the completion of the acquisition, construction, development or improvement of such Principal Property or (ii) the placing in operation of such Principal Property or of such Principal Property as so constructed, developed or improved, has been or is being sold, conveyed, transferred or otherwise disposed of by the Company or any Subsidiary of the Company to such lender or investor or to any person to whom funds have been or are to be advanced by such lender on the security of such Principal Property.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Senior Officer</w:t>
      </w:r>
      <w:r>
        <w:rPr>
          <w:rFonts w:ascii="Times New Roman;Times;Serif" w:hAnsi="Times New Roman;Times;Serif"/>
          <w:b w:val="false"/>
          <w:i w:val="false"/>
          <w:caps w:val="false"/>
          <w:smallCaps w:val="false"/>
          <w:sz w:val="20"/>
        </w:rPr>
        <w:t>” of any specified person means the chief executive officer, any president, any vice president, the chief financial officer, the treasurer, any assistant treasurer, the secretary or any assistant secretary.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Series</w:t>
      </w:r>
      <w:r>
        <w:rPr>
          <w:rFonts w:ascii="Times New Roman;Times;Serif" w:hAnsi="Times New Roman;Times;Serif"/>
          <w:b w:val="false"/>
          <w:i w:val="false"/>
          <w:caps w:val="false"/>
          <w:smallCaps w:val="false"/>
          <w:sz w:val="20"/>
        </w:rPr>
        <w:t xml:space="preserve">” shall have the meaning assigned to it in the Base Indenture;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for the avoidance of doubt, each of the 2032 Notes and the 2035 Notes is a separate Series of Notes under, and for all purposes of, the Base Indenture and this Supplemental Indenture (including with respect to payments of principal and interest, redemptions, offers to purchase, consenting to certain amendments to the Indenture and the Notes and waiving or rescinding Events of Default).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Subsidiary</w:t>
      </w:r>
      <w:r>
        <w:rPr>
          <w:rFonts w:ascii="Times New Roman;Times;Serif" w:hAnsi="Times New Roman;Times;Serif"/>
          <w:b w:val="false"/>
          <w:i w:val="false"/>
          <w:caps w:val="false"/>
          <w:smallCaps w:val="false"/>
          <w:sz w:val="20"/>
        </w:rPr>
        <w:t>” of a person means a corporation, partnership, limited liability company or other similar entity a majority of whose Voting Stock is owned by such person or one or more Subsidiaries of such person or any combination thereof. Unless otherwise indicated, the term “Subsidiary” refers to a Subsidiary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Supplemental Indenture</w:t>
      </w:r>
      <w:r>
        <w:rPr>
          <w:rFonts w:ascii="Times New Roman;Times;Serif" w:hAnsi="Times New Roman;Times;Serif"/>
          <w:b w:val="false"/>
          <w:i w:val="false"/>
          <w:caps w:val="false"/>
          <w:smallCaps w:val="false"/>
          <w:sz w:val="20"/>
        </w:rPr>
        <w:t>” means this Tenth Supplemental Indenture, dated as of the date hereof, by and between the Company and the Trustee, governing the Notes, as it may be amended, supplemented or otherwise modified from time to time in accordance with the Base Indenture and the terms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Treasury Rate</w:t>
      </w:r>
      <w:r>
        <w:rPr>
          <w:rFonts w:ascii="Times New Roman;Times;Serif" w:hAnsi="Times New Roman;Times;Serif"/>
          <w:b w:val="false"/>
          <w:i w:val="false"/>
          <w:caps w:val="false"/>
          <w:smallCaps w:val="false"/>
          <w:sz w:val="20"/>
        </w:rPr>
        <w:t>” means, with respect to any redemption date, the yield determined by the Company in the following manner: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Treasury Rate shall be determined by the Company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 – H.15” (or any successor designation or publication) (“</w:t>
      </w:r>
      <w:r>
        <w:rPr>
          <w:rFonts w:ascii="Times New Roman;Times;Serif" w:hAnsi="Times New Roman;Times;Serif"/>
          <w:b/>
          <w:i/>
          <w:caps w:val="false"/>
          <w:smallCaps w:val="false"/>
          <w:sz w:val="20"/>
        </w:rPr>
        <w:t>H.15</w:t>
      </w:r>
      <w:r>
        <w:rPr>
          <w:rFonts w:ascii="Times New Roman;Times;Serif" w:hAnsi="Times New Roman;Times;Serif"/>
          <w:b w:val="false"/>
          <w:i w:val="false"/>
          <w:caps w:val="false"/>
          <w:smallCaps w:val="false"/>
          <w:sz w:val="20"/>
        </w:rPr>
        <w:t>”) under the caption “U.S. government securities – Treasury constant maturities – Nominal” (or any successor caption or heading) (“</w:t>
      </w:r>
      <w:r>
        <w:rPr>
          <w:rFonts w:ascii="Times New Roman;Times;Serif" w:hAnsi="Times New Roman;Times;Serif"/>
          <w:b/>
          <w:i/>
          <w:caps w:val="false"/>
          <w:smallCaps w:val="false"/>
          <w:sz w:val="20"/>
        </w:rPr>
        <w:t>H.15 TCM</w:t>
      </w:r>
      <w:r>
        <w:rPr>
          <w:rFonts w:ascii="Times New Roman;Times;Serif" w:hAnsi="Times New Roman;Times;Serif"/>
          <w:b w:val="false"/>
          <w:i w:val="false"/>
          <w:caps w:val="false"/>
          <w:smallCaps w:val="false"/>
          <w:sz w:val="20"/>
        </w:rPr>
        <w:t>”). In determining the Treasury Rate, the Company shall select, as applicable: (1) the yield for the Treasury constant maturity on H.15 exactly equal to the period from the redemption date to the applicable Par Call Date (the “</w:t>
      </w:r>
      <w:r>
        <w:rPr>
          <w:rFonts w:ascii="Times New Roman;Times;Serif" w:hAnsi="Times New Roman;Times;Serif"/>
          <w:b/>
          <w:i/>
          <w:caps w:val="false"/>
          <w:smallCaps w:val="false"/>
          <w:sz w:val="20"/>
        </w:rPr>
        <w:t>Remaining Life</w:t>
      </w:r>
      <w:r>
        <w:rPr>
          <w:rFonts w:ascii="Times New Roman;Times;Serif" w:hAnsi="Times New Roman;Times;Serif"/>
          <w:b w:val="false"/>
          <w:i w:val="false"/>
          <w:caps w:val="false"/>
          <w:smallCaps w:val="false"/>
          <w:sz w:val="20"/>
        </w:rPr>
        <w:t>”); or (2) if there is no such Treasury constant maturity on H.15 exactly equal to the Remaining Life, the two yields — one yield corresponding to the Treasury constant maturity on H.15 immediately shorter than and one yield corresponding to the Treasury constant maturity on H.15 immediately longer than the Remaining Life — and shall interpolate to the applicable Par Call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the redemption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on the third Business Day preceding the redemption date H.15 TCM is no longer published, the Company shall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the applicable Par Call Date, as applicable. If there is no United States Treasury security maturing on the applicable Par Call Date but there are two or more United States Treasury securities with a maturity date equally distant from the applicable Par Call Date, one with a maturity date preceding the applicable Par Call Date and one with a maturity date following the applicable Par Call Date, the Company shall select the United States Treasury security with a maturity date preceding the applicable Par Call Date. If there are two or more United States Treasury securities maturing on the applicable Par Call Date or two or more United States Treasury securities meeting the criteria of the preceding sentence, the Company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Voting Stock</w:t>
      </w:r>
      <w:r>
        <w:rPr>
          <w:rFonts w:ascii="Times New Roman;Times;Serif" w:hAnsi="Times New Roman;Times;Serif"/>
          <w:b w:val="false"/>
          <w:i w:val="false"/>
          <w:caps w:val="false"/>
          <w:smallCaps w:val="false"/>
          <w:sz w:val="20"/>
        </w:rPr>
        <w:t>” of a person means all classes of capital stock or other interests (including partnership interests) of such person then outstanding and normally entitled (without regard to the occurrence of any contingency) to vote in the election of directors, managers or trustees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Other Definitions</w:t>
      </w:r>
    </w:p>
    <w:p>
      <w:pPr>
        <w:pStyle w:val="TextBody"/>
        <w:bidi w:val="0"/>
        <w:spacing w:before="0" w:after="0"/>
        <w:ind w:left="0" w:right="0" w:hanging="0"/>
        <w:jc w:val="left"/>
        <w:rPr>
          <w:caps w:val="false"/>
          <w:smallCaps w:val="false"/>
        </w:rPr>
      </w:pPr>
      <w:r>
        <w:rPr>
          <w:caps w:val="false"/>
          <w:smallCaps w:val="false"/>
        </w:rPr>
        <w:t> </w:t>
      </w:r>
    </w:p>
    <w:tbl>
      <w:tblPr>
        <w:tblW w:w="4825" w:type="dxa"/>
        <w:jc w:val="left"/>
        <w:tblInd w:w="0" w:type="dxa"/>
        <w:tblLayout w:type="fixed"/>
        <w:tblCellMar>
          <w:top w:w="0" w:type="dxa"/>
          <w:left w:w="0" w:type="dxa"/>
          <w:bottom w:w="28" w:type="dxa"/>
          <w:right w:w="0" w:type="dxa"/>
        </w:tblCellMar>
      </w:tblPr>
      <w:tblGrid>
        <w:gridCol w:w="3680"/>
        <w:gridCol w:w="60"/>
        <w:gridCol w:w="1085"/>
      </w:tblGrid>
      <w:tr>
        <w:trPr/>
        <w:tc>
          <w:tcPr>
            <w:tcW w:w="3680" w:type="dxa"/>
            <w:tcBorders>
              <w:bottom w:val="single" w:sz="8" w:space="0" w:color="000000"/>
            </w:tcBorders>
            <w:vAlign w:val="center"/>
          </w:tcPr>
          <w:p>
            <w:pPr>
              <w:pStyle w:val="TableContents"/>
              <w:bidi w:val="0"/>
              <w:spacing w:before="0" w:after="283"/>
              <w:jc w:val="center"/>
              <w:rPr>
                <w:b/>
                <w:sz w:val="20"/>
              </w:rPr>
            </w:pPr>
            <w:r>
              <w:rPr>
                <w:b/>
                <w:sz w:val="20"/>
              </w:rPr>
              <w:t>Term</w:t>
            </w:r>
          </w:p>
        </w:tc>
        <w:tc>
          <w:tcPr>
            <w:tcW w:w="60" w:type="dxa"/>
            <w:tcBorders/>
            <w:tcMar>
              <w:bottom w:w="0" w:type="dxa"/>
            </w:tcMar>
            <w:vAlign w:val="center"/>
          </w:tcPr>
          <w:p>
            <w:pPr>
              <w:pStyle w:val="TableContents"/>
              <w:bidi w:val="0"/>
              <w:spacing w:before="0" w:after="283"/>
              <w:jc w:val="left"/>
              <w:rPr/>
            </w:pPr>
            <w:r>
              <w:rPr/>
              <w:t> </w:t>
            </w:r>
          </w:p>
        </w:tc>
        <w:tc>
          <w:tcPr>
            <w:tcW w:w="1085" w:type="dxa"/>
            <w:tcBorders>
              <w:bottom w:val="single" w:sz="8" w:space="0" w:color="000000"/>
            </w:tcBorders>
            <w:vAlign w:val="center"/>
          </w:tcPr>
          <w:p>
            <w:pPr>
              <w:pStyle w:val="TableContents"/>
              <w:bidi w:val="0"/>
              <w:spacing w:before="0" w:after="283"/>
              <w:jc w:val="center"/>
              <w:rPr>
                <w:b/>
                <w:sz w:val="20"/>
              </w:rPr>
            </w:pPr>
            <w:r>
              <w:rPr>
                <w:b/>
                <w:sz w:val="20"/>
              </w:rPr>
              <w:t>Defined in</w:t>
              <w:br/>
              <w:t>Section</w:t>
            </w:r>
          </w:p>
        </w:tc>
      </w:tr>
      <w:tr>
        <w:trPr/>
        <w:tc>
          <w:tcPr>
            <w:tcW w:w="3680" w:type="dxa"/>
            <w:tcBorders/>
            <w:tcMar>
              <w:bottom w:w="0" w:type="dxa"/>
            </w:tcMar>
            <w:vAlign w:val="center"/>
          </w:tcPr>
          <w:p>
            <w:pPr>
              <w:pStyle w:val="TableContents"/>
              <w:bidi w:val="0"/>
              <w:spacing w:before="0" w:after="283"/>
              <w:jc w:val="left"/>
              <w:rPr/>
            </w:pPr>
            <w:r>
              <w:rPr/>
              <w:t>“</w:t>
            </w:r>
            <w:r>
              <w:rPr>
                <w:rFonts w:ascii="Times New Roman;Times;Serif" w:hAnsi="Times New Roman;Times;Serif"/>
                <w:i/>
                <w:sz w:val="20"/>
              </w:rPr>
              <w:t>Change of Control Purchase Date”</w:t>
            </w:r>
          </w:p>
        </w:tc>
        <w:tc>
          <w:tcPr>
            <w:tcW w:w="60" w:type="dxa"/>
            <w:tcBorders/>
            <w:tcMar>
              <w:bottom w:w="0" w:type="dxa"/>
            </w:tcMar>
            <w:vAlign w:val="center"/>
          </w:tcPr>
          <w:p>
            <w:pPr>
              <w:pStyle w:val="TableContents"/>
              <w:bidi w:val="0"/>
              <w:spacing w:before="0" w:after="283"/>
              <w:jc w:val="left"/>
              <w:rPr/>
            </w:pPr>
            <w:r>
              <w:rPr/>
              <w:t> </w:t>
            </w:r>
          </w:p>
        </w:tc>
        <w:tc>
          <w:tcPr>
            <w:tcW w:w="108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4.1</w:t>
            </w:r>
          </w:p>
        </w:tc>
      </w:tr>
      <w:tr>
        <w:trPr/>
        <w:tc>
          <w:tcPr>
            <w:tcW w:w="3680" w:type="dxa"/>
            <w:tcBorders/>
            <w:tcMar>
              <w:bottom w:w="0" w:type="dxa"/>
            </w:tcMar>
            <w:vAlign w:val="center"/>
          </w:tcPr>
          <w:p>
            <w:pPr>
              <w:pStyle w:val="TableContents"/>
              <w:bidi w:val="0"/>
              <w:spacing w:before="0" w:after="283"/>
              <w:jc w:val="left"/>
              <w:rPr/>
            </w:pPr>
            <w:r>
              <w:rPr/>
              <w:t>“</w:t>
            </w:r>
            <w:r>
              <w:rPr>
                <w:rFonts w:ascii="Times New Roman;Times;Serif" w:hAnsi="Times New Roman;Times;Serif"/>
                <w:i/>
                <w:sz w:val="20"/>
              </w:rPr>
              <w:t>Change of Control Purchase Price”</w:t>
            </w:r>
          </w:p>
        </w:tc>
        <w:tc>
          <w:tcPr>
            <w:tcW w:w="60" w:type="dxa"/>
            <w:tcBorders/>
            <w:tcMar>
              <w:bottom w:w="0" w:type="dxa"/>
            </w:tcMar>
            <w:vAlign w:val="center"/>
          </w:tcPr>
          <w:p>
            <w:pPr>
              <w:pStyle w:val="TableContents"/>
              <w:bidi w:val="0"/>
              <w:spacing w:before="0" w:after="283"/>
              <w:jc w:val="left"/>
              <w:rPr/>
            </w:pPr>
            <w:r>
              <w:rPr/>
              <w:t> </w:t>
            </w:r>
          </w:p>
        </w:tc>
        <w:tc>
          <w:tcPr>
            <w:tcW w:w="108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4.1</w:t>
            </w:r>
          </w:p>
        </w:tc>
      </w:tr>
      <w:tr>
        <w:trPr/>
        <w:tc>
          <w:tcPr>
            <w:tcW w:w="3680" w:type="dxa"/>
            <w:tcBorders/>
            <w:tcMar>
              <w:bottom w:w="0" w:type="dxa"/>
            </w:tcMar>
            <w:vAlign w:val="center"/>
          </w:tcPr>
          <w:p>
            <w:pPr>
              <w:pStyle w:val="TableContents"/>
              <w:bidi w:val="0"/>
              <w:spacing w:before="0" w:after="283"/>
              <w:jc w:val="left"/>
              <w:rPr/>
            </w:pPr>
            <w:r>
              <w:rPr/>
              <w:t>“</w:t>
            </w:r>
            <w:r>
              <w:rPr>
                <w:rFonts w:ascii="Times New Roman;Times;Serif" w:hAnsi="Times New Roman;Times;Serif"/>
                <w:i/>
                <w:sz w:val="20"/>
              </w:rPr>
              <w:t>DTC”</w:t>
            </w:r>
          </w:p>
        </w:tc>
        <w:tc>
          <w:tcPr>
            <w:tcW w:w="60" w:type="dxa"/>
            <w:tcBorders/>
            <w:tcMar>
              <w:bottom w:w="0" w:type="dxa"/>
            </w:tcMar>
            <w:vAlign w:val="center"/>
          </w:tcPr>
          <w:p>
            <w:pPr>
              <w:pStyle w:val="TableContents"/>
              <w:bidi w:val="0"/>
              <w:spacing w:before="0" w:after="283"/>
              <w:jc w:val="left"/>
              <w:rPr/>
            </w:pPr>
            <w:r>
              <w:rPr/>
              <w:t> </w:t>
            </w:r>
          </w:p>
        </w:tc>
        <w:tc>
          <w:tcPr>
            <w:tcW w:w="108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2.1</w:t>
            </w:r>
          </w:p>
        </w:tc>
      </w:tr>
      <w:tr>
        <w:trPr/>
        <w:tc>
          <w:tcPr>
            <w:tcW w:w="3680" w:type="dxa"/>
            <w:tcBorders/>
            <w:tcMar>
              <w:bottom w:w="0" w:type="dxa"/>
            </w:tcMar>
            <w:vAlign w:val="center"/>
          </w:tcPr>
          <w:p>
            <w:pPr>
              <w:pStyle w:val="TableContents"/>
              <w:bidi w:val="0"/>
              <w:spacing w:before="0" w:after="283"/>
              <w:jc w:val="left"/>
              <w:rPr/>
            </w:pPr>
            <w:r>
              <w:rPr/>
              <w:t>“</w:t>
            </w:r>
            <w:r>
              <w:rPr>
                <w:rFonts w:ascii="Times New Roman;Times;Serif" w:hAnsi="Times New Roman;Times;Serif"/>
                <w:i/>
                <w:sz w:val="20"/>
              </w:rPr>
              <w:t>Expiration Date”</w:t>
            </w:r>
          </w:p>
        </w:tc>
        <w:tc>
          <w:tcPr>
            <w:tcW w:w="60" w:type="dxa"/>
            <w:tcBorders/>
            <w:tcMar>
              <w:bottom w:w="0" w:type="dxa"/>
            </w:tcMar>
            <w:vAlign w:val="center"/>
          </w:tcPr>
          <w:p>
            <w:pPr>
              <w:pStyle w:val="TableContents"/>
              <w:bidi w:val="0"/>
              <w:spacing w:before="0" w:after="283"/>
              <w:jc w:val="left"/>
              <w:rPr/>
            </w:pPr>
            <w:r>
              <w:rPr/>
              <w:t> </w:t>
            </w:r>
          </w:p>
        </w:tc>
        <w:tc>
          <w:tcPr>
            <w:tcW w:w="108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4.1</w:t>
            </w:r>
          </w:p>
        </w:tc>
      </w:tr>
      <w:tr>
        <w:trPr/>
        <w:tc>
          <w:tcPr>
            <w:tcW w:w="3680" w:type="dxa"/>
            <w:tcBorders/>
            <w:tcMar>
              <w:bottom w:w="0" w:type="dxa"/>
            </w:tcMar>
            <w:vAlign w:val="center"/>
          </w:tcPr>
          <w:p>
            <w:pPr>
              <w:pStyle w:val="TableContents"/>
              <w:bidi w:val="0"/>
              <w:spacing w:before="0" w:after="283"/>
              <w:jc w:val="left"/>
              <w:rPr/>
            </w:pPr>
            <w:r>
              <w:rPr/>
              <w:t>“</w:t>
            </w:r>
            <w:r>
              <w:rPr>
                <w:rFonts w:ascii="Times New Roman;Times;Serif" w:hAnsi="Times New Roman;Times;Serif"/>
                <w:i/>
                <w:sz w:val="20"/>
              </w:rPr>
              <w:t>Interest Payment Date”</w:t>
            </w:r>
          </w:p>
        </w:tc>
        <w:tc>
          <w:tcPr>
            <w:tcW w:w="60" w:type="dxa"/>
            <w:tcBorders/>
            <w:tcMar>
              <w:bottom w:w="0" w:type="dxa"/>
            </w:tcMar>
            <w:vAlign w:val="center"/>
          </w:tcPr>
          <w:p>
            <w:pPr>
              <w:pStyle w:val="TableContents"/>
              <w:bidi w:val="0"/>
              <w:spacing w:before="0" w:after="283"/>
              <w:jc w:val="left"/>
              <w:rPr/>
            </w:pPr>
            <w:r>
              <w:rPr/>
              <w:t> </w:t>
            </w:r>
          </w:p>
        </w:tc>
        <w:tc>
          <w:tcPr>
            <w:tcW w:w="108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Paragraph 1</w:t>
              <w:br/>
              <w:t xml:space="preserve">of Exhibit A </w:t>
            </w:r>
          </w:p>
        </w:tc>
      </w:tr>
      <w:tr>
        <w:trPr/>
        <w:tc>
          <w:tcPr>
            <w:tcW w:w="3680" w:type="dxa"/>
            <w:tcBorders/>
            <w:tcMar>
              <w:bottom w:w="0" w:type="dxa"/>
            </w:tcMar>
            <w:vAlign w:val="center"/>
          </w:tcPr>
          <w:p>
            <w:pPr>
              <w:pStyle w:val="TableContents"/>
              <w:bidi w:val="0"/>
              <w:spacing w:before="0" w:after="283"/>
              <w:jc w:val="left"/>
              <w:rPr/>
            </w:pPr>
            <w:r>
              <w:rPr/>
              <w:t>“</w:t>
            </w:r>
            <w:r>
              <w:rPr>
                <w:rFonts w:ascii="Times New Roman;Times;Serif" w:hAnsi="Times New Roman;Times;Serif"/>
                <w:i/>
                <w:sz w:val="20"/>
              </w:rPr>
              <w:t>Offer to Purchase”</w:t>
            </w:r>
          </w:p>
        </w:tc>
        <w:tc>
          <w:tcPr>
            <w:tcW w:w="60" w:type="dxa"/>
            <w:tcBorders/>
            <w:tcMar>
              <w:bottom w:w="0" w:type="dxa"/>
            </w:tcMar>
            <w:vAlign w:val="center"/>
          </w:tcPr>
          <w:p>
            <w:pPr>
              <w:pStyle w:val="TableContents"/>
              <w:bidi w:val="0"/>
              <w:spacing w:before="0" w:after="283"/>
              <w:jc w:val="left"/>
              <w:rPr/>
            </w:pPr>
            <w:r>
              <w:rPr/>
              <w:t> </w:t>
            </w:r>
          </w:p>
        </w:tc>
        <w:tc>
          <w:tcPr>
            <w:tcW w:w="108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4.1</w:t>
            </w:r>
          </w:p>
        </w:tc>
      </w:tr>
      <w:tr>
        <w:trPr/>
        <w:tc>
          <w:tcPr>
            <w:tcW w:w="3680" w:type="dxa"/>
            <w:tcBorders/>
            <w:tcMar>
              <w:bottom w:w="0" w:type="dxa"/>
            </w:tcMar>
            <w:vAlign w:val="center"/>
          </w:tcPr>
          <w:p>
            <w:pPr>
              <w:pStyle w:val="TableContents"/>
              <w:bidi w:val="0"/>
              <w:spacing w:before="0" w:after="283"/>
              <w:jc w:val="left"/>
              <w:rPr/>
            </w:pPr>
            <w:r>
              <w:rPr/>
              <w:t>“</w:t>
            </w:r>
            <w:r>
              <w:rPr>
                <w:rFonts w:ascii="Times New Roman;Times;Serif" w:hAnsi="Times New Roman;Times;Serif"/>
                <w:i/>
                <w:sz w:val="20"/>
              </w:rPr>
              <w:t>Second Change of Control Purchase Date”</w:t>
            </w:r>
          </w:p>
        </w:tc>
        <w:tc>
          <w:tcPr>
            <w:tcW w:w="60" w:type="dxa"/>
            <w:tcBorders/>
            <w:tcMar>
              <w:bottom w:w="0" w:type="dxa"/>
            </w:tcMar>
            <w:vAlign w:val="center"/>
          </w:tcPr>
          <w:p>
            <w:pPr>
              <w:pStyle w:val="TableContents"/>
              <w:bidi w:val="0"/>
              <w:spacing w:before="0" w:after="283"/>
              <w:jc w:val="left"/>
              <w:rPr/>
            </w:pPr>
            <w:r>
              <w:rPr/>
              <w:t> </w:t>
            </w:r>
          </w:p>
        </w:tc>
        <w:tc>
          <w:tcPr>
            <w:tcW w:w="108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2.</w:t>
        <w:br/>
        <w:t>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      </w:t>
      </w:r>
      <w:r>
        <w:rPr>
          <w:rFonts w:ascii="Times New Roman;Times;Serif" w:hAnsi="Times New Roman;Times;Serif"/>
          <w:b w:val="false"/>
          <w:i/>
          <w:caps w:val="false"/>
          <w:smallCaps w:val="false"/>
          <w:sz w:val="20"/>
        </w:rPr>
        <w:t>Form and Dating</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caps w:val="false"/>
          <w:smallCaps w:val="false"/>
          <w:sz w:val="20"/>
        </w:rPr>
        <w:t xml:space="preserve">General. </w:t>
      </w:r>
      <w:r>
        <w:rPr>
          <w:rFonts w:ascii="Times New Roman;Times;Serif" w:hAnsi="Times New Roman;Times;Serif"/>
          <w:b w:val="false"/>
          <w:i w:val="false"/>
          <w:caps w:val="false"/>
          <w:smallCaps w:val="false"/>
          <w:sz w:val="20"/>
        </w:rPr>
        <w:t xml:space="preserve">The 2032 Notes and the Trustee’s certificate of authentication with respect thereto will be substantially in the form of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hereto. The 2035 Notes and the Trustee’s certificate of authentication with respect thereto will be substantially in the form of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 xml:space="preserve"> hereto. The Notes may have notations, legends or endorsements required by law, stock exchange rule or usage. Each Note will be dated the date of its authentication. The Notes will be in minimum denominations of $2,000 with integral multiples of $1,000 in excess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and provisions contained in the Notes will constitute, and are hereby expressly made, a part of this Supplemental Indenture for the applicable Series of Notes and the Company and the Trustee, by their execution and delivery of this Supplemental Indenture, expressly agree to such terms and provisions and to be bound thereby. However, to the extent any provision of any Note conflicts with the express provisions of the Indenture, the provisions of the Indenture will govern and be controlling.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caps w:val="false"/>
          <w:smallCaps w:val="false"/>
          <w:sz w:val="20"/>
        </w:rPr>
        <w:t>Global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 xml:space="preserve">(1)       2032 Notes issued in global form will be substantially in the form of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attached hereto (including the Global Note Legend thereon). 2032 Notes issued in definitive form will be substantially in the form of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attached hereto (but without the Global Note Legend thereon).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 xml:space="preserve">(2)       2035 Notes issued in global form will be substantially in the form of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 xml:space="preserve"> attached hereto (including the Global Note Legend thereon). 2035 Notes issued in definitive form will be substantially in the form of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 xml:space="preserve"> attached hereto (but without the Global Note Legend thereon).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(3)       Each Global Note will represent such of the outstanding Notes as will be specified therein and each will provide that it will represent the aggregate principal amount of outstanding Notes from time to time endorsed thereon and that the aggregate principal amount of outstanding Notes represented thereby may from time to time be reduced or increased, as appropriate, to reflect exchanges and redemptions. Any endorsement of a Global Note to reflect the amount of any increase or decrease in the aggregate principal amount of outstanding Notes represented thereby will be made by the Trustee or the Custodian, at the direction of the Trustee, in accordance with instructions given by the Holder thereof as required by Section 2.2 hereof. The Company initially appoints The Depository Trust Company (“</w:t>
      </w:r>
      <w:r>
        <w:rPr>
          <w:rFonts w:ascii="Times New Roman;Times;Serif" w:hAnsi="Times New Roman;Times;Serif"/>
          <w:b/>
          <w:i/>
          <w:caps w:val="false"/>
          <w:smallCaps w:val="false"/>
          <w:sz w:val="20"/>
        </w:rPr>
        <w:t>DTC</w:t>
      </w:r>
      <w:r>
        <w:rPr>
          <w:rFonts w:ascii="Times New Roman;Times;Serif" w:hAnsi="Times New Roman;Times;Serif"/>
          <w:b w:val="false"/>
          <w:i w:val="false"/>
          <w:caps w:val="false"/>
          <w:smallCaps w:val="false"/>
          <w:sz w:val="20"/>
        </w:rPr>
        <w:t>”) to act as Depositary with respect to the Global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2.2.      </w:t>
      </w:r>
      <w:r>
        <w:rPr>
          <w:rFonts w:ascii="Times New Roman;Times;Serif" w:hAnsi="Times New Roman;Times;Serif"/>
          <w:b w:val="false"/>
          <w:i/>
          <w:caps w:val="false"/>
          <w:smallCaps w:val="false"/>
          <w:sz w:val="20"/>
        </w:rPr>
        <w:t>Transfer and Exchange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caps w:val="false"/>
          <w:smallCaps w:val="false"/>
          <w:sz w:val="20"/>
        </w:rPr>
        <w:t>Transfer and Exchange of Global Notes</w:t>
      </w:r>
      <w:r>
        <w:rPr>
          <w:rFonts w:ascii="Times New Roman;Times;Serif" w:hAnsi="Times New Roman;Times;Serif"/>
          <w:b w:val="false"/>
          <w:i w:val="false"/>
          <w:caps w:val="false"/>
          <w:smallCaps w:val="false"/>
          <w:sz w:val="20"/>
        </w:rPr>
        <w:t>. A Global Note may not be transferred as a whole except by the Depositary to a nominee of the Depositary, by a nominee of the Depositary to the Depositary or to another nominee of the Depositary, or by the Depositary or any such nominee to a successor Depositary or a nominee of such successor Depositary. All Global Notes of a Series hereunder will be exchanged by the Company for Definitive Notes of the same Series if, with respect to such Series of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Company delivers to the Trustee notice from the Depositary that it is unwilling or unable to continue to act as Depositary or that it is no longer a clearing agency registered under the Exchange Act and, in either case, a successor Depositary is not appointed by the Company within 90 days after the date of such notice from the Depositary;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an Event of Default has occurred and the Trustee has received a written request from DTC that the Global Notes of such Series (in whole but not in part) should be exchanged for Definitive Notes;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the Company in its sole discretion and subject to the procedures of the Depositary determines that the Global Notes of such Series (in whole but not in part) should be exchanged for Definitive Notes and delivers a written notice to such effect to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occurrence of either of the preceding events in (1), (2) or (3) above with respect to a Series of Notes hereunder, Definitive Notes will be issued for such Series in such names and in any approved denominations as the Depositary will instruct the Trustee. Global Notes also may be exchanged or replaced, in whole or in part, as provided in Sections 2.8 and 2.11 of the Base Indenture. Every Note authenticated and delivered in exchange for, or in lieu of, a Global Note or any portion thereof, pursuant to this Section 2.2 (subject to any contrary provision in this Section 2.2(a)) or Sections 2.8 or 2.11 of the Base Indenture, will be authenticated and delivered in the form of, and will be, a Global Note. A Global Note may not be exchanged for another Note other than as provided in this Section 2.2(a); however, beneficial interests in a Global Note may be transferred and exchanged as provided in Sections 2.2(b) or (f)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caps w:val="false"/>
          <w:smallCaps w:val="false"/>
          <w:sz w:val="20"/>
        </w:rPr>
        <w:t>Transfer and Exchange of Beneficial Interests in the Global Notes</w:t>
      </w:r>
      <w:r>
        <w:rPr>
          <w:rFonts w:ascii="Times New Roman;Times;Serif" w:hAnsi="Times New Roman;Times;Serif"/>
          <w:b w:val="false"/>
          <w:i w:val="false"/>
          <w:caps w:val="false"/>
          <w:smallCaps w:val="false"/>
          <w:sz w:val="20"/>
        </w:rPr>
        <w:t>. The transfer and exchange of beneficial interests in the Global Notes will be effected through the Depositary, in accordance with the provisions of this Supplemental Indenture and the Applicable Procedures. Transfers of beneficial interests in the Global Notes also will require compliance with either subparagraph (1) or (2) below, as applicable, as well as one or more of the other following subparagraphs,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(1)       </w:t>
      </w:r>
      <w:r>
        <w:rPr>
          <w:rFonts w:ascii="Times New Roman;Times;Serif" w:hAnsi="Times New Roman;Times;Serif"/>
          <w:b w:val="false"/>
          <w:i/>
          <w:caps w:val="false"/>
          <w:smallCaps w:val="false"/>
          <w:sz w:val="20"/>
        </w:rPr>
        <w:t>Transfer of Beneficial Interests in the Same Global Note</w:t>
      </w:r>
      <w:r>
        <w:rPr>
          <w:rFonts w:ascii="Times New Roman;Times;Serif" w:hAnsi="Times New Roman;Times;Serif"/>
          <w:b w:val="false"/>
          <w:i w:val="false"/>
          <w:caps w:val="false"/>
          <w:smallCaps w:val="false"/>
          <w:sz w:val="20"/>
        </w:rPr>
        <w:t>. Beneficial interests in any Global Note may be transferred to persons who take delivery thereof in the form of a beneficial interest in a Global Note. No written orders or instructions will be required to be delivered to the Registrar to effect the transfers described in this Section 2.2(b)(1).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(2)       </w:t>
      </w:r>
      <w:r>
        <w:rPr>
          <w:rFonts w:ascii="Times New Roman;Times;Serif" w:hAnsi="Times New Roman;Times;Serif"/>
          <w:b w:val="false"/>
          <w:i/>
          <w:caps w:val="false"/>
          <w:smallCaps w:val="false"/>
          <w:sz w:val="20"/>
        </w:rPr>
        <w:t>All Other Transfers and Exchanges of Beneficial Interests in Global Notes</w:t>
      </w:r>
      <w:r>
        <w:rPr>
          <w:rFonts w:ascii="Times New Roman;Times;Serif" w:hAnsi="Times New Roman;Times;Serif"/>
          <w:b w:val="false"/>
          <w:i w:val="false"/>
          <w:caps w:val="false"/>
          <w:smallCaps w:val="false"/>
          <w:sz w:val="20"/>
        </w:rPr>
        <w:t>. In connection with all transfers and exchanges of beneficial interests with respect to a Series of Notes that are not subject to Section 2.2(b)(1) above, the transferor of such beneficial interest must deliver to the Registrar: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(i)       a written order from a Participant or an Indirect Participant given to the Depositary in accordance with the Applicable Procedures directing the Depositary to credit or cause to be credited a beneficial interest in another Global Note in an amount equal to the beneficial interest to be transferred or exchanged;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instructions given in accordance with the Applicable Procedures containing information regarding the Participant account to be credited with such increase.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a Series of Notes hereunder, upon satisfaction of all of the requirements for transfer or exchange of beneficial interests in Global Notes contained in this Supplemental Indenture and the Notes of such Series, as evidenced by an Officer’s Certificate delivered to the Trustee, the Trustee will adjust the principal amount of the relevant Global Note(s) pursuant to Section 2.2(f)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caps w:val="false"/>
          <w:smallCaps w:val="false"/>
          <w:sz w:val="20"/>
        </w:rPr>
        <w:t>Transfer and Exchange of Definitive Notes for Beneficial Interests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Holder of a Definitive Note may exchange such Note for a beneficial interest in a Global Note of the same Series or transfer such Definitive Notes to a person who takes delivery thereof in the form of a beneficial interest in a Global Note of the same Series at any time. Upon receipt of a request for such an exchange or transfer, the Trustee will cancel the applicable Definitive Note and increase, or cause to be increased, the aggregate principal amount of one of the applicable Global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with respect to a Series of Notes, any such exchange or transfer from a Definitive Note to a beneficial interest is effected pursuant to the previous paragraph at a time when a Global Note of the same Series has not yet been issued, the Company will issue and, upon receipt of a Company Order, the Trustee will authenticate one or more Global Notes of such Series in an aggregate principal amount equal to the principal amount of Definitive Notes so transferred.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caps w:val="false"/>
          <w:smallCaps w:val="false"/>
          <w:sz w:val="20"/>
        </w:rPr>
        <w:t>Transfer and Exchange of Definitive Notes for Definitive Notes</w:t>
      </w:r>
      <w:r>
        <w:rPr>
          <w:rFonts w:ascii="Times New Roman;Times;Serif" w:hAnsi="Times New Roman;Times;Serif"/>
          <w:b w:val="false"/>
          <w:i w:val="false"/>
          <w:caps w:val="false"/>
          <w:smallCaps w:val="false"/>
          <w:sz w:val="20"/>
        </w:rPr>
        <w:t>. A Holder of Definitive Notes may transfer such Notes to a person who takes delivery thereof in the form of a Definitive Note of the same Series. Upon request by a Holder of Definitive Notes and such Holder’s compliance with the provisions of this Section 2.2(d), the Registrar will register the transfer or exchange of Definitive Notes. Prior to such registration of transfer or exchange, the requesting Holder will present or surrender to the Registrar the Definitive Notes duly endorsed or accompanied by a written instruction of transfer in form satisfactory to the Registrar duly executed by such Holder or by his attorney, duly authorized in writing. In addition, the requesting Holder will provide any additional required certifications, documents and information,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caps w:val="false"/>
          <w:smallCaps w:val="false"/>
          <w:sz w:val="20"/>
        </w:rPr>
        <w:t>Legends</w:t>
      </w:r>
      <w:r>
        <w:rPr>
          <w:rFonts w:ascii="Times New Roman;Times;Serif" w:hAnsi="Times New Roman;Times;Serif"/>
          <w:b w:val="false"/>
          <w:i w:val="false"/>
          <w:caps w:val="false"/>
          <w:smallCaps w:val="false"/>
          <w:sz w:val="20"/>
        </w:rPr>
        <w:t>. The following legends will appear on the face of all Global Notes issued under this Supplemental Indenture unless specifically stated otherwise in the applicable provisions of this Supplemental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THIS GLOBAL NOTE IS HELD BY THE DEPOSITARY (AS DEFINED IN THE SUPPLEMENTAL INDENTURE HEREINAFTER REFERRED TO) OR ITS NOMINEE IN CUSTODY FOR THE BENEFIT OF THE BENEFICIAL OWNERS HEREOF, AND IS NOT TRANSFERABLE TO ANY PERSON UNDER ANY CIRCUMSTANCES EXCEPT THAT (I) THE TRUSTEE MAY MAKE SUCH NOTATIONS HEREON AS MAY BE REQUIRED PURSUANT TO SECTION 2.2 OF THE SUPPLEMENTAL INDENTURE, (II) THIS GLOBAL NOTE MAY BE EXCHANGED IN WHOLE BUT NOT IN PART PURSUANT TO SECTION 2.2(a) OF THE SUPPLEMENTAL INDENTURE, (III) THIS GLOBAL NOTE MAY BE DELIVERED TO THE TRUSTEE FOR CANCELLATION PURSUANT TO SECTION 2.12 OF THE BASE INDENTURE HEREINAFTER REFERRED TO AND (IV) THIS GLOBAL NOTE MAY BE TRANSFERRED TO A SUCCESSOR DEPOSITARY WITH THE PRIOR WRITTEN CONSENT OF THE COMPANY HEREINAFTER REFERRED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GLOBAL NOTE IS A GLOBAL NOTE WITHIN THE MEANING OF THE SUPPLEMENTAL INDENTURE HEREINAFTER REFERRED TO AND IS REGISTERED IN THE NAME OF THE DEPOSITARY OR A NOMINEE OF THE DEPOSITARY. THIS GLOBAL NOTE IS EXCHANGEABLE FOR NOTES REGISTERED IN THE NAME OF A PERSON OTHER THAN THE DEPOSITARY OR ITS NOMINEE ONLY IN THE LIMITED CIRCUMSTANCES DESCRIBED IN THE INDENTURE, AND MAY NOT BE TRANSFERRED EXCEPT AS A WHOLE BY THE DEPOSITARY TO A NOMINEE OF THE DEPOSITARY, BY A NOMINEE OF THE DEPOSITARY TO THE DEPOSITARY OR ANOTHER NOMINEE OF THE DEPOSITARY OR BY THE DEPOSITARY OR ANY SUCH NOMINEE TO A SUCCESSOR DEPOSITARY OR A NOMINEE OF SUCH A SUCCESSOR DEPOSITARY. UNLESS THIS CERTIFICATE IS PRESENTED BY AN AUTHORIZED REPRESENTATIVE OF THE DEPOSITORY TRUST COMPANY (570 WASHINGTON BOULEVARD, JERSEY CITY, NEW JERSEY) (“</w:t>
      </w:r>
      <w:r>
        <w:rPr>
          <w:rFonts w:ascii="Times New Roman;Times;Serif" w:hAnsi="Times New Roman;Times;Serif"/>
          <w:b/>
          <w:i/>
          <w:caps w:val="false"/>
          <w:smallCaps w:val="false"/>
          <w:sz w:val="20"/>
        </w:rPr>
        <w:t>DTC</w:t>
      </w:r>
      <w:r>
        <w:rPr>
          <w:rFonts w:ascii="Times New Roman;Times;Serif" w:hAnsi="Times New Roman;Times;Serif"/>
          <w:b w:val="false"/>
          <w:i w:val="false"/>
          <w:caps w:val="false"/>
          <w:smallCaps w:val="false"/>
          <w:sz w:val="20"/>
        </w:rPr>
        <w:t>”) TO THE COMPANY OR ITS AGENT FOR REGISTRATION OF TRANSFER, EXCHANGE OR PAYMENT, AND ANY CERTIFICATE ISSUED IS REGISTERED IN THE NAME OF CEDE &amp; CO. OR SUCH OTHER NAME AS MAY BE REQUESTED BY AN AUTHORIZED REPRESENTATIVE OF DTC (AND ANY PAYMENT IS MADE TO CEDE &amp; CO. OR SUCH OTHER ENTITY AS MAY BE REQUESTED BY AN AUTHORIZED REPRESENTATIVE OF DTC), ANY TRANSFER, PLEDGE OR OTHER USE HEREOF FOR VALUE OR OTHERWISE BY OR TO ANY PERSON IS WRONGFUL INASMUCH AS THE REGISTERED OWNER HEREOF, CEDE &amp; CO., HAS AN INTEREST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caps w:val="false"/>
          <w:smallCaps w:val="false"/>
          <w:sz w:val="20"/>
        </w:rPr>
        <w:t>Cancellation and/or Adjustment of Global Notes</w:t>
      </w:r>
      <w:r>
        <w:rPr>
          <w:rFonts w:ascii="Times New Roman;Times;Serif" w:hAnsi="Times New Roman;Times;Serif"/>
          <w:b w:val="false"/>
          <w:i w:val="false"/>
          <w:caps w:val="false"/>
          <w:smallCaps w:val="false"/>
          <w:sz w:val="20"/>
        </w:rPr>
        <w:t>. At such time as all beneficial interests in a particular Global Note have been exchanged for Definitive Notes or a particular Global Note has been redeemed, repurchased or canceled in whole and not in part, each such Global Note will be returned to or retained and canceled by the Trustee in accordance with Section 2.12 of the Base Indenture. At any time prior to such cancellation, if any beneficial interest in a Global Note is exchanged for or transferred to a person who will take delivery thereof in the form of a beneficial interest in another Global Note of the same Series, the principal amount of Notes represented by such Global Note will be reduced accordingly and an endorsement will be made on such Global Note by the Trustee or by the Depositary at the direction of the Trustee to reflect such reduction; and if the beneficial interest is being exchanged for or transferred to a person who will take delivery thereof in the form of a beneficial interest in another Global Note, such other Global Note will be increased accordingly and an endorsement will be made on such Global Note by the Trustee or by the Depositary at the direction of the Trustee to reflect such increase.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caps w:val="false"/>
          <w:smallCaps w:val="false"/>
          <w:sz w:val="20"/>
        </w:rPr>
        <w:t>General Provisions Relating to Transfers and Exchanges.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(1)       To permit registrations of transfers and exchanges, the Company will execute and the Trustee will authenticate Global Notes and Definitive Notes upon the receipt of a Company Order.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(2)       No service charge will be made to a holder of a beneficial interest in a Global Note or to a Holder of a Definitive Note for any registration of transfer or exchange, but the Company may require payment of a sum sufficient to cover any transfer tax or similar governmental charge payable in connection therewith (other than any such transfer taxes or similar governmental charge payable upon exchange or transfer pursuant to Section 2.11, Section 3.6 and Section 9.6 of the Base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(3)       The Registrar will not be required to register the transfer of or exchange any Note selected for redemption in whole or in part, except the unredeemed portion of any Note being redeemed in part.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(4)       All Global Notes and Definitive Notes issued upon any registration of transfer or exchange of Global Notes or Definitive Notes will be the valid obligations of the Company, evidencing the same debt and entitled to the same benefits under this Supplemental Indenture, as the Global Notes or Definitive Notes surrendered upon such registration of transfer or exchange.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(5)       If the Company elects to redeem or make an Offer to Purchase with respect to a Series of Notes hereunder, neither the Company nor the Trustee will be required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(i)       issue, register the transfer of or exchange any Notes of such Series during a period beginning at the opening of business 15 days before the Company sends the notice of redemption under Section 3.3 of the Base Indenture or makes an Offer to Purchase and ending at the close of business on the day the notice is sent or the Offer to Purchase is made;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register the transfer of or to exchange any Note of such Series so selected for redemption or subject to purchase in such Offer to Purchase in whole or in part, except the unredeemed portion of any Note of such Series being redeemed or purchased in part;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in the case of a redemption or a purchase date pursuant to an Offer to Purchase occurring after a regular record date but on or before the corresponding Interest Payment Date, register the transfer of or exchange a Note of such Series on or after the regular record date and before the date of redemption or purchase.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(6)       Prior to due presentment for the registration of a transfer of any Note, the Trustee, any Agent and the Company may deem and treat the person in whose name any Note is registered as the absolute owner of such Note for the purpose of receiving payment of principal of and (subject to the record date provisions hereof) interest on such Notes and for all other purposes, and none of the Trustee, any Agent or the Company will be affected by notice to the contrary.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(7)       The Trustee will authenticate Global Notes and Definitive Notes in accordance with the provisions of Section 2.3 of the Base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(8)       [Reserved].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(9)       Any Officer’s Certificate or Opinion of Counsel required to be submitted to the Registrar pursuant to this Section 2.2 to effect a registration of transfer or exchange may be submitted by facsimile.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(10)       The Trustee shall have no obligation or duty to monitor, determine or inquire as to compliance with any restrictions on transfer imposed under this Supplemental Indenture or under applicable law with respect to any transfer of any interest in any Note other than to require delivery of such certificates and other documentation or evidence as are expressly required by, and to do so if and when expressly required by the terms of, this Supplemental Indenture, and to examine the same to determine substantial compliance as to form with the express requirements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(11)       Neither the Trustee nor any Agent shall have any responsibility for any actions taken or not taken by the Depositary.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2.3.      </w:t>
      </w:r>
      <w:r>
        <w:rPr>
          <w:rFonts w:ascii="Times New Roman;Times;Serif" w:hAnsi="Times New Roman;Times;Serif"/>
          <w:b w:val="false"/>
          <w:i/>
          <w:caps w:val="false"/>
          <w:smallCaps w:val="false"/>
          <w:sz w:val="20"/>
        </w:rPr>
        <w:t>Issuance of Additional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will be entitled, upon delivery of a Company Order, Officer’s Certificate and an Opinion of Counsel, to issue Additional 2032 Notes under this Supplemental Indenture which will have identical terms as the Initial 2032 Notes issued on the date hereof, other than with respect to the date of issuance and issue price and, if applicable, the first Interest Payment Date and the initial interest accrual date. The Initial 2032 Notes issued on the date hereof and any Additional 2032 Notes issued will be treated as a single Series for all purposes under this Supplemental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Company will be entitled, upon delivery of a Company Order, Officer’s Certificate and an Opinion of Counsel, to issue Additional 2035 Notes under this Supplemental Indenture which will have identical terms as the Initial 2035 Notes issued on the date hereof, other than with respect to the date of issuance and issue price and, if applicable, the first Interest Payment Date and the initial interest accrual date. The Initial 2035 Notes issued on the date hereof and any Additional 2035 Notes issued will be treated as a single Series for all purposes under this Supplemental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With respect to any Additional Notes, the Company will set forth in the Company Order, the following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5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aggregate principal amount of such Additional Notes to be authenticated and delivered pursuant to this Supplemental Indenture;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5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issue price, the issue date, the CUSIP number(s), the first Interest Payment Date and the initial interest accrual date of such Additional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For the avoidance of doubt, the issuance of Additional Notes pursuant to this Section 2.3 is subject to Section 2.3 of the Base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Any Additional Notes of a Series issued pursuant to this Section 2.3 shall only bear the same CUSIP number as any existing Notes of such Series if they would be fungible for United States tax purposes with such existing Notes of that Series.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2.4.      </w:t>
      </w:r>
      <w:r>
        <w:rPr>
          <w:rFonts w:ascii="Times New Roman;Times;Serif" w:hAnsi="Times New Roman;Times;Serif"/>
          <w:b w:val="false"/>
          <w:i/>
          <w:caps w:val="false"/>
          <w:smallCaps w:val="false"/>
          <w:sz w:val="20"/>
        </w:rPr>
        <w:t>Execution and Authentication.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least one Officer shall execute the Notes on behalf of the Company by manual, electronic or facsimile 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3.</w:t>
        <w:br/>
        <w:t>REDEMPTION AND PREPAYMENT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3.1.      </w:t>
      </w:r>
      <w:r>
        <w:rPr>
          <w:rFonts w:ascii="Times New Roman;Times;Serif" w:hAnsi="Times New Roman;Times;Serif"/>
          <w:b w:val="false"/>
          <w:i/>
          <w:caps w:val="false"/>
          <w:smallCaps w:val="false"/>
          <w:sz w:val="20"/>
        </w:rPr>
        <w:t>Optional Redemption.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caps w:val="false"/>
          <w:smallCaps w:val="false"/>
          <w:sz w:val="20"/>
        </w:rPr>
        <w:t>2032 Notes</w:t>
      </w:r>
      <w:r>
        <w:rPr>
          <w:rFonts w:ascii="Times New Roman;Times;Serif" w:hAnsi="Times New Roman;Times;Serif"/>
          <w:b w:val="false"/>
          <w:i w:val="false"/>
          <w:caps w:val="false"/>
          <w:smallCaps w:val="false"/>
          <w:sz w:val="20"/>
        </w:rPr>
        <w:t>. Prior to the applicable Par Call Date, the Company may redeem the 2032 Notes at its option, in whole or in part, at any time and from time to time, at a redemption price (expressed as a percentage of principal amount and rounded to three decimal places) equal to the greater 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5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Remaining Scheduled Payments of the 2032 Notes to be redeemed, less interest accrued to the date of redemption;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5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100% of the principal amount of such 2032 Notes to be redeemed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plus, in each case, accrued and unpaid interest, if any, on the amount being redeemed to, but excluding, the date of redemption.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or after the applicable Par Call Date, the Company may, at its option, redeem any 2032 Notes, in whole or in part, at any time and from time to time, at a redemption price equal to 100% of the principal amount of the 2032 Notes redeemed, plus accrued and unpaid interest thereon, if any, to, but excluding, the date of redemption.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connection with any redemption of the 2032 Notes, calculation of the redemption price therefor shall be made by the Company or on the Company’s behalf by such person as the Company shall designate;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such calculation shall not be a duty or obligation of the Trustee or any Agent. Notwithstanding Section 3.3 of the Base Indenture, the notice of any redemption of the 2032 Notes pursuant to that Section in respect of a redemption date occurring prior to the maturity date of the 2032 Notes need not set forth the redemption price but only the manner of calculation thereof. Notice of any redemption will be mailed or electronically delivered (or otherwise transmitted in accordance with the Depositary’s procedures) at least 10 calendar days but not more than 60 calendar days prior to the redemption date to each Holder of the 2032 Notes to be redeemed (with a copy to the Trustee). Any redemption or notice of redemption may, at the Company’s discretion, be subject to one or more conditions precedent.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 Company defaults in payment of the redemption price, on and after the redemption date, interest will cease to accrue on the 2032 Notes or portions thereof called for redemption.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the case of a partial redemption of the 2032 Notes, selection of the 2032 Notes for redemption will be made </w:t>
      </w:r>
      <w:r>
        <w:rPr>
          <w:rFonts w:ascii="Times New Roman;Times;Serif" w:hAnsi="Times New Roman;Times;Serif"/>
          <w:b w:val="false"/>
          <w:i/>
          <w:caps w:val="false"/>
          <w:smallCaps w:val="false"/>
          <w:sz w:val="20"/>
        </w:rPr>
        <w:t>pro rata</w:t>
      </w:r>
      <w:r>
        <w:rPr>
          <w:rFonts w:ascii="Times New Roman;Times;Serif" w:hAnsi="Times New Roman;Times;Serif"/>
          <w:b w:val="false"/>
          <w:i w:val="false"/>
          <w:caps w:val="false"/>
          <w:smallCaps w:val="false"/>
          <w:sz w:val="20"/>
        </w:rPr>
        <w:t>, by lot or by such other method as the Trustee deems fair and appropriate (provided that if the 2032 Notes are represented by one or more Global Notes, the 2032 Notes shall be selected for redemption by the Depositary in accordance with its standard procedures therefor) and may provide for the selection for redemption of a portion of the principal amount of the 2032 Notes equal to an authorized denomination.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2032 Notes of a principal amount of $2,000 or less will be redeemed in part. 2032 Notes in denominations larger than $2,000 may be redeemed in part but only in whole multiples of $1,000, unless all of the 2032 Notes held by a Holder are to be redeemed. If any 2032 Note is to be redeemed in part only, the notice of redemption that relates to such 2032 Note will state the portion of the principal amount of the 2032 Note to be redeemed. A new 2032 Note in a principal amount equal to the unredeemed portion of the 2032 Note will be issued in the name of the Holder of the 2032 Note upon surrender for cancellation of the original 2032 Note. For so long as the 2032 Notes are held by the Depositary, the redemption of the 2032 Notes shall be done in accordance with the policies and procedures of the Depositary.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caps w:val="false"/>
          <w:smallCaps w:val="false"/>
          <w:sz w:val="20"/>
        </w:rPr>
        <w:t>2035 Notes</w:t>
      </w:r>
      <w:r>
        <w:rPr>
          <w:rFonts w:ascii="Times New Roman;Times;Serif" w:hAnsi="Times New Roman;Times;Serif"/>
          <w:b w:val="false"/>
          <w:i w:val="false"/>
          <w:caps w:val="false"/>
          <w:smallCaps w:val="false"/>
          <w:sz w:val="20"/>
        </w:rPr>
        <w:t>. Prior to the applicable Par Call Date, the Company may redeem the 2035 Notes at its option, in whole or in part, at any time and from time to time, at a redemption price (expressed as a percentage of principal amount and rounded to three decimal places) equal to the greater 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5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Remaining Scheduled Payments of the 2035 Notes to be redeemed, less interest accrued to the date of redemption;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5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100% of the principal amount of such 2035 Notes to be redeemed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plus, in each case, accrued and unpaid interest, if any, on the amount being redeemed to, but excluding, the date of redemption.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or after the applicable Par Call Date, the Company may, at its option, redeem any 2035 Notes, in whole or in part, at any time and from time to time, at a redemption price equal to 100% of the principal amount of the 2035 Notes redeemed, plus accrued and unpaid interest thereon, if any, to, but excluding, the date of redemption.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connection with any redemption of the 2035 Notes, calculation of the redemption price therefor shall be made by the Company or on the Company’s behalf by such person as the Company shall designate;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such calculation shall not be a duty or obligation of the Trustee or any Agent. Notwithstanding Section 3.3 of the Base Indenture, the notice of any redemption of the 2035 Notes pursuant to that Section in respect of a redemption date occurring prior to the maturity date of the 2035 Notes need not set forth the redemption price but only the manner of calculation thereof. Notice of any redemption will be mailed or electronically delivered (or otherwise transmitted in accordance with the Depositary’s procedures) at least 10 calendar days but not more than 60 calendar days prior to the redemption date to each Holder of the 2035 Notes to be redeemed (with a copy to the Trustee). Any redemption or notice of redemption may, at the Company’s discretion, be subject to one or more conditions precedent.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 Company defaults in payment of the redemption price, on and after the redemption date, interest will cease to accrue on the 2035 Notes or portions thereof called for redemption.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the case of a partial redemption of the 2035 Notes, selection of the 2035 Notes for redemption will be made </w:t>
      </w:r>
      <w:r>
        <w:rPr>
          <w:rFonts w:ascii="Times New Roman;Times;Serif" w:hAnsi="Times New Roman;Times;Serif"/>
          <w:b w:val="false"/>
          <w:i/>
          <w:caps w:val="false"/>
          <w:smallCaps w:val="false"/>
          <w:sz w:val="20"/>
        </w:rPr>
        <w:t>pro rata</w:t>
      </w:r>
      <w:r>
        <w:rPr>
          <w:rFonts w:ascii="Times New Roman;Times;Serif" w:hAnsi="Times New Roman;Times;Serif"/>
          <w:b w:val="false"/>
          <w:i w:val="false"/>
          <w:caps w:val="false"/>
          <w:smallCaps w:val="false"/>
          <w:sz w:val="20"/>
        </w:rPr>
        <w:t>, by lot or by such other method as the Trustee deems fair and appropriate (provided that if the 2035 Notes are represented by one or more Global Notes, the 2035 Notes shall be selected for redemption by the Depositary in accordance with its standard procedures therefor) and may provide for the selection for redemption of a portion of the principal amount of the 2035 Notes equal to an authorized denomination.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2035 Notes of a principal amount of $2,000 or less will be redeemed in part. 2035 Notes in denominations larger than $2,000 may be redeemed in part but only in whole multiples of $1,000, unless all of the 2035 Notes held by a Holder are to be redeemed. If any 2035 Note is to be redeemed in part only, the notice of redemption that relates to such 2035 Note will state the portion of the principal amount of the 2035 Note to be redeemed. A new 2035 Note in a principal amount equal to the unredeemed portion of the 2035 Note will be issued in the name of the Holder of the 2035 Note upon surrender for cancellation of the original 2035 Note. For so long as the 2035 Notes are held by the Depositary, the redemption of the 2035 Notes shall be done in accordance with the policies and procedures of the Depositary.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3.2.        </w:t>
      </w:r>
      <w:r>
        <w:rPr>
          <w:rFonts w:ascii="Times New Roman;Times;Serif" w:hAnsi="Times New Roman;Times;Serif"/>
          <w:b w:val="false"/>
          <w:i/>
          <w:caps w:val="false"/>
          <w:smallCaps w:val="false"/>
          <w:sz w:val="20"/>
        </w:rPr>
        <w:t>Mandatory Redemption.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not required to make any mandatory redemption or sinking fund payments with respect to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4.</w:t>
        <w:br/>
        <w:t>PARTICULAR COVENANTS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4.1.        </w:t>
      </w:r>
      <w:r>
        <w:rPr>
          <w:rFonts w:ascii="Times New Roman;Times;Serif" w:hAnsi="Times New Roman;Times;Serif"/>
          <w:b w:val="false"/>
          <w:i/>
          <w:caps w:val="false"/>
          <w:smallCaps w:val="false"/>
          <w:sz w:val="20"/>
        </w:rPr>
        <w:t>Offer to Purchase Upon Change of Control Triggering Event.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If a Change of Control Triggering Event occurs with respect to a Series of Notes hereunder, unless the Company has exercised its option to redeem all Notes of such Series in full pursuant to Section 3.1 or has defeased such Series of the Notes or satisfied and discharged such Series of Notes, the Company shall be required to make an offer (an “</w:t>
      </w:r>
      <w:r>
        <w:rPr>
          <w:rFonts w:ascii="Times New Roman;Times;Serif" w:hAnsi="Times New Roman;Times;Serif"/>
          <w:b/>
          <w:i/>
          <w:caps w:val="false"/>
          <w:smallCaps w:val="false"/>
          <w:sz w:val="20"/>
        </w:rPr>
        <w:t>Offer to Purchase</w:t>
      </w:r>
      <w:r>
        <w:rPr>
          <w:rFonts w:ascii="Times New Roman;Times;Serif" w:hAnsi="Times New Roman;Times;Serif"/>
          <w:b w:val="false"/>
          <w:i w:val="false"/>
          <w:caps w:val="false"/>
          <w:smallCaps w:val="false"/>
          <w:sz w:val="20"/>
        </w:rPr>
        <w:t>”) to each Holder of such Series of Notes to purchase all or any part (equal to $2,000 and in integral multiples of $1,000 in excess thereof) of that Holder’s Notes of such Series pursuant to the offer set forth below. In an Offer to Purchase, the Company shall be required to offer payment in cash equal to 101% of the aggregate principal amount of the Notes of such Series, plus accrued and unpaid interest, if any, to, but excluding, the date of purchase of such Notes of such Series (a “</w:t>
      </w:r>
      <w:r>
        <w:rPr>
          <w:rFonts w:ascii="Times New Roman;Times;Serif" w:hAnsi="Times New Roman;Times;Serif"/>
          <w:b/>
          <w:i/>
          <w:caps w:val="false"/>
          <w:smallCaps w:val="false"/>
          <w:sz w:val="20"/>
        </w:rPr>
        <w:t>Change of Control Purchase Price</w:t>
      </w:r>
      <w:r>
        <w:rPr>
          <w:rFonts w:ascii="Times New Roman;Times;Serif" w:hAnsi="Times New Roman;Times;Serif"/>
          <w:b w:val="false"/>
          <w:i w:val="false"/>
          <w:caps w:val="false"/>
          <w:smallCaps w:val="false"/>
          <w:sz w:val="20"/>
        </w:rPr>
        <w:t>”). Not later than 60 days following any Change of Control Triggering Event with respect to a Series of Notes, the Company shall deliver or cause to be delivered (or if the Notes of such Series are represented by one or more Global Notes, transmitted in accordance with the Depositary’s standard procedures therefor) a notice to Holders of such Series of Notes describing the transaction that constitutes or may constitute the Change of Control Triggering Event and offering to purchase such Notes on the date specified in the notice, which date shall be no earlier than 30 days and no later than 60 days after the date such notice is delivered or transmitted (a “</w:t>
      </w:r>
      <w:r>
        <w:rPr>
          <w:rFonts w:ascii="Times New Roman;Times;Serif" w:hAnsi="Times New Roman;Times;Serif"/>
          <w:b/>
          <w:i/>
          <w:caps w:val="false"/>
          <w:smallCaps w:val="false"/>
          <w:sz w:val="20"/>
        </w:rPr>
        <w:t>Expiration Date</w:t>
      </w:r>
      <w:r>
        <w:rPr>
          <w:rFonts w:ascii="Times New Roman;Times;Serif" w:hAnsi="Times New Roman;Times;Serif"/>
          <w:b w:val="false"/>
          <w:i w:val="false"/>
          <w:caps w:val="false"/>
          <w:smallCaps w:val="false"/>
          <w:sz w:val="20"/>
        </w:rPr>
        <w:t>”) and a settlement date for purchase (a “</w:t>
      </w:r>
      <w:r>
        <w:rPr>
          <w:rFonts w:ascii="Times New Roman;Times;Serif" w:hAnsi="Times New Roman;Times;Serif"/>
          <w:b/>
          <w:i/>
          <w:caps w:val="false"/>
          <w:smallCaps w:val="false"/>
          <w:sz w:val="20"/>
        </w:rPr>
        <w:t>Change of Control Purchase Date</w:t>
      </w:r>
      <w:r>
        <w:rPr>
          <w:rFonts w:ascii="Times New Roman;Times;Serif" w:hAnsi="Times New Roman;Times;Serif"/>
          <w:b w:val="false"/>
          <w:i w:val="false"/>
          <w:caps w:val="false"/>
          <w:smallCaps w:val="false"/>
          <w:sz w:val="20"/>
        </w:rPr>
        <w:t>”) for such Offer to Purchase of not more than five Business Days after the Expiration Date. The notice shall also contain instructions and materials necessary to enable Holders to tender Notes pursuant to the offer. The notice shall, if delivered or transmitted prior to the date of consummation of the Change of Control, state that the offer to purchase is conditioned on the Change of Control Triggering Event occurring on or prior to the Change of Control Purchase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Such notice shall also state: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that the Offer to Purchase is being made pursuant to this Section 4.1 and that all Notes of such Series or portion of such Notes validly tendered and not withdrawn will be accepted for payment;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Change of Control Purchase Price and the Change of Control Purchase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that any Note of such Series not tendered will continue to accrue interest;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that any Note accepted for payment pursuant to the Offer to Purchase shall cease to accrue interest after the Change of Control Purchase Date unless the Company shall default in the payment of the Change of Control Purchase Price of the Notes of such Series and the only remaining right of the Holder is to receive payment of the Change of Control Purchase Price upon surrender of the Notes of such Series to the Paying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       that Holders electing to have a portion of a Note of such Series purchased pursuant to an Offer to Purchase may only elect to have such Note purchased in a minimum principal amount of $2,000 and integral multiples of $1,000 in excess thereof;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the unrepurchased portion of a Note must be in a minimum principal amount of $2,000;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that if a Holder elects to have a Note of such Series purchased pursuant to the Offer to Purchase such Holder will be required to surrender such Note, with the form entitled “Option of Holder to Elect Purchase” on the reverse of such Note completed, or transfer by book-entry transfer, to the Paying Agent at the address specified in the notice prior to the close of business on the third Business Day prior to the Change of Control Purchase Date, or, in the case of Global Notes, in accordance with the Applicable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that a Holder will be entitled to withdraw its election if the Company receives, not later than the close of business on the Expiration Date, a facsimile transmission or letter setting forth the name of such Holder, the principal amount of Notes such Holder delivered for purchase, and a statement that such Holder is withdrawing its election to have such Note purchased;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that if Notes of such Series are purchased only in part by the Company, a new Note of the same Series and type will be issued in principal amount equal to the unpurchased portion of the Notes surrendered.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On the Change of Control Purchase Date, the Company shall, to the extent lawful: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(1)          accept for payment all Notes of the applicable Series or portions of such Notes properly tendered pursuant to the Offer to Purchase;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(2)           deposit with the Paying Agent an amount equal to the Change of Control Purchase Price in respect of all Notes of the applicable Series or portions of such Notes properly tendered;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(3)           deliver or cause to be delivered to the Trustee the Notes of the applicable Series properly accepted together with an Officer’s Certificate stating the aggregate principal amount of such Notes or portions of such Notes being repurchased.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On the Change of Control Purchase Date the Change of Control Purchase Price will become due and payable on each Note accepted for purchase pursuant to the Offer to Purchase, and, unless the Company defaults in the payment of the Change of Control Purchase Price, interest on Notes purchased will cease to accrue on and after the Change of Control Purchase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Company shall not be required to make an Offer to Purchase upon the occurrence of a Change of Control Triggering Event with respect to Notes of a particular Series if (i) a third party makes such an offer in the manner, at the times and otherwise in compliance with the requirements for an offer made by the Company and the third party purchases all Notes of the applicable Series validly tendered and not withdrawn under its offer or (ii) the Company has sent a notice of redemption with respect to all Notes of such Series pursuant to Section 3.1 of this Supplemental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Company shall comply with the requirements of Rule 14e-1 under the Exchange Act and all other applicable laws and regulations thereunder to the extent such securities laws and regulations are applicable in connection with the repurchase of the Notes of the applicable Series as a result of a Change of Control Triggering Event. To the extent that the provisions of any such securities laws or regulations conflict with the provisions under this Section 4.1, the Company shall comply with such securities laws and regulations and shall not be deemed to have breached its obligations under this Section 4.1 or the Notes by virtue of any such conflict.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Notwithstanding anything to the contrary herein this Section 4.1, an Offer to Purchase may be made in advance of a Change of Control Triggering Event, conditional upon the applicable Change of Control, if a definitive agreement is in place for the Change of Control at the time of making of such Offer to Purchase.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No Notes of $2,000 or less can be repurchased in part pursuant to this Section 4.1. Notes in denominations larger than $2,000 may be repurchased in part but only in whole multiples of $1,000, unless all of the Notes held by a Holder are to be repurchased.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If Holders of not less than 90% in aggregate principal amount of the outstanding Notes of a Series validly tender and do not withdraw such Notes in an Offer to Purchase and the Company, or any third party approved in writing by the Company making an Offer to Purchase in lieu of the Company pursuant to Section 4.1(e) above, purchases all of the Notes of such Series validly tendered and not withdrawn by such Holders, the Company or such third party will have the right, upon not less than 10 nor more than 60 days’ prior notice, given not more than 30 days following such purchase pursuant to the Offer to Purchase, to redeem (with respect to the Company) or purchase (with respect to a third party) all Notes of such Series that remain outstanding following such purchase on a date (the “</w:t>
      </w:r>
      <w:r>
        <w:rPr>
          <w:rFonts w:ascii="Times New Roman;Times;Serif" w:hAnsi="Times New Roman;Times;Serif"/>
          <w:b/>
          <w:i/>
          <w:caps w:val="false"/>
          <w:smallCaps w:val="false"/>
          <w:sz w:val="20"/>
        </w:rPr>
        <w:t>Second Change of Control Purchase Date</w:t>
      </w:r>
      <w:r>
        <w:rPr>
          <w:rFonts w:ascii="Times New Roman;Times;Serif" w:hAnsi="Times New Roman;Times;Serif"/>
          <w:b w:val="false"/>
          <w:i w:val="false"/>
          <w:caps w:val="false"/>
          <w:smallCaps w:val="false"/>
          <w:sz w:val="20"/>
        </w:rPr>
        <w:t>”) at a purchase price equal to 101% of the principal amount thereof plus accrued and unpaid interest, if any, to, but excluding, the Second Change of Control Purchase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4.2.        </w:t>
      </w:r>
      <w:r>
        <w:rPr>
          <w:rFonts w:ascii="Times New Roman;Times;Serif" w:hAnsi="Times New Roman;Times;Serif"/>
          <w:b w:val="false"/>
          <w:i/>
          <w:caps w:val="false"/>
          <w:smallCaps w:val="false"/>
          <w:sz w:val="20"/>
        </w:rPr>
        <w:t>Liens.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will not, and will not permit any of its Restricted Subsidiaries, to create or incur any Lien, except Permitted Liens, on any Principal Property owned by the Company or any Restricted Subsidiary or on any shares of Capital Stock of any Restricted Subsidiary, whether now owned or hereafter acquired, in order to secure any Indebtedness, without effectively providing that the Notes of each Series then outstanding (together with, if the Company so determines, any other Indebtedness of the Company or a Subsidiary then existing or thereafter created ranking equally with the Notes) shall be substantially concurrently equally and ratably secured (or, at the Company’s option, secured prior thereto), until such time as such Indebtedness is no longer secured by such Lien.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Notwithstanding Section 4.2(a) above, the Company or any Restricted Subsidiary of the Company may, without equally and ratably securing the Notes of each Series then outstanding, create or incur Liens which would otherwise be subject to the restrictions set forth in the preceding paragraph, if after giving effect thereto, Aggregate Debt does not exceed an amount equal to the greater of (a) $5.6 billion, and (b) 15% of Consolidated Net Tangible Assets of the Company immediately preceding the date of the creation or incurrence of the Lien. The Company or any Restricted Subsidiary of the Company also may, without equally and ratably securing the Notes, create or incur Liens that extend, renew, substitute, reinstate or replace (including successive extensions, renewals, substitutions, reinstatements or replacements), in whole or in part, any Lien permitted pursuant to this or the preceding sentence and any Liens that secure any extension, renewal, replacement, reinstatement, refinancing or refunding (including any successive extensions, renewals, replacements, reinstatements, refinancings or refundings) of any Indebtedness at any time prior to or within 12 months after the maturity, retirement or other repayment or prepayment of the Indebtedness (including any such repayment pursuant to amortization obligations with respect to such Indebtedness) being extended, renewed, substituted, replaced, refinanced or refunded, which Indebtedness is or was secured by a Lien permitted pursuant to Section 4.2(a) above or this Section 4.2(b).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For purposes of this Section 4.2, (i) the creation of a Lien to secure Indebtedness which existed prior to the creation of such Lien will be deemed to involve Indebtedness in an amount equal to the lesser of (x) the fair value (as determined in good faith by a Senior Officer of the Company) of the asset subjected to such Lien and (y) the principal amount secured by such Lien, and (ii) in the event that a Lien meets the criteria of more than one of the types of Permitted Liens or Liens permitted by the preceding paragraph, the Company, in its sole discretion, will classify, and may reclassify, such Lien and only be required to include the amount and type of such Lien as a Permitted Lien or a Lien permitted by Section 4.2(b) above, and a Lien may be divided and classified and reclassified into more than one of such types of Liens. In addition, for purposes of calculating compliance with the foregoing covenant, in no event will the amount of any Indebtedness or Liens securing any Indebtedness be required to be included more than once despite the fact more than one person is or becomes liable with respect to such Indebtedness and despite the fact such Indebtedness is secured by the assets of more than one person (for example, and for avoidance of doubt, in the case where there are Liens on assets of one or more of the Company and its Restricted Subsidiaries securing any Indebtedness, the amount of such Indebtedness secured shall only be included once for purposes of such calculations).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Any Lien created for the benefit of the Holders of the Notes of a Series pursuant to Section 4.2(a) above may provide by its terms that such Lien shall be automatically and unconditionally released and discharged upon the release and discharge of the Lien that gave rise to the obligation to secure the Notes of such Series.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4.3.        </w:t>
      </w:r>
      <w:r>
        <w:rPr>
          <w:rFonts w:ascii="Times New Roman;Times;Serif" w:hAnsi="Times New Roman;Times;Serif"/>
          <w:b w:val="false"/>
          <w:i/>
          <w:caps w:val="false"/>
          <w:smallCaps w:val="false"/>
          <w:sz w:val="20"/>
        </w:rPr>
        <w:t>Sale and Lease Back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not, and will not permit any of its Restricted Subsidiaries, to enter into any Sale and Lease Back Transaction with respect to any Principal Property owned by the Company or any Restricted Subsidiary, whether now owned or hereafter acquired, unless: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such transaction was entered into prior to the Issue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such transaction was for the sale and leasing back to the Company or a Restricted Subsidiary by the Company or any Subsidiary of any Principal Property;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such transaction involves a lease of a Principal Property executed by the time of or within 24 months after the later of (i) the acquisition or the completion of any such development, operation, construction, alteration, repair or improvement of such property, assets or equipment or (ii) the placing into commercial operation of such Principal Property after the acquisition or completion of any such development, operation, construction, alteration, repair or improvement;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such transaction involves a lease for not more than three years (or which may be terminated by the Company or the applicable Restricted Subsidiary within a period of not more than three years);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Company or the applicable Restricted Subsidiary would be entitled to incur Indebtedness secured by a Lien on the property to be leased in an amount equal to Attributable Debt with respect to such Sale and Lease Back Transaction without equally and ratably securing the Notes pursuant to Section 4.2(a) above;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Company or the applicable Restricted Subsidiary applies an amount equal to the net proceeds from the sale of the Principal Property to the purchase of other Principal Property or to the retirement, repurchase or other repayment or prepayment of Indebtedness within 365 calendar days before or after the effective date of any such Sale and Lease Back Transaction; provided that in lieu of applying such amount to such retirement, repurchase, repayment or prepayment, the Company or any Restricted Subsidiary may deliver Notes to the Trustee for cancellation, such Notes to be credited at the cost thereof to the Company or such Restricted Subsidiary.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the Company and its Restricted Subsidiaries may enter into any Sale and Lease Back Transaction which would otherwise be subject to the foregoing restrictions if after giving effect thereto and at the time of determination, Aggregate Debt does not exceed an amount equal to the greater of (a) $5.6 billion, and (b) 15% of Consolidated Net Tangible Assets of the Company immediately preceding the closing date of the Sale and Lease Back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4.4.        </w:t>
      </w:r>
      <w:r>
        <w:rPr>
          <w:rFonts w:ascii="Times New Roman;Times;Serif" w:hAnsi="Times New Roman;Times;Serif"/>
          <w:b w:val="false"/>
          <w:i/>
          <w:caps w:val="false"/>
          <w:smallCaps w:val="false"/>
          <w:sz w:val="20"/>
        </w:rPr>
        <w:t>Covenants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covenants set forth in Sections 4.2 and 4.3 above are and are intended solely for the benefit of the 2032 Notes and the 2035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5.</w:t>
        <w:br/>
        <w:t>SATISFACTION AND DISCHARGE; DEFEASANCE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5.1.        </w:t>
      </w:r>
      <w:r>
        <w:rPr>
          <w:rFonts w:ascii="Times New Roman;Times;Serif" w:hAnsi="Times New Roman;Times;Serif"/>
          <w:b w:val="false"/>
          <w:i/>
          <w:caps w:val="false"/>
          <w:smallCaps w:val="false"/>
          <w:sz w:val="20"/>
        </w:rPr>
        <w:t>Satisfaction and Discharge of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satisfy and discharge any Series of the Notes hereunder in accordance with and subject to the terms of Section 8.1 of the Base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5.2.        </w:t>
      </w:r>
      <w:r>
        <w:rPr>
          <w:rFonts w:ascii="Times New Roman;Times;Serif" w:hAnsi="Times New Roman;Times;Serif"/>
          <w:b w:val="false"/>
          <w:i/>
          <w:caps w:val="false"/>
          <w:smallCaps w:val="false"/>
          <w:sz w:val="20"/>
        </w:rPr>
        <w:t>Legal Defeasance of Securities of any Series.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8.3 of the Base Indenture shall be applicable to each Series of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5.3.        </w:t>
      </w:r>
      <w:r>
        <w:rPr>
          <w:rFonts w:ascii="Times New Roman;Times;Serif" w:hAnsi="Times New Roman;Times;Serif"/>
          <w:b w:val="false"/>
          <w:i/>
          <w:caps w:val="false"/>
          <w:smallCaps w:val="false"/>
          <w:sz w:val="20"/>
        </w:rPr>
        <w:t>Covenant Defeasance.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covenants specified in Section 8.4 of the Base Indenture, the Company may omit to comply with respect to the Notes of a Series with any term, provision or condition set forth in Section 4.1, Section 4.2 and Section 4.3 of this Supplemental Indenture by complying with the requirements of Section 8.4 of the Base Indenture in respect of such Series.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6.</w:t>
        <w:br/>
        <w:t>MISCELLANEOUS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6.1.        </w:t>
      </w:r>
      <w:r>
        <w:rPr>
          <w:rFonts w:ascii="Times New Roman;Times;Serif" w:hAnsi="Times New Roman;Times;Serif"/>
          <w:b w:val="false"/>
          <w:i/>
          <w:caps w:val="false"/>
          <w:smallCaps w:val="false"/>
          <w:sz w:val="20"/>
        </w:rPr>
        <w:t>Trust Indenture Act Controls.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provision of this Supplemental Indenture limits, qualifies or conflicts with another provision which is required or deemed to be included in this Supplemental Indenture by the TIA, such required or deemed provision shall control.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6.2.        </w:t>
      </w:r>
      <w:r>
        <w:rPr>
          <w:rFonts w:ascii="Times New Roman;Times;Serif" w:hAnsi="Times New Roman;Times;Serif"/>
          <w:b w:val="false"/>
          <w:i/>
          <w:caps w:val="false"/>
          <w:smallCaps w:val="false"/>
          <w:sz w:val="20"/>
        </w:rPr>
        <w:t>Governing Law</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SUPPLEMENTAL INDENTURE AND THE NOTES SHALL BE GOVERNED BY THE LAW OF THE STATE OF NEW YORK.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6.3.        </w:t>
      </w:r>
      <w:r>
        <w:rPr>
          <w:rFonts w:ascii="Times New Roman;Times;Serif" w:hAnsi="Times New Roman;Times;Serif"/>
          <w:b w:val="false"/>
          <w:i/>
          <w:caps w:val="false"/>
          <w:smallCaps w:val="false"/>
          <w:sz w:val="20"/>
        </w:rPr>
        <w:t>Successors.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agreements of the Company in this Supplemental Indenture and the Notes shall bind its successors. All agreements of the Trustee in this Supplemental Indenture shall bind its successors.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6.4.        </w:t>
      </w:r>
      <w:r>
        <w:rPr>
          <w:rFonts w:ascii="Times New Roman;Times;Serif" w:hAnsi="Times New Roman;Times;Serif"/>
          <w:b w:val="false"/>
          <w:i/>
          <w:caps w:val="false"/>
          <w:smallCaps w:val="false"/>
          <w:sz w:val="20"/>
        </w:rPr>
        <w:t>Severability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case any provision in this Supplemental Indenture or in the Notes shall be invalid, illegal or unenforceable, the validity, legality and enforceability of the remaining provisions shall not in any way be affected or impaired thereby.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6.5.        </w:t>
      </w:r>
      <w:r>
        <w:rPr>
          <w:rFonts w:ascii="Times New Roman;Times;Serif" w:hAnsi="Times New Roman;Times;Serif"/>
          <w:b w:val="false"/>
          <w:i/>
          <w:caps w:val="false"/>
          <w:smallCaps w:val="false"/>
          <w:sz w:val="20"/>
        </w:rPr>
        <w:t>Counterpart Originals.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Supplemental Indenture may be executed in any number of counterparts and by the parties hereto in separate counterparts, each of which when so executed shall be deemed to be an original and all of which taken together shall constitute one and the same agreement. The words “execution,” “signed,” “signature,” “delivery,” and words of like import in or relating to this Supplemental Indenture or any document to be signed in connection with this Supplemental Indenture shall be deemed to include electronic signatures, deliveries or the keeping of records in electronic form, each of which shall be of the same legal effect, validity or enforceability as a manually executed signature, physical delivery thereof or the use of a paper-based recordkeeping system, as the case may be, and the parties hereto consent to conduct the transactions contemplated hereunder by electronic means.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notices, approvals, consents, requests and any communications hereunder must be in writing (provided that any such communication sent to the Trustee hereunder must be in the form of a document that is signed manually or by way of a digital signature provided by DocuSign or Adobe Sign (or such other digital signature provider as specified in writing to Trustee by the authorized representative)) or by way of an electronic signature provided in another manner acceptable to Trustee, in English.  The Company agrees to assume all risks arising out of the use of using digital signatures, electronic signatures and electronic methods to submit communications to the Trustee, including without limitation the risk of the Trustee acting on unauthorized instructions, and the risk of interception and misuse by third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6.6.        </w:t>
      </w:r>
      <w:r>
        <w:rPr>
          <w:rFonts w:ascii="Times New Roman;Times;Serif" w:hAnsi="Times New Roman;Times;Serif"/>
          <w:b w:val="false"/>
          <w:i/>
          <w:caps w:val="false"/>
          <w:smallCaps w:val="false"/>
          <w:sz w:val="20"/>
        </w:rPr>
        <w:t>Table of Contents, Headings, Etc</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of Contents and headings of the Articles and Sections of this Supplemental Indenture have been inserted for convenience of reference only, are not to be considered a part of this Supplemental Indenture and will in no way modify or restrict any of the terms or provisions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6.7.        </w:t>
      </w:r>
      <w:r>
        <w:rPr>
          <w:rFonts w:ascii="Times New Roman;Times;Serif" w:hAnsi="Times New Roman;Times;Serif"/>
          <w:b w:val="false"/>
          <w:i/>
          <w:caps w:val="false"/>
          <w:smallCaps w:val="false"/>
          <w:sz w:val="20"/>
        </w:rPr>
        <w:t>Waiver of Jury Trial.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the Trustee and the Holders (by their acceptance of the Notes) each hereby irrevocably waive, to the fullest extent permitted by applicable law, any and all right to trial by jury in any legal proceeding arising out of or relating to this Indenture, the Notes or the transactions contemplated hereby or thereby</w:t>
      </w:r>
      <w:r>
        <w:rPr>
          <w:rFonts w:ascii="Times New Roman;Times;Serif" w:hAnsi="Times New Roman;Times;Serif"/>
          <w:b w:val="false"/>
          <w:i/>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6.8.        </w:t>
      </w:r>
      <w:r>
        <w:rPr>
          <w:rFonts w:ascii="Times New Roman;Times;Serif" w:hAnsi="Times New Roman;Times;Serif"/>
          <w:b w:val="false"/>
          <w:i/>
          <w:caps w:val="false"/>
          <w:smallCaps w:val="false"/>
          <w:sz w:val="20"/>
        </w:rPr>
        <w:t>Interpretation.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Unless the context requires otherwise (a) any definition of or reference to any agreement, instrument or other document herein shall be construed as referring to such agreement, instrument or other document as from time to time amended, supplemented or otherwise modified (subject to any restrictions on such amendments, supplements or modifications set forth herein), (b) any reference herein to any person shall be construed to include such person’s successors and assigns, (c) the words “herein,” “hereof” and “hereunder,” and words of similar import, shall be construed to refer to this Supplemental Indenture in its entirety and not to any particular provision hereof, (d) all references herein to Articles, Sections and Exhibits shall be construed to refer to Articles and Sections of, and Exhibits to, this Supplemental Indenture and (e) the words “asset” and “property” shall be construed to have the same meaning and effect and to refer to any and all tangible and intangible assets and properties, including cash, securities, accounts and contract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6.9.        </w:t>
      </w:r>
      <w:r>
        <w:rPr>
          <w:rFonts w:ascii="Times New Roman;Times;Serif" w:hAnsi="Times New Roman;Times;Serif"/>
          <w:b w:val="false"/>
          <w:i/>
          <w:caps w:val="false"/>
          <w:smallCaps w:val="false"/>
          <w:sz w:val="20"/>
        </w:rPr>
        <w:t>Instruction by Electronic Transmissions.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foregoing, the Trustee agrees to accept and act upon notice, instructions or directions pursuant to this Indenture sent by unsecured e-mail, facsimile transmission or other similar unsecured electronic methods. If the party elects to give the Trustee e-mail or facsimile instructions (or instructions by a similar electronic method) and the Trustee in its discretion elects to act upon such instructions, the Trustee’s understanding of such instructions shall be deemed controlling. The Trustee shall not be liable for any losses, costs or expenses arising directly or indirectly from the Trustee’s reliance upon and compliance with such instructions notwithstanding such instructions conflict or are inconsistent with a subsequent written instruction. The party providing electronic instructions agrees to assume all risks arising out of the use of such electronic methods to submit instructions and directions to the Trustee, including without limitation the risk of the Trustee acting on unauthorized instructions, and the risk or interception and misuse by third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6.10.      </w:t>
      </w:r>
      <w:r>
        <w:rPr>
          <w:rFonts w:ascii="Times New Roman;Times;Serif" w:hAnsi="Times New Roman;Times;Serif"/>
          <w:b w:val="false"/>
          <w:i/>
          <w:caps w:val="false"/>
          <w:smallCaps w:val="false"/>
          <w:sz w:val="20"/>
        </w:rPr>
        <w:t>Notices.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address of the Trustee set forth in Section 10.2 of the Base Indenture is amended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the Trustee:</w:t>
      </w:r>
    </w:p>
    <w:p>
      <w:pPr>
        <w:pStyle w:val="TextBody"/>
        <w:bidi w:val="0"/>
        <w:spacing w:before="0" w:after="0"/>
        <w:ind w:left="0" w:right="0" w:hanging="0"/>
        <w:jc w:val="left"/>
        <w:rPr>
          <w:caps w:val="false"/>
          <w:smallCaps w:val="false"/>
        </w:rPr>
      </w:pPr>
      <w:r>
        <w:rPr>
          <w:caps w:val="false"/>
          <w:smallCaps w:val="false"/>
        </w:rPr>
        <w:t> </w:t>
      </w:r>
    </w:p>
    <w:tbl>
      <w:tblPr>
        <w:tblW w:w="5045" w:type="dxa"/>
        <w:jc w:val="left"/>
        <w:tblInd w:w="0" w:type="dxa"/>
        <w:tblLayout w:type="fixed"/>
        <w:tblCellMar>
          <w:top w:w="0" w:type="dxa"/>
          <w:left w:w="0" w:type="dxa"/>
          <w:bottom w:w="0" w:type="dxa"/>
          <w:right w:w="0" w:type="dxa"/>
        </w:tblCellMar>
      </w:tblPr>
      <w:tblGrid>
        <w:gridCol w:w="75"/>
        <w:gridCol w:w="4970"/>
      </w:tblGrid>
      <w:tr>
        <w:trPr/>
        <w:tc>
          <w:tcPr>
            <w:tcW w:w="75" w:type="dxa"/>
            <w:tcBorders/>
            <w:vAlign w:val="center"/>
          </w:tcPr>
          <w:p>
            <w:pPr>
              <w:pStyle w:val="TableContents"/>
              <w:bidi w:val="0"/>
              <w:spacing w:before="0" w:after="283"/>
              <w:jc w:val="left"/>
              <w:rPr/>
            </w:pPr>
            <w:r>
              <w:rPr/>
              <w:t> </w:t>
            </w:r>
          </w:p>
        </w:tc>
        <w:tc>
          <w:tcPr>
            <w:tcW w:w="49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Bank Trust Company, National Association</w:t>
            </w:r>
          </w:p>
        </w:tc>
      </w:tr>
      <w:tr>
        <w:trPr/>
        <w:tc>
          <w:tcPr>
            <w:tcW w:w="75" w:type="dxa"/>
            <w:tcBorders/>
            <w:vAlign w:val="center"/>
          </w:tcPr>
          <w:p>
            <w:pPr>
              <w:pStyle w:val="TableContents"/>
              <w:bidi w:val="0"/>
              <w:spacing w:before="0" w:after="283"/>
              <w:jc w:val="left"/>
              <w:rPr/>
            </w:pPr>
            <w:r>
              <w:rPr/>
              <w:t> </w:t>
            </w:r>
          </w:p>
        </w:tc>
        <w:tc>
          <w:tcPr>
            <w:tcW w:w="49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West Side Flats St Paul</w:t>
            </w:r>
          </w:p>
        </w:tc>
      </w:tr>
      <w:tr>
        <w:trPr/>
        <w:tc>
          <w:tcPr>
            <w:tcW w:w="75" w:type="dxa"/>
            <w:tcBorders/>
            <w:vAlign w:val="center"/>
          </w:tcPr>
          <w:p>
            <w:pPr>
              <w:pStyle w:val="TableContents"/>
              <w:bidi w:val="0"/>
              <w:spacing w:before="0" w:after="283"/>
              <w:jc w:val="left"/>
              <w:rPr/>
            </w:pPr>
            <w:r>
              <w:rPr/>
              <w:t> </w:t>
            </w:r>
          </w:p>
        </w:tc>
        <w:tc>
          <w:tcPr>
            <w:tcW w:w="49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 Livingston Avenue</w:t>
            </w:r>
          </w:p>
        </w:tc>
      </w:tr>
      <w:tr>
        <w:trPr/>
        <w:tc>
          <w:tcPr>
            <w:tcW w:w="75" w:type="dxa"/>
            <w:tcBorders/>
            <w:vAlign w:val="center"/>
          </w:tcPr>
          <w:p>
            <w:pPr>
              <w:pStyle w:val="TableContents"/>
              <w:bidi w:val="0"/>
              <w:spacing w:before="0" w:after="283"/>
              <w:jc w:val="left"/>
              <w:rPr/>
            </w:pPr>
            <w:r>
              <w:rPr/>
              <w:t> </w:t>
            </w:r>
          </w:p>
        </w:tc>
        <w:tc>
          <w:tcPr>
            <w:tcW w:w="49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EP-MN-S3IV</w:t>
            </w:r>
          </w:p>
        </w:tc>
      </w:tr>
      <w:tr>
        <w:trPr/>
        <w:tc>
          <w:tcPr>
            <w:tcW w:w="75" w:type="dxa"/>
            <w:tcBorders/>
            <w:vAlign w:val="center"/>
          </w:tcPr>
          <w:p>
            <w:pPr>
              <w:pStyle w:val="TableContents"/>
              <w:bidi w:val="0"/>
              <w:spacing w:before="0" w:after="283"/>
              <w:jc w:val="left"/>
              <w:rPr/>
            </w:pPr>
            <w:r>
              <w:rPr/>
              <w:t> </w:t>
            </w:r>
          </w:p>
        </w:tc>
        <w:tc>
          <w:tcPr>
            <w:tcW w:w="49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Saint Paul, MN 55107</w:t>
            </w:r>
          </w:p>
        </w:tc>
      </w:tr>
      <w:tr>
        <w:trPr/>
        <w:tc>
          <w:tcPr>
            <w:tcW w:w="75" w:type="dxa"/>
            <w:tcBorders/>
            <w:vAlign w:val="center"/>
          </w:tcPr>
          <w:p>
            <w:pPr>
              <w:pStyle w:val="TableContents"/>
              <w:bidi w:val="0"/>
              <w:spacing w:before="0" w:after="283"/>
              <w:jc w:val="left"/>
              <w:rPr/>
            </w:pPr>
            <w:r>
              <w:rPr/>
              <w:t> </w:t>
            </w:r>
          </w:p>
        </w:tc>
        <w:tc>
          <w:tcPr>
            <w:tcW w:w="49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Russel Otzenberger (Micron Technology, Inc. Notes).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6.11.      </w:t>
      </w:r>
      <w:r>
        <w:rPr>
          <w:rFonts w:ascii="Times New Roman;Times;Serif" w:hAnsi="Times New Roman;Times;Serif"/>
          <w:b w:val="false"/>
          <w:i/>
          <w:caps w:val="false"/>
          <w:smallCaps w:val="false"/>
          <w:sz w:val="20"/>
        </w:rPr>
        <w:t>Miscellaneous.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 event shall the Trustee be responsible or liable for special, indirect or consequential loss or damage of any kind whatsoever (including, but not limited to, loss of profit) irrespective of whether the Trustee has been advised of the likelihood of such loss or damage and regardless of the form of 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 of the Company’s past, present or future directors, officers, employees or stockholders, as such, will have any liability for any of the Company’s obligations under the Notes of a Series or the Indenture or for any claim based on, or in respect or by reason of, such obligations or their creation. By accepting a Note, each Holder waives and releases all such liability. This waiver and release is part of the consideration for the issue of the Notes of each Series.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[Signatures on following page]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as of April 29, 2025</w:t>
      </w:r>
    </w:p>
    <w:p>
      <w:pPr>
        <w:pStyle w:val="TextBody"/>
        <w:bidi w:val="0"/>
        <w:spacing w:before="0" w:after="0"/>
        <w:ind w:left="0" w:right="0" w:hanging="0"/>
        <w:jc w:val="left"/>
        <w:rPr>
          <w:caps w:val="false"/>
          <w:smallCaps w:val="false"/>
        </w:rPr>
      </w:pPr>
      <w:r>
        <w:rPr>
          <w:caps w:val="false"/>
          <w:smallCaps w:val="false"/>
        </w:rPr>
        <w:t> </w:t>
      </w:r>
    </w:p>
    <w:tbl>
      <w:tblPr>
        <w:tblW w:w="5959" w:type="dxa"/>
        <w:jc w:val="left"/>
        <w:tblInd w:w="0" w:type="dxa"/>
        <w:tblLayout w:type="fixed"/>
        <w:tblCellMar>
          <w:top w:w="0" w:type="dxa"/>
          <w:left w:w="0" w:type="dxa"/>
          <w:bottom w:w="0" w:type="dxa"/>
          <w:right w:w="0" w:type="dxa"/>
        </w:tblCellMar>
      </w:tblPr>
      <w:tblGrid>
        <w:gridCol w:w="75"/>
        <w:gridCol w:w="1183"/>
        <w:gridCol w:w="4701"/>
      </w:tblGrid>
      <w:tr>
        <w:trPr/>
        <w:tc>
          <w:tcPr>
            <w:tcW w:w="75" w:type="dxa"/>
            <w:tcBorders/>
            <w:vAlign w:val="center"/>
          </w:tcPr>
          <w:p>
            <w:pPr>
              <w:pStyle w:val="TableContents"/>
              <w:bidi w:val="0"/>
              <w:spacing w:before="0" w:after="283"/>
              <w:jc w:val="left"/>
              <w:rPr/>
            </w:pPr>
            <w:r>
              <w:rPr/>
              <w:t> </w:t>
            </w:r>
          </w:p>
        </w:tc>
        <w:tc>
          <w:tcPr>
            <w:tcW w:w="588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MICRON TECHNOLOGY, INC.</w:t>
            </w:r>
          </w:p>
        </w:tc>
      </w:tr>
      <w:tr>
        <w:trPr/>
        <w:tc>
          <w:tcPr>
            <w:tcW w:w="75" w:type="dxa"/>
            <w:tcBorders/>
            <w:vAlign w:val="center"/>
          </w:tcPr>
          <w:p>
            <w:pPr>
              <w:pStyle w:val="TableContents"/>
              <w:bidi w:val="0"/>
              <w:spacing w:before="0" w:after="283"/>
              <w:jc w:val="left"/>
              <w:rPr/>
            </w:pPr>
            <w:r>
              <w:rPr/>
              <w:t> </w:t>
            </w:r>
          </w:p>
        </w:tc>
        <w:tc>
          <w:tcPr>
            <w:tcW w:w="588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18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p>
        </w:tc>
        <w:tc>
          <w:tcPr>
            <w:tcW w:w="4701"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Greg Routin</w:t>
            </w:r>
          </w:p>
        </w:tc>
      </w:tr>
      <w:tr>
        <w:trPr/>
        <w:tc>
          <w:tcPr>
            <w:tcW w:w="75" w:type="dxa"/>
            <w:tcBorders/>
            <w:vAlign w:val="center"/>
          </w:tcPr>
          <w:p>
            <w:pPr>
              <w:pStyle w:val="TableContents"/>
              <w:bidi w:val="0"/>
              <w:spacing w:before="0" w:after="283"/>
              <w:jc w:val="left"/>
              <w:rPr/>
            </w:pPr>
            <w:r>
              <w:rPr/>
              <w:t> </w:t>
            </w:r>
          </w:p>
        </w:tc>
        <w:tc>
          <w:tcPr>
            <w:tcW w:w="118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470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Greg Routin</w:t>
            </w:r>
          </w:p>
        </w:tc>
      </w:tr>
      <w:tr>
        <w:trPr/>
        <w:tc>
          <w:tcPr>
            <w:tcW w:w="75" w:type="dxa"/>
            <w:tcBorders/>
            <w:vAlign w:val="center"/>
          </w:tcPr>
          <w:p>
            <w:pPr>
              <w:pStyle w:val="TableContents"/>
              <w:bidi w:val="0"/>
              <w:spacing w:before="0" w:after="283"/>
              <w:jc w:val="left"/>
              <w:rPr/>
            </w:pPr>
            <w:r>
              <w:rPr/>
              <w:t> </w:t>
            </w:r>
          </w:p>
        </w:tc>
        <w:tc>
          <w:tcPr>
            <w:tcW w:w="118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Title: </w:t>
            </w:r>
          </w:p>
        </w:tc>
        <w:tc>
          <w:tcPr>
            <w:tcW w:w="470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Vice President and Treasurer</w:t>
            </w:r>
          </w:p>
        </w:tc>
      </w:tr>
      <w:tr>
        <w:trPr/>
        <w:tc>
          <w:tcPr>
            <w:tcW w:w="75" w:type="dxa"/>
            <w:tcBorders/>
            <w:vAlign w:val="center"/>
          </w:tcPr>
          <w:p>
            <w:pPr>
              <w:pStyle w:val="TableContents"/>
              <w:bidi w:val="0"/>
              <w:spacing w:before="0" w:after="283"/>
              <w:jc w:val="left"/>
              <w:rPr/>
            </w:pPr>
            <w:r>
              <w:rPr/>
              <w:t> </w:t>
            </w:r>
          </w:p>
        </w:tc>
        <w:tc>
          <w:tcPr>
            <w:tcW w:w="588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588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BANK TRUST COMPANY, NATIONAL ASSOCIATION, as Trustee</w:t>
            </w:r>
          </w:p>
        </w:tc>
      </w:tr>
      <w:tr>
        <w:trPr/>
        <w:tc>
          <w:tcPr>
            <w:tcW w:w="75" w:type="dxa"/>
            <w:tcBorders/>
            <w:vAlign w:val="center"/>
          </w:tcPr>
          <w:p>
            <w:pPr>
              <w:pStyle w:val="TableContents"/>
              <w:bidi w:val="0"/>
              <w:spacing w:before="0" w:after="283"/>
              <w:jc w:val="left"/>
              <w:rPr/>
            </w:pPr>
            <w:r>
              <w:rPr/>
              <w:t> </w:t>
            </w:r>
          </w:p>
        </w:tc>
        <w:tc>
          <w:tcPr>
            <w:tcW w:w="588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18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4701"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Russel T. Otzenberger</w:t>
            </w:r>
          </w:p>
        </w:tc>
      </w:tr>
      <w:tr>
        <w:trPr/>
        <w:tc>
          <w:tcPr>
            <w:tcW w:w="75" w:type="dxa"/>
            <w:tcBorders/>
            <w:vAlign w:val="center"/>
          </w:tcPr>
          <w:p>
            <w:pPr>
              <w:pStyle w:val="TableContents"/>
              <w:bidi w:val="0"/>
              <w:spacing w:before="0" w:after="283"/>
              <w:jc w:val="left"/>
              <w:rPr/>
            </w:pPr>
            <w:r>
              <w:rPr/>
              <w:t> </w:t>
            </w:r>
          </w:p>
        </w:tc>
        <w:tc>
          <w:tcPr>
            <w:tcW w:w="118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Name: </w:t>
            </w:r>
          </w:p>
        </w:tc>
        <w:tc>
          <w:tcPr>
            <w:tcW w:w="470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Russel T. Otzenberger</w:t>
            </w:r>
          </w:p>
        </w:tc>
      </w:tr>
      <w:tr>
        <w:trPr/>
        <w:tc>
          <w:tcPr>
            <w:tcW w:w="75" w:type="dxa"/>
            <w:tcBorders/>
            <w:vAlign w:val="center"/>
          </w:tcPr>
          <w:p>
            <w:pPr>
              <w:pStyle w:val="TableContents"/>
              <w:bidi w:val="0"/>
              <w:spacing w:before="0" w:after="283"/>
              <w:jc w:val="left"/>
              <w:rPr/>
            </w:pPr>
            <w:r>
              <w:rPr/>
              <w:t> </w:t>
            </w:r>
          </w:p>
        </w:tc>
        <w:tc>
          <w:tcPr>
            <w:tcW w:w="118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Title: </w:t>
            </w:r>
          </w:p>
        </w:tc>
        <w:tc>
          <w:tcPr>
            <w:tcW w:w="470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Assistant Vice President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Supplemental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(Face of 2032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GLOBAL NOTE IS HELD BY THE DEPOSITARY (AS DEFINED IN THE SUPPLEMENTAL INDENTURE HEREINAFTER REFERRED TO GOVERNING THIS NOTE) OR ITS NOMINEE IN CUSTODY FOR THE BENEFIT OF THE BENEFICIAL OWNERS HEREOF, AND IS NOT TRANSFERABLE TO ANY PERSON UNDER ANY CIRCUMSTANCES EXCEPT THAT (I) THE TRUSTEE MAY MAKE SUCH NOTATIONS HEREON AS MAY BE REQUIRED PURSUANT TO SECTION 2.2 OF THE SUPPLEMENTAL INDENTURE, (II) THIS GLOBAL NOTE MAY BE EXCHANGED IN WHOLE BUT NOT IN PART PURSUANT TO SECTION 2.2(a) OF THE SUPPLEMENTAL INDENTURE, (III) THIS GLOBAL NOTE MAY BE DELIVERED TO THE TRUSTEE FOR CANCELLATION PURSUANT TO SECTION 2.12 OF THE BASE INDENTURE HEREINAFTER REFERRED TO AND (IV) THIS GLOBAL NOTE MAY BE TRANSFERRED TO A SUCCESSOR DEPOSITARY WITH THE PRIOR WRITTEN CONSENT OF THE COMPANY HEREINAFTER REFERRED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GLOBAL NOTE IS A GLOBAL NOTE WITHIN THE MEANING OF THE SUPPLEMENTAL INDENTURE HEREINAFTER REFERRED TO AND IS REGISTERED IN THE NAME OF THE DEPOSITARY OR A NOMINEE OF THE DEPOSITARY. THIS GLOBAL NOTE IS EXCHANGEABLE FOR NOTES REGISTERED IN THE NAME OF A PERSON OTHER THAN THE DEPOSITARY OR ITS NOMINEE ONLY IN THE LIMITED CIRCUMSTANCES DESCRIBED IN THE INDENTURE, AND MAY NOT BE TRANSFERRED EXCEPT AS A WHOLE BY THE DEPOSITARY TO A NOMINEE OF THE DEPOSITARY, BY A NOMINEE OF THE DEPOSITARY TO THE DEPOSITARY OR ANOTHER NOMINEE OF THE DEPOSITARY OR BY THE DEPOSITARY OR ANY SUCH NOMINEE TO A SUCCESSOR DEPOSITARY OR A NOMINEE OF SUCH A SUCCESSOR DEPOSITARY. UNLESS THIS CERTIFICATE IS PRESENTED BY AN AUTHORIZED REPRESENTATIVE OF THE DEPOSITORY TRUST COMPANY (570 WASHINGTON BOULEVARD, JERSEY CITY, NEW JERSEY) (“</w:t>
      </w:r>
      <w:r>
        <w:rPr>
          <w:rFonts w:ascii="Times New Roman;Times;Serif" w:hAnsi="Times New Roman;Times;Serif"/>
          <w:b/>
          <w:i/>
          <w:caps w:val="false"/>
          <w:smallCaps w:val="false"/>
          <w:sz w:val="20"/>
        </w:rPr>
        <w:t>DTC</w:t>
      </w:r>
      <w:r>
        <w:rPr>
          <w:rFonts w:ascii="Times New Roman;Times;Serif" w:hAnsi="Times New Roman;Times;Serif"/>
          <w:b w:val="false"/>
          <w:i w:val="false"/>
          <w:caps w:val="false"/>
          <w:smallCaps w:val="false"/>
          <w:sz w:val="20"/>
        </w:rPr>
        <w:t>”) TO THE COMPANY OR ITS AGENT FOR REGISTRATION OF TRANSFER, EXCHANGE OR PAYMENT, AND ANY CERTIFICATE ISSUED IS REGISTERED IN THE NAME OF CEDE &amp; CO. OR SUCH OTHER NAME AS MAY BE REQUESTED BY AN AUTHORIZED REPRESENTATIVE OF DTC (AND ANY PAYMENT IS MADE TO CEDE &amp; CO. OR SUCH OTHER ENTITY AS MAY BE REQUESTED BY AN AUTHORIZED REPRESENTATIVE OF DTC), ANY TRANSFER, PLEDGE OR OTHER USE HEREOF FOR VALUE OR OTHERWISE BY OR TO ANY PERSON IS WRONGFUL INASMUCH AS THE REGISTERED OWNER HEREOF, CEDE &amp; CO., HAS AN INTEREST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CUSIP:[_______]</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ISIN:[_______]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MICRON TECHNOLOGY,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5.65% Senior Note due 2032</w:t>
      </w:r>
    </w:p>
    <w:p>
      <w:pPr>
        <w:pStyle w:val="TextBody"/>
        <w:bidi w:val="0"/>
        <w:spacing w:before="0" w:after="0"/>
        <w:ind w:left="0" w:right="0" w:hanging="0"/>
        <w:jc w:val="left"/>
        <w:rPr>
          <w:caps w:val="false"/>
          <w:smallCaps w:val="false"/>
        </w:rPr>
      </w:pPr>
      <w:r>
        <w:rPr>
          <w:caps w:val="false"/>
          <w:smallCaps w:val="false"/>
        </w:rPr>
        <w:t> </w:t>
      </w:r>
    </w:p>
    <w:tbl>
      <w:tblPr>
        <w:tblW w:w="2200" w:type="dxa"/>
        <w:jc w:val="left"/>
        <w:tblInd w:w="0" w:type="dxa"/>
        <w:tblLayout w:type="fixed"/>
        <w:tblCellMar>
          <w:top w:w="0" w:type="dxa"/>
          <w:left w:w="0" w:type="dxa"/>
          <w:bottom w:w="0" w:type="dxa"/>
          <w:right w:w="0" w:type="dxa"/>
        </w:tblCellMar>
      </w:tblPr>
      <w:tblGrid>
        <w:gridCol w:w="1010"/>
        <w:gridCol w:w="1190"/>
      </w:tblGrid>
      <w:tr>
        <w:trPr/>
        <w:tc>
          <w:tcPr>
            <w:tcW w:w="10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 [_____]</w:t>
            </w:r>
          </w:p>
        </w:tc>
        <w:tc>
          <w:tcPr>
            <w:tcW w:w="1190" w:type="dxa"/>
            <w:tcBorders/>
            <w:vAlign w:val="center"/>
          </w:tcPr>
          <w:p>
            <w:pPr>
              <w:pStyle w:val="TableContents"/>
              <w:bidi w:val="0"/>
              <w:spacing w:before="0" w:after="283"/>
              <w:jc w:val="right"/>
              <w:rPr>
                <w:sz w:val="20"/>
              </w:rPr>
            </w:pPr>
            <w:r>
              <w:rPr>
                <w:sz w:val="20"/>
              </w:rPr>
              <w:t>$__________</w:t>
            </w:r>
          </w:p>
        </w:tc>
      </w:tr>
    </w:tbl>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revised by the Schedule of Increases and</w:t>
        <w:br/>
        <w:t>Decreases in Global Note attached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Micron Technology, Inc., a Delaware corporation, promises to pay to CEDE &amp; CO. or registered assigns, the principal sum of $500,000,000 (as revised by the Schedule of Increases and Decreases in Global Note attached hereto) on November 1, 2032.</w:t>
      </w:r>
    </w:p>
    <w:p>
      <w:pPr>
        <w:pStyle w:val="TextBody"/>
        <w:bidi w:val="0"/>
        <w:spacing w:before="0" w:after="0"/>
        <w:ind w:left="0" w:right="0" w:hanging="0"/>
        <w:jc w:val="left"/>
        <w:rPr>
          <w:caps w:val="false"/>
          <w:smallCaps w:val="false"/>
        </w:rPr>
      </w:pPr>
      <w:r>
        <w:rPr>
          <w:caps w:val="false"/>
          <w:smallCaps w:val="false"/>
        </w:rPr>
        <w:t> </w:t>
      </w:r>
    </w:p>
    <w:tbl>
      <w:tblPr>
        <w:tblW w:w="3940" w:type="dxa"/>
        <w:jc w:val="left"/>
        <w:tblInd w:w="0" w:type="dxa"/>
        <w:tblLayout w:type="fixed"/>
        <w:tblCellMar>
          <w:top w:w="0" w:type="dxa"/>
          <w:left w:w="0" w:type="dxa"/>
          <w:bottom w:w="0" w:type="dxa"/>
          <w:right w:w="0" w:type="dxa"/>
        </w:tblCellMar>
      </w:tblPr>
      <w:tblGrid>
        <w:gridCol w:w="1940"/>
        <w:gridCol w:w="2000"/>
      </w:tblGrid>
      <w:tr>
        <w:trPr/>
        <w:tc>
          <w:tcPr>
            <w:tcW w:w="19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Payment Dates:</w:t>
            </w:r>
          </w:p>
        </w:tc>
        <w:tc>
          <w:tcPr>
            <w:tcW w:w="20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1 and November 1</w:t>
            </w:r>
          </w:p>
        </w:tc>
      </w:tr>
      <w:tr>
        <w:trPr/>
        <w:tc>
          <w:tcPr>
            <w:tcW w:w="3940"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19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Record Dates:</w:t>
            </w:r>
          </w:p>
        </w:tc>
        <w:tc>
          <w:tcPr>
            <w:tcW w:w="20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April 15 and October 15</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A-1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w:t>
      </w:r>
    </w:p>
    <w:tbl>
      <w:tblPr>
        <w:tblW w:w="2704" w:type="dxa"/>
        <w:jc w:val="left"/>
        <w:tblInd w:w="0" w:type="dxa"/>
        <w:tblLayout w:type="fixed"/>
        <w:tblCellMar>
          <w:top w:w="0" w:type="dxa"/>
          <w:left w:w="0" w:type="dxa"/>
          <w:bottom w:w="0" w:type="dxa"/>
          <w:right w:w="0" w:type="dxa"/>
        </w:tblCellMar>
      </w:tblPr>
      <w:tblGrid>
        <w:gridCol w:w="75"/>
        <w:gridCol w:w="1537"/>
        <w:gridCol w:w="1092"/>
      </w:tblGrid>
      <w:tr>
        <w:trPr/>
        <w:tc>
          <w:tcPr>
            <w:tcW w:w="75" w:type="dxa"/>
            <w:tcBorders/>
            <w:vAlign w:val="center"/>
          </w:tcPr>
          <w:p>
            <w:pPr>
              <w:pStyle w:val="TableContents"/>
              <w:bidi w:val="0"/>
              <w:spacing w:before="0" w:after="283"/>
              <w:jc w:val="left"/>
              <w:rPr/>
            </w:pPr>
            <w:r>
              <w:rPr/>
              <w:t> </w:t>
            </w:r>
          </w:p>
        </w:tc>
        <w:tc>
          <w:tcPr>
            <w:tcW w:w="262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MICRON TECHNOLOGY, INC.</w:t>
            </w:r>
          </w:p>
        </w:tc>
      </w:tr>
      <w:tr>
        <w:trPr/>
        <w:tc>
          <w:tcPr>
            <w:tcW w:w="75" w:type="dxa"/>
            <w:tcBorders/>
            <w:vAlign w:val="center"/>
          </w:tcPr>
          <w:p>
            <w:pPr>
              <w:pStyle w:val="TableContents"/>
              <w:bidi w:val="0"/>
              <w:spacing w:before="0" w:after="283"/>
              <w:jc w:val="left"/>
              <w:rPr/>
            </w:pPr>
            <w:r>
              <w:rPr/>
              <w:t> </w:t>
            </w:r>
          </w:p>
        </w:tc>
        <w:tc>
          <w:tcPr>
            <w:tcW w:w="262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53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092"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53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092"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53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092"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A-2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TRUSTEE’S CERTIFICATE OF AUTHENTICATION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is one of the 2032 Notes referred to in the within-mentioned Supplemental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BANK TRUST COMPANY, NATIONAL ASSOCIATION as Trustee</w:t>
      </w:r>
    </w:p>
    <w:p>
      <w:pPr>
        <w:pStyle w:val="TextBody"/>
        <w:bidi w:val="0"/>
        <w:spacing w:before="0" w:after="0"/>
        <w:ind w:left="0" w:right="0" w:hanging="0"/>
        <w:jc w:val="left"/>
        <w:rPr>
          <w:caps w:val="false"/>
          <w:smallCaps w:val="false"/>
        </w:rPr>
      </w:pPr>
      <w:r>
        <w:rPr>
          <w:caps w:val="false"/>
          <w:smallCaps w:val="false"/>
        </w:rPr>
        <w:t> </w:t>
      </w:r>
    </w:p>
    <w:tbl>
      <w:tblPr>
        <w:tblW w:w="1864" w:type="dxa"/>
        <w:jc w:val="left"/>
        <w:tblInd w:w="0" w:type="dxa"/>
        <w:tblLayout w:type="fixed"/>
        <w:tblCellMar>
          <w:top w:w="0" w:type="dxa"/>
          <w:left w:w="0" w:type="dxa"/>
          <w:bottom w:w="0" w:type="dxa"/>
          <w:right w:w="0" w:type="dxa"/>
        </w:tblCellMar>
      </w:tblPr>
      <w:tblGrid>
        <w:gridCol w:w="599"/>
        <w:gridCol w:w="1190"/>
        <w:gridCol w:w="75"/>
      </w:tblGrid>
      <w:tr>
        <w:trPr/>
        <w:tc>
          <w:tcPr>
            <w:tcW w:w="59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19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178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Signatory</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A-3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(Back of 2032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MICRON TECHNOLOGY,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5.65% Senior Note due 2032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Capitalized terms used herein have the meanings assigned to them in the Indenture referred to below unless otherwise indicated.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w:t>
      </w:r>
      <w:r>
        <w:rPr>
          <w:rFonts w:ascii="Times New Roman;Times;Serif" w:hAnsi="Times New Roman;Times;Serif"/>
          <w:b w:val="false"/>
          <w:i/>
          <w:caps w:val="false"/>
          <w:smallCaps w:val="false"/>
          <w:sz w:val="20"/>
        </w:rPr>
        <w:t>INTEREST</w:t>
      </w:r>
      <w:r>
        <w:rPr>
          <w:rFonts w:ascii="Times New Roman;Times;Serif" w:hAnsi="Times New Roman;Times;Serif"/>
          <w:b w:val="false"/>
          <w:i w:val="false"/>
          <w:caps w:val="false"/>
          <w:smallCaps w:val="false"/>
          <w:sz w:val="20"/>
        </w:rPr>
        <w:t>. Micron Technology, Inc., a Delaware corporation (the “</w:t>
      </w:r>
      <w:r>
        <w:rPr>
          <w:rFonts w:ascii="Times New Roman;Times;Serif" w:hAnsi="Times New Roman;Times;Serif"/>
          <w:b/>
          <w:i/>
          <w:caps w:val="false"/>
          <w:smallCaps w:val="false"/>
          <w:sz w:val="20"/>
        </w:rPr>
        <w:t>Company</w:t>
      </w:r>
      <w:r>
        <w:rPr>
          <w:rFonts w:ascii="Times New Roman;Times;Serif" w:hAnsi="Times New Roman;Times;Serif"/>
          <w:b w:val="false"/>
          <w:i w:val="false"/>
          <w:caps w:val="false"/>
          <w:smallCaps w:val="false"/>
          <w:sz w:val="20"/>
        </w:rPr>
        <w:t>”), promises to pay interest on the principal amount of this Note at 5.65% per annum. The Company will pay interest semi-annually on May 1 and November 1 of each year, commencing November 1, 2025, or if any such day is not a Business Day, on the next succeeding Business Day as if made on the date such payment was due, and no additional interest will accrue on the amount so payable for that period (each an “</w:t>
      </w:r>
      <w:r>
        <w:rPr>
          <w:rFonts w:ascii="Times New Roman;Times;Serif" w:hAnsi="Times New Roman;Times;Serif"/>
          <w:b/>
          <w:i/>
          <w:caps w:val="false"/>
          <w:smallCaps w:val="false"/>
          <w:sz w:val="20"/>
        </w:rPr>
        <w:t>Interest Payment Date</w:t>
      </w:r>
      <w:r>
        <w:rPr>
          <w:rFonts w:ascii="Times New Roman;Times;Serif" w:hAnsi="Times New Roman;Times;Serif"/>
          <w:b w:val="false"/>
          <w:i w:val="false"/>
          <w:caps w:val="false"/>
          <w:smallCaps w:val="false"/>
          <w:sz w:val="20"/>
        </w:rPr>
        <w:t xml:space="preserve">”). Interest on the 2032 Notes will accrue from the most recent date to which interest has been paid or provided for or, if no interest has been paid or provided for, from April 29, 2025;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if there is no existing Default in the payment of interest, and if this 2032 Note is authenticated between a record date referred to on the face hereof and the next succeeding Interest Payment Date, interest will accrue from such next succeeding Interest Payment Date. The Company will pay interest (including post-petition interest in any proceeding under any Bankruptcy Law to the extent allowable) on overdue principal at the rate equal to the then applicable interest rate on the 2032 Notes to the extent lawful; it will pay interest (including post-petition interest in any proceeding under any Bankruptcy Law to the extent allowable) on overdue installments of interest at the same rate to the extent lawful. Interest will be computed on the basis of a 360-day year of twelve 30-day months.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w:t>
      </w:r>
      <w:r>
        <w:rPr>
          <w:rFonts w:ascii="Times New Roman;Times;Serif" w:hAnsi="Times New Roman;Times;Serif"/>
          <w:b w:val="false"/>
          <w:i/>
          <w:caps w:val="false"/>
          <w:smallCaps w:val="false"/>
          <w:sz w:val="20"/>
        </w:rPr>
        <w:t>METHOD OF PAYMENT</w:t>
      </w:r>
      <w:r>
        <w:rPr>
          <w:rFonts w:ascii="Times New Roman;Times;Serif" w:hAnsi="Times New Roman;Times;Serif"/>
          <w:b w:val="false"/>
          <w:i w:val="false"/>
          <w:caps w:val="false"/>
          <w:smallCaps w:val="false"/>
          <w:sz w:val="20"/>
        </w:rPr>
        <w:t xml:space="preserve">. The Company will pay interest on the 2032 Notes (except defaulted interest) to the persons who are registered Holders of 2032 Notes at the close of business on the April 15 and October 15 (whether or not a Business Day) next preceding the Interest Payment Date, even if such 2032 Notes are canceled after such record date and on or before such Interest Payment Date, except as provided in Section 2.13 of the Base Indenture with respect to defaulted interest. Principal and interest on the 2032 Notes will be made by (a) check mailed to the Holders of the 2032 Notes at their respective addresses set forth in the register of Holders of 2032 Notes or (b) with respect to a Holder with an aggregate principal amount in excess of $5,000,000, by wire transfer in immediately available funds to the place and account designated in writing at least 15 days prior to the Interest Payment Date by the person entitled to the payment as specified in the security register;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payment by wire transfer of immediately available funds will be required with respect to principal of and interest on all Global Securities and all other 2032 Notes the Holders of which will have provided wire transfer instructions to the Company or the Paying Agent at least 15 calendar days prior to the applicable payment date. Such payment will be in such coin or currency of the United States of America as at the time of payment is legal tender for payment of public and private debts.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w:t>
      </w:r>
      <w:r>
        <w:rPr>
          <w:rFonts w:ascii="Times New Roman;Times;Serif" w:hAnsi="Times New Roman;Times;Serif"/>
          <w:b w:val="false"/>
          <w:i/>
          <w:caps w:val="false"/>
          <w:smallCaps w:val="false"/>
          <w:sz w:val="20"/>
        </w:rPr>
        <w:t>PAYING AGENT AND REGISTRAR</w:t>
      </w:r>
      <w:r>
        <w:rPr>
          <w:rFonts w:ascii="Times New Roman;Times;Serif" w:hAnsi="Times New Roman;Times;Serif"/>
          <w:b w:val="false"/>
          <w:i w:val="false"/>
          <w:caps w:val="false"/>
          <w:smallCaps w:val="false"/>
          <w:sz w:val="20"/>
        </w:rPr>
        <w:t>. Initially, U.S. Bank Trust Company, National Association, the Trustee under the Indenture, will act as Paying Agent and Registrar. The Company may change any Paying Agent or Registrar without notice to any Holder. The Company or any of its Subsidiaries may act in any such capacity.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A-4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w:t>
      </w:r>
      <w:r>
        <w:rPr>
          <w:rFonts w:ascii="Times New Roman;Times;Serif" w:hAnsi="Times New Roman;Times;Serif"/>
          <w:b w:val="false"/>
          <w:i/>
          <w:caps w:val="false"/>
          <w:smallCaps w:val="false"/>
          <w:sz w:val="20"/>
        </w:rPr>
        <w:t>INDENTURE</w:t>
      </w:r>
      <w:r>
        <w:rPr>
          <w:rFonts w:ascii="Times New Roman;Times;Serif" w:hAnsi="Times New Roman;Times;Serif"/>
          <w:b w:val="false"/>
          <w:i w:val="false"/>
          <w:caps w:val="false"/>
          <w:smallCaps w:val="false"/>
          <w:sz w:val="20"/>
        </w:rPr>
        <w:t>. This 2032 Note is one of a duly authenticated Series of Securities of the Company issued and to be issued in one or more Series under an indenture (the “</w:t>
      </w:r>
      <w:r>
        <w:rPr>
          <w:rFonts w:ascii="Times New Roman;Times;Serif" w:hAnsi="Times New Roman;Times;Serif"/>
          <w:b/>
          <w:i/>
          <w:caps w:val="false"/>
          <w:smallCaps w:val="false"/>
          <w:sz w:val="20"/>
        </w:rPr>
        <w:t>Base Indenture</w:t>
      </w:r>
      <w:r>
        <w:rPr>
          <w:rFonts w:ascii="Times New Roman;Times;Serif" w:hAnsi="Times New Roman;Times;Serif"/>
          <w:b w:val="false"/>
          <w:i w:val="false"/>
          <w:caps w:val="false"/>
          <w:smallCaps w:val="false"/>
          <w:sz w:val="20"/>
        </w:rPr>
        <w:t>”), dated as of February 6, 2019, between the Company and U.S. Bank Trust Company, National Association, as trustee (the “Trustee”) (as successor in interest to U.S. Bank National Association), as amended by the Tenth Supplemental Indenture, dated as of April 29, 2025, between the Company and the Trustee (the “</w:t>
      </w:r>
      <w:r>
        <w:rPr>
          <w:rFonts w:ascii="Times New Roman;Times;Serif" w:hAnsi="Times New Roman;Times;Serif"/>
          <w:b/>
          <w:i/>
          <w:caps w:val="false"/>
          <w:smallCaps w:val="false"/>
          <w:sz w:val="20"/>
        </w:rPr>
        <w:t>Supplemental Indenture</w:t>
      </w:r>
      <w:r>
        <w:rPr>
          <w:rFonts w:ascii="Times New Roman;Times;Serif" w:hAnsi="Times New Roman;Times;Serif"/>
          <w:b w:val="false"/>
          <w:i w:val="false"/>
          <w:caps w:val="false"/>
          <w:smallCaps w:val="false"/>
          <w:sz w:val="20"/>
        </w:rPr>
        <w:t>” and, together with the Base Indenture, the “</w:t>
      </w:r>
      <w:r>
        <w:rPr>
          <w:rFonts w:ascii="Times New Roman;Times;Serif" w:hAnsi="Times New Roman;Times;Serif"/>
          <w:b/>
          <w:i/>
          <w:caps w:val="false"/>
          <w:smallCaps w:val="false"/>
          <w:sz w:val="20"/>
        </w:rPr>
        <w:t>Indenture</w:t>
      </w:r>
      <w:r>
        <w:rPr>
          <w:rFonts w:ascii="Times New Roman;Times;Serif" w:hAnsi="Times New Roman;Times;Serif"/>
          <w:b w:val="false"/>
          <w:i w:val="false"/>
          <w:caps w:val="false"/>
          <w:smallCaps w:val="false"/>
          <w:sz w:val="20"/>
        </w:rPr>
        <w:t>”). The terms of the 2032 Notes include those stated in the Indenture and those made part of the Indenture by reference to the TIA. The 2032 Notes are subject to all such terms, and Holders are referred to the Indenture and, to the extent applicable, the TIA for a statement of such terms. To the extent any provision of this 2032 Note conflicts with the express provisions of the Indenture, the provisions of the Indenture will govern and be controlling, and to the extent any provision of the Base Indenture conflicts with the express provisions of the Supplemental Indenture, the provisions of the Supplemental Indenture will govern and be controlling. The Company will be entitled to issue Additional 2032 Notes pursuant to Section 2.3 of the Supplemental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w:t>
      </w:r>
      <w:r>
        <w:rPr>
          <w:rFonts w:ascii="Times New Roman;Times;Serif" w:hAnsi="Times New Roman;Times;Serif"/>
          <w:b w:val="false"/>
          <w:i/>
          <w:caps w:val="false"/>
          <w:smallCaps w:val="false"/>
          <w:sz w:val="20"/>
        </w:rPr>
        <w:t>OPTIONAL REDEMPTION</w:t>
      </w:r>
      <w:r>
        <w:rPr>
          <w:rFonts w:ascii="Times New Roman;Times;Serif" w:hAnsi="Times New Roman;Times;Serif"/>
          <w:b w:val="false"/>
          <w:i w:val="false"/>
          <w:caps w:val="false"/>
          <w:smallCaps w:val="false"/>
          <w:sz w:val="20"/>
        </w:rPr>
        <w:t>. The 2032 Notes are redeemable prior to the maturity date as provided in the Indenture. In the event of redemption of this 2032 Note in part only, a new 2032 Note or Notes in an authorized denomination for the unredeemed portion hereof will be issued in the name of the Holder hereof upon the cancellation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w:t>
      </w:r>
      <w:r>
        <w:rPr>
          <w:rFonts w:ascii="Times New Roman;Times;Serif" w:hAnsi="Times New Roman;Times;Serif"/>
          <w:b w:val="false"/>
          <w:i/>
          <w:caps w:val="false"/>
          <w:smallCaps w:val="false"/>
          <w:sz w:val="20"/>
        </w:rPr>
        <w:t xml:space="preserve">MANDATORY REDEMPTION. </w:t>
      </w:r>
      <w:r>
        <w:rPr>
          <w:rFonts w:ascii="Times New Roman;Times;Serif" w:hAnsi="Times New Roman;Times;Serif"/>
          <w:b w:val="false"/>
          <w:i w:val="false"/>
          <w:caps w:val="false"/>
          <w:smallCaps w:val="false"/>
          <w:sz w:val="20"/>
        </w:rPr>
        <w:t>The Company is not required to make any mandatory redemption or sinking fund payments with respect to the 2032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w:t>
      </w:r>
      <w:r>
        <w:rPr>
          <w:rFonts w:ascii="Times New Roman;Times;Serif" w:hAnsi="Times New Roman;Times;Serif"/>
          <w:b w:val="false"/>
          <w:i/>
          <w:caps w:val="false"/>
          <w:smallCaps w:val="false"/>
          <w:sz w:val="20"/>
        </w:rPr>
        <w:t>OFFER TO PURCHASE UPON CHANGE OF CONTROL TRIGGERING EVENT</w:t>
      </w:r>
      <w:r>
        <w:rPr>
          <w:rFonts w:ascii="Times New Roman;Times;Serif" w:hAnsi="Times New Roman;Times;Serif"/>
          <w:b w:val="false"/>
          <w:i w:val="false"/>
          <w:caps w:val="false"/>
          <w:smallCaps w:val="false"/>
          <w:sz w:val="20"/>
        </w:rPr>
        <w:t>. If a Change of Control Triggering Event with respect to the 2032 Notes occurs, the Company may be required to make an offer to purchase the 2032 Notes in the manner and with the effect provided in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w:t>
      </w:r>
      <w:r>
        <w:rPr>
          <w:rFonts w:ascii="Times New Roman;Times;Serif" w:hAnsi="Times New Roman;Times;Serif"/>
          <w:b w:val="false"/>
          <w:i/>
          <w:caps w:val="false"/>
          <w:smallCaps w:val="false"/>
          <w:sz w:val="20"/>
        </w:rPr>
        <w:t>DENOMINATIONS, TRANSFER, EXCHANGE</w:t>
      </w:r>
      <w:r>
        <w:rPr>
          <w:rFonts w:ascii="Times New Roman;Times;Serif" w:hAnsi="Times New Roman;Times;Serif"/>
          <w:b w:val="false"/>
          <w:i w:val="false"/>
          <w:caps w:val="false"/>
          <w:smallCaps w:val="false"/>
          <w:sz w:val="20"/>
        </w:rPr>
        <w:t>. The 2032 Notes are in registered form without coupons in minimum denominations of $2,000 and integral multiples of $1,000 in excess thereof. 2032 Notes may be transferred or exchanged as provided in the Indenture. The Registrar and the Trustee may require a Holder, among other things, to furnish appropriate endorsements and transfer documents and the Company or the Trustee may require a Holder to pay any taxes and fees required by law or permitted by the Indenture. The Company need not exchange or transfer any 2032 Note or portion of a 2032 Note selected for redemption, except for the unredeemed portion of any 2032 Note being redeemed in part. Also, neither the Trustee nor the Company need exchange or register the transfer of any 2032 Notes for a period of 15 days before the day of any selection of 2032 Notes to be redeemed or during the period between a record date and the corresponding Interest Payment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w:t>
      </w:r>
      <w:r>
        <w:rPr>
          <w:rFonts w:ascii="Times New Roman;Times;Serif" w:hAnsi="Times New Roman;Times;Serif"/>
          <w:b w:val="false"/>
          <w:i/>
          <w:caps w:val="false"/>
          <w:smallCaps w:val="false"/>
          <w:sz w:val="20"/>
        </w:rPr>
        <w:t>PERSONS DEEMED OWNERS</w:t>
      </w:r>
      <w:r>
        <w:rPr>
          <w:rFonts w:ascii="Times New Roman;Times;Serif" w:hAnsi="Times New Roman;Times;Serif"/>
          <w:b w:val="false"/>
          <w:i w:val="false"/>
          <w:caps w:val="false"/>
          <w:smallCaps w:val="false"/>
          <w:sz w:val="20"/>
        </w:rPr>
        <w:t>. Subject to the record date provisions hereof, the registered Holder of a 2032 Note shall be treated as its owner for all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w:t>
      </w:r>
      <w:r>
        <w:rPr>
          <w:rFonts w:ascii="Times New Roman;Times;Serif" w:hAnsi="Times New Roman;Times;Serif"/>
          <w:b w:val="false"/>
          <w:i/>
          <w:caps w:val="false"/>
          <w:smallCaps w:val="false"/>
          <w:sz w:val="20"/>
        </w:rPr>
        <w:t>AMENDMENT, SUPPLEMENT AND WAIVER</w:t>
      </w:r>
      <w:r>
        <w:rPr>
          <w:rFonts w:ascii="Times New Roman;Times;Serif" w:hAnsi="Times New Roman;Times;Serif"/>
          <w:b w:val="false"/>
          <w:i w:val="false"/>
          <w:caps w:val="false"/>
          <w:smallCaps w:val="false"/>
          <w:sz w:val="20"/>
        </w:rPr>
        <w:t>. Subject to certain exceptions, the Indenture or the 2032 Notes may be amended or supplemented with the consent of the Holders of at least a majority in principal amount of the 2032 Notes then outstanding, including, without limitation, consents obtained in connection with a tender offer or exchange offer for the 2032 Notes, and any existing default or compliance with any provision of the Indenture or the 2032 Notes, may be waived with the consent of the Holders of a majority in principal amount of the then outstanding 2032 Notes, including, without limitation, consents obtained in connection with a tender offer or exchange offer for the 2032 Notes. The Indenture or the 2032 Notes may be amended or supplemented without the consent of any Holder of a 2032 Note as described in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w:t>
      </w:r>
      <w:r>
        <w:rPr>
          <w:rFonts w:ascii="Times New Roman;Times;Serif" w:hAnsi="Times New Roman;Times;Serif"/>
          <w:b w:val="false"/>
          <w:i/>
          <w:caps w:val="false"/>
          <w:smallCaps w:val="false"/>
          <w:sz w:val="20"/>
        </w:rPr>
        <w:t>DEFAULTS AND REMEDIES</w:t>
      </w:r>
      <w:r>
        <w:rPr>
          <w:rFonts w:ascii="Times New Roman;Times;Serif" w:hAnsi="Times New Roman;Times;Serif"/>
          <w:b w:val="false"/>
          <w:i w:val="false"/>
          <w:caps w:val="false"/>
          <w:smallCaps w:val="false"/>
          <w:sz w:val="20"/>
        </w:rPr>
        <w:t>. If an Event of Default with respect to the 2032 Notes shall occur and be continuing, the principal of, and any accrued and unpaid interest on, the outstanding 2032 Notes may be declared due and payable in the manner and with the effect provided in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A-5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w:t>
      </w:r>
      <w:r>
        <w:rPr>
          <w:rFonts w:ascii="Times New Roman;Times;Serif" w:hAnsi="Times New Roman;Times;Serif"/>
          <w:b w:val="false"/>
          <w:i/>
          <w:caps w:val="false"/>
          <w:smallCaps w:val="false"/>
          <w:sz w:val="20"/>
        </w:rPr>
        <w:t>TRUSTEE DEALINGS WITH COMPANY</w:t>
      </w:r>
      <w:r>
        <w:rPr>
          <w:rFonts w:ascii="Times New Roman;Times;Serif" w:hAnsi="Times New Roman;Times;Serif"/>
          <w:b w:val="false"/>
          <w:i w:val="false"/>
          <w:caps w:val="false"/>
          <w:smallCaps w:val="false"/>
          <w:sz w:val="20"/>
        </w:rPr>
        <w:t>. The Trustee, in its individual or any other capacity, may become the owner or pledgee of the 2032 Notes and may otherwise deal with the Company or an Affiliate of the Company with the same rights it would have if it were not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       </w:t>
      </w:r>
      <w:r>
        <w:rPr>
          <w:rFonts w:ascii="Times New Roman;Times;Serif" w:hAnsi="Times New Roman;Times;Serif"/>
          <w:b w:val="false"/>
          <w:i/>
          <w:caps w:val="false"/>
          <w:smallCaps w:val="false"/>
          <w:sz w:val="20"/>
        </w:rPr>
        <w:t>NO RECOURSE AGAINST OTHERS</w:t>
      </w:r>
      <w:r>
        <w:rPr>
          <w:rFonts w:ascii="Times New Roman;Times;Serif" w:hAnsi="Times New Roman;Times;Serif"/>
          <w:b w:val="false"/>
          <w:i w:val="false"/>
          <w:caps w:val="false"/>
          <w:smallCaps w:val="false"/>
          <w:sz w:val="20"/>
        </w:rPr>
        <w:t>. None of the Company’s past, present or future directors, officers, employees or stockholders, as such, will have any liability for any of the Company’s obligations under the 2032 Notes or the Indenture or for any claim based on, or in respect or by reason of, such obligations or their creation. By accepting a 2032 Note, each Holder waives and releases all such liability. This waiver and release is part of the consideration for the issue of the 2032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       </w:t>
      </w:r>
      <w:r>
        <w:rPr>
          <w:rFonts w:ascii="Times New Roman;Times;Serif" w:hAnsi="Times New Roman;Times;Serif"/>
          <w:b w:val="false"/>
          <w:i/>
          <w:caps w:val="false"/>
          <w:smallCaps w:val="false"/>
          <w:sz w:val="20"/>
        </w:rPr>
        <w:t>AUTHENTICATION</w:t>
      </w:r>
      <w:r>
        <w:rPr>
          <w:rFonts w:ascii="Times New Roman;Times;Serif" w:hAnsi="Times New Roman;Times;Serif"/>
          <w:b w:val="false"/>
          <w:i w:val="false"/>
          <w:caps w:val="false"/>
          <w:smallCaps w:val="false"/>
          <w:sz w:val="20"/>
        </w:rPr>
        <w:t>. This 2032 Note will not be valid until authenticated by the manual signature of the Trustee or an authenticating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       </w:t>
      </w:r>
      <w:r>
        <w:rPr>
          <w:rFonts w:ascii="Times New Roman;Times;Serif" w:hAnsi="Times New Roman;Times;Serif"/>
          <w:b w:val="false"/>
          <w:i/>
          <w:caps w:val="false"/>
          <w:smallCaps w:val="false"/>
          <w:sz w:val="20"/>
        </w:rPr>
        <w:t>ABBREVIATIONS</w:t>
      </w:r>
      <w:r>
        <w:rPr>
          <w:rFonts w:ascii="Times New Roman;Times;Serif" w:hAnsi="Times New Roman;Times;Serif"/>
          <w:b w:val="false"/>
          <w:i w:val="false"/>
          <w:caps w:val="false"/>
          <w:smallCaps w:val="false"/>
          <w:sz w:val="20"/>
        </w:rPr>
        <w:t>. Customary abbreviations may be used in the name of a Holder or an assignee, such as: TEN COM (= tenants in common), TEN ENT (= tenants by the entireties), JT TEN (= joint tenants with right of survivorship and not as tenants in common), CUST (= Custodian), and U/G/M/A (= Uniform Gifts to Minors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       </w:t>
      </w:r>
      <w:r>
        <w:rPr>
          <w:rFonts w:ascii="Times New Roman;Times;Serif" w:hAnsi="Times New Roman;Times;Serif"/>
          <w:b w:val="false"/>
          <w:i/>
          <w:caps w:val="false"/>
          <w:smallCaps w:val="false"/>
          <w:sz w:val="20"/>
        </w:rPr>
        <w:t>CUSIP NUMBERS</w:t>
      </w:r>
      <w:r>
        <w:rPr>
          <w:rFonts w:ascii="Times New Roman;Times;Serif" w:hAnsi="Times New Roman;Times;Serif"/>
          <w:b w:val="false"/>
          <w:i w:val="false"/>
          <w:caps w:val="false"/>
          <w:smallCaps w:val="false"/>
          <w:sz w:val="20"/>
        </w:rPr>
        <w:t>. The Company has caused CUSIP numbers to be printed on the 2032 Notes and the Trustee shall use CUSIP numbers in notices of redemption as a convenience to Holders. No representation is made as to the correctness of such numbers either as printed on the 2032 Notes or as contained in any notice of redemption and reliance may be placed only on the other elements of identification printed on the 2032 Notes, and any such redemption shall not be affected by any defect in or omission of such numbers. The Company will furnish to any Holder upon written request and without charge a copy of the Base Indenture and the Supplemental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Requests may be made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Micron Technology, Inc.</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8000 South Federal Way</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Boise, Idaho 83716-9632</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Chief Legal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A-6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OF INCREASES AND DECREASES IN GLOBAL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increases or decreases in this Note have been made:</w:t>
      </w:r>
    </w:p>
    <w:p>
      <w:pPr>
        <w:pStyle w:val="TextBody"/>
        <w:bidi w:val="0"/>
        <w:spacing w:before="0" w:after="0"/>
        <w:ind w:left="0" w:right="0" w:hanging="0"/>
        <w:jc w:val="left"/>
        <w:rPr>
          <w:caps w:val="false"/>
          <w:smallCaps w:val="false"/>
        </w:rPr>
      </w:pPr>
      <w:r>
        <w:rPr>
          <w:caps w:val="false"/>
          <w:smallCaps w:val="false"/>
        </w:rPr>
        <w:t> </w:t>
      </w:r>
    </w:p>
    <w:tbl>
      <w:tblPr>
        <w:tblW w:w="9925" w:type="dxa"/>
        <w:jc w:val="left"/>
        <w:tblInd w:w="0" w:type="dxa"/>
        <w:tblLayout w:type="fixed"/>
        <w:tblCellMar>
          <w:top w:w="0" w:type="dxa"/>
          <w:left w:w="0" w:type="dxa"/>
          <w:bottom w:w="28" w:type="dxa"/>
          <w:right w:w="0" w:type="dxa"/>
        </w:tblCellMar>
      </w:tblPr>
      <w:tblGrid>
        <w:gridCol w:w="1655"/>
        <w:gridCol w:w="60"/>
        <w:gridCol w:w="1895"/>
        <w:gridCol w:w="60"/>
        <w:gridCol w:w="2045"/>
        <w:gridCol w:w="60"/>
        <w:gridCol w:w="2060"/>
        <w:gridCol w:w="60"/>
        <w:gridCol w:w="2030"/>
      </w:tblGrid>
      <w:tr>
        <w:trPr/>
        <w:tc>
          <w:tcPr>
            <w:tcW w:w="1655" w:type="dxa"/>
            <w:tcBorders>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Date of decrease or</w:t>
              <w:br/>
              <w:t>increase</w:t>
            </w:r>
          </w:p>
        </w:tc>
        <w:tc>
          <w:tcPr>
            <w:tcW w:w="60" w:type="dxa"/>
            <w:tcBorders/>
            <w:tcMar>
              <w:bottom w:w="0" w:type="dxa"/>
            </w:tcMar>
            <w:vAlign w:val="center"/>
          </w:tcPr>
          <w:p>
            <w:pPr>
              <w:pStyle w:val="TableContents"/>
              <w:bidi w:val="0"/>
              <w:spacing w:before="0" w:after="283"/>
              <w:jc w:val="left"/>
              <w:rPr/>
            </w:pPr>
            <w:r>
              <w:rPr/>
              <w:t> </w:t>
            </w:r>
          </w:p>
        </w:tc>
        <w:tc>
          <w:tcPr>
            <w:tcW w:w="1895"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Amount of decrease in</w:t>
              <w:br/>
              <w:t>principal amount of</w:t>
              <w:br/>
              <w:t>this Note</w:t>
            </w:r>
          </w:p>
        </w:tc>
        <w:tc>
          <w:tcPr>
            <w:tcW w:w="60" w:type="dxa"/>
            <w:tcBorders/>
            <w:tcMar>
              <w:bottom w:w="0" w:type="dxa"/>
            </w:tcMar>
            <w:vAlign w:val="center"/>
          </w:tcPr>
          <w:p>
            <w:pPr>
              <w:pStyle w:val="TableContents"/>
              <w:bidi w:val="0"/>
              <w:spacing w:before="0" w:after="283"/>
              <w:jc w:val="left"/>
              <w:rPr/>
            </w:pPr>
            <w:r>
              <w:rPr/>
              <w:t> </w:t>
            </w:r>
          </w:p>
        </w:tc>
        <w:tc>
          <w:tcPr>
            <w:tcW w:w="2045"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Amount of increase in</w:t>
              <w:br/>
              <w:t>principal amount of this</w:t>
              <w:br/>
              <w:t>Note</w:t>
            </w:r>
          </w:p>
        </w:tc>
        <w:tc>
          <w:tcPr>
            <w:tcW w:w="60" w:type="dxa"/>
            <w:tcBorders/>
            <w:tcMar>
              <w:bottom w:w="0" w:type="dxa"/>
            </w:tcMar>
            <w:vAlign w:val="center"/>
          </w:tcPr>
          <w:p>
            <w:pPr>
              <w:pStyle w:val="TableContents"/>
              <w:bidi w:val="0"/>
              <w:spacing w:before="0" w:after="283"/>
              <w:jc w:val="left"/>
              <w:rPr/>
            </w:pPr>
            <w:r>
              <w:rPr/>
              <w:t> </w:t>
            </w:r>
          </w:p>
        </w:tc>
        <w:tc>
          <w:tcPr>
            <w:tcW w:w="206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Principal amount of this</w:t>
              <w:br/>
              <w:t>Note following such</w:t>
              <w:br/>
              <w:t>decrease or increase</w:t>
            </w:r>
          </w:p>
        </w:tc>
        <w:tc>
          <w:tcPr>
            <w:tcW w:w="60" w:type="dxa"/>
            <w:tcBorders/>
            <w:tcMar>
              <w:bottom w:w="0" w:type="dxa"/>
            </w:tcMar>
            <w:vAlign w:val="center"/>
          </w:tcPr>
          <w:p>
            <w:pPr>
              <w:pStyle w:val="TableContents"/>
              <w:bidi w:val="0"/>
              <w:spacing w:before="0" w:after="283"/>
              <w:jc w:val="left"/>
              <w:rPr/>
            </w:pPr>
            <w:r>
              <w:rPr/>
              <w:t> </w:t>
            </w:r>
          </w:p>
        </w:tc>
        <w:tc>
          <w:tcPr>
            <w:tcW w:w="203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Signature of authorized</w:t>
              <w:br/>
              <w:t>signatory of Trustee or</w:t>
              <w:br/>
              <w:t>Security Custodian</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sz w:val="20"/>
          <w:bdr w:val="single" w:sz="8" w:space="1" w:color="000000"/>
        </w:rPr>
      </w:pPr>
      <w:r>
        <w:rPr>
          <w:sz w:val="20"/>
          <w:bdr w:val="single" w:sz="8" w:space="1" w:color="000000"/>
        </w:rPr>
        <w:t>A-7</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ASSIGNMENT FORM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assign this 2032 Note, fill in the form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or (we) assign and transfer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2032 Note to:</w:t>
      </w:r>
    </w:p>
    <w:p>
      <w:pPr>
        <w:pStyle w:val="TextBody"/>
        <w:bidi w:val="0"/>
        <w:spacing w:before="0" w:after="0"/>
        <w:ind w:left="0" w:right="0" w:hanging="0"/>
        <w:jc w:val="left"/>
        <w:rPr>
          <w:caps w:val="false"/>
          <w:smallCaps w:val="false"/>
        </w:rPr>
      </w:pPr>
      <w:r>
        <w:rPr>
          <w:caps w:val="false"/>
          <w:smallCaps w:val="false"/>
        </w:rPr>
        <w:t> </w:t>
      </w:r>
    </w:p>
    <w:p>
      <w:pPr>
        <w:pStyle w:val="TextBody"/>
        <w:pBdr>
          <w:top w:val="single" w:sz="8" w:space="1" w:color="000000"/>
        </w:pBd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(Insert assignee’s legal name)</w:t>
      </w:r>
    </w:p>
    <w:p>
      <w:pPr>
        <w:pStyle w:val="TextBody"/>
        <w:bidi w:val="0"/>
        <w:spacing w:before="0" w:after="0"/>
        <w:ind w:left="0" w:right="0" w:hanging="0"/>
        <w:jc w:val="left"/>
        <w:rPr>
          <w:caps w:val="false"/>
          <w:smallCaps w:val="false"/>
        </w:rPr>
      </w:pPr>
      <w:r>
        <w:rPr>
          <w:caps w:val="false"/>
          <w:smallCaps w:val="false"/>
        </w:rPr>
        <w:t> </w:t>
      </w:r>
    </w:p>
    <w:p>
      <w:pPr>
        <w:pStyle w:val="TextBody"/>
        <w:pBdr>
          <w:top w:val="single" w:sz="8" w:space="1" w:color="000000"/>
        </w:pBd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(Insert assignee’s soc. sec. or tax I.D. no.)</w:t>
      </w:r>
    </w:p>
    <w:p>
      <w:pPr>
        <w:pStyle w:val="TextBody"/>
        <w:bidi w:val="0"/>
        <w:spacing w:before="0" w:after="0"/>
        <w:ind w:left="0" w:right="0" w:hanging="0"/>
        <w:jc w:val="left"/>
        <w:rPr>
          <w:caps w:val="false"/>
          <w:smallCaps w:val="false"/>
        </w:rPr>
      </w:pPr>
      <w:r>
        <w:rPr>
          <w:caps w:val="false"/>
          <w:smallCaps w:val="false"/>
        </w:rPr>
        <w:t> </w:t>
      </w:r>
    </w:p>
    <w:p>
      <w:pPr>
        <w:pStyle w:val="TextBody"/>
        <w:pBdr>
          <w:top w:val="single" w:sz="8" w:space="1" w:color="000000"/>
        </w:pBd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(Print or type assignee’s name, address and zip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irrevocably appoint _____________________________________________ to transfer this 2032 Note on the books of the Company. The agent may substitute another to act for him.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_______________</w:t>
      </w:r>
    </w:p>
    <w:p>
      <w:pPr>
        <w:pStyle w:val="TextBody"/>
        <w:bidi w:val="0"/>
        <w:spacing w:before="0" w:after="0"/>
        <w:ind w:left="0" w:right="0" w:hanging="0"/>
        <w:jc w:val="left"/>
        <w:rPr>
          <w:caps w:val="false"/>
          <w:smallCaps w:val="false"/>
        </w:rPr>
      </w:pPr>
      <w:r>
        <w:rPr>
          <w:caps w:val="false"/>
          <w:smallCaps w:val="false"/>
        </w:rPr>
        <w:t> </w:t>
      </w:r>
    </w:p>
    <w:tbl>
      <w:tblPr>
        <w:tblW w:w="5375" w:type="dxa"/>
        <w:jc w:val="left"/>
        <w:tblInd w:w="0" w:type="dxa"/>
        <w:tblLayout w:type="fixed"/>
        <w:tblCellMar>
          <w:top w:w="0" w:type="dxa"/>
          <w:left w:w="0" w:type="dxa"/>
          <w:bottom w:w="0" w:type="dxa"/>
          <w:right w:w="0" w:type="dxa"/>
        </w:tblCellMar>
      </w:tblPr>
      <w:tblGrid>
        <w:gridCol w:w="75"/>
        <w:gridCol w:w="5300"/>
      </w:tblGrid>
      <w:tr>
        <w:trPr/>
        <w:tc>
          <w:tcPr>
            <w:tcW w:w="75" w:type="dxa"/>
            <w:tcBorders/>
            <w:vAlign w:val="center"/>
          </w:tcPr>
          <w:p>
            <w:pPr>
              <w:pStyle w:val="TableContents"/>
              <w:bidi w:val="0"/>
              <w:spacing w:before="0" w:after="283"/>
              <w:jc w:val="left"/>
              <w:rPr/>
            </w:pPr>
            <w:r>
              <w:rPr/>
              <w:t> </w:t>
            </w:r>
          </w:p>
        </w:tc>
        <w:tc>
          <w:tcPr>
            <w:tcW w:w="53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Your Signature:_______________________________</w:t>
            </w:r>
          </w:p>
        </w:tc>
      </w:tr>
      <w:tr>
        <w:trPr/>
        <w:tc>
          <w:tcPr>
            <w:tcW w:w="75" w:type="dxa"/>
            <w:tcBorders/>
            <w:vAlign w:val="center"/>
          </w:tcPr>
          <w:p>
            <w:pPr>
              <w:pStyle w:val="TableContents"/>
              <w:bidi w:val="0"/>
              <w:spacing w:before="0" w:after="283"/>
              <w:jc w:val="left"/>
              <w:rPr/>
            </w:pPr>
            <w:r>
              <w:rPr/>
              <w:t> </w:t>
            </w:r>
          </w:p>
        </w:tc>
        <w:tc>
          <w:tcPr>
            <w:tcW w:w="53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 exactly as your name appears on the face of this 2032 Note)</w:t>
            </w:r>
          </w:p>
        </w:tc>
      </w:tr>
      <w:tr>
        <w:trPr/>
        <w:tc>
          <w:tcPr>
            <w:tcW w:w="75" w:type="dxa"/>
            <w:tcBorders/>
            <w:vAlign w:val="center"/>
          </w:tcPr>
          <w:p>
            <w:pPr>
              <w:pStyle w:val="TableContents"/>
              <w:bidi w:val="0"/>
              <w:spacing w:before="0" w:after="283"/>
              <w:jc w:val="left"/>
              <w:rPr/>
            </w:pPr>
            <w:r>
              <w:rPr/>
              <w:t> </w:t>
            </w:r>
          </w:p>
        </w:tc>
        <w:tc>
          <w:tcPr>
            <w:tcW w:w="53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53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 Identification No: ________________________</w:t>
            </w:r>
          </w:p>
        </w:tc>
      </w:tr>
      <w:tr>
        <w:trPr/>
        <w:tc>
          <w:tcPr>
            <w:tcW w:w="75" w:type="dxa"/>
            <w:tcBorders/>
            <w:vAlign w:val="center"/>
          </w:tcPr>
          <w:p>
            <w:pPr>
              <w:pStyle w:val="TableContents"/>
              <w:bidi w:val="0"/>
              <w:spacing w:before="0" w:after="283"/>
              <w:jc w:val="left"/>
              <w:rPr/>
            </w:pPr>
            <w:r>
              <w:rPr/>
              <w:t> </w:t>
            </w:r>
          </w:p>
        </w:tc>
        <w:tc>
          <w:tcPr>
            <w:tcW w:w="53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53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Guarantee: _________________________</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Signatures must be guaranteed by an “eligible guarantor institution” meeting the requirements of the Registrar, which requirements include membership or participation in the Security Transfer Agent Medallion Program (“</w:t>
      </w:r>
      <w:r>
        <w:rPr>
          <w:rFonts w:ascii="Times New Roman;Times;Serif" w:hAnsi="Times New Roman;Times;Serif"/>
          <w:b/>
          <w:i/>
          <w:caps w:val="false"/>
          <w:smallCaps w:val="false"/>
          <w:sz w:val="20"/>
        </w:rPr>
        <w:t>STAMP</w:t>
      </w:r>
      <w:r>
        <w:rPr>
          <w:rFonts w:ascii="Times New Roman;Times;Serif" w:hAnsi="Times New Roman;Times;Serif"/>
          <w:b w:val="false"/>
          <w:i w:val="false"/>
          <w:caps w:val="false"/>
          <w:smallCaps w:val="false"/>
          <w:sz w:val="20"/>
        </w:rPr>
        <w:t>”) or such other “signature guarantee program” as may be determined by the Registrar in addition to, or in substitution for, STAMP, all in accordance with the Securities Exchange Act of 1934,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A-8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OPTION OF HOLDER TO ELECT PURCHASE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want to elect to have this 2032 Note purchased by the Company pursuant to Section 4.1 of the Supplemental Indenture, check the box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Section 4.1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want to elect to have only part of the 2032 Note purchased by the Company pursuant to Section 4.1 of the Supplemental Indenture, state the amount you elect to have purchased ($2,000 or integral multiples of $1,000 in excess thereof; provided that the unrepurchased portion of a 2032 Note must be in a minimum principal amount of $2,000): $________________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_______________</w:t>
      </w:r>
    </w:p>
    <w:p>
      <w:pPr>
        <w:pStyle w:val="TextBody"/>
        <w:bidi w:val="0"/>
        <w:spacing w:before="0" w:after="0"/>
        <w:ind w:left="0" w:right="0" w:hanging="0"/>
        <w:jc w:val="left"/>
        <w:rPr>
          <w:caps w:val="false"/>
          <w:smallCaps w:val="false"/>
        </w:rPr>
      </w:pPr>
      <w:r>
        <w:rPr>
          <w:caps w:val="false"/>
          <w:smallCaps w:val="false"/>
        </w:rPr>
        <w:t> </w:t>
      </w:r>
    </w:p>
    <w:tbl>
      <w:tblPr>
        <w:tblW w:w="5375" w:type="dxa"/>
        <w:jc w:val="left"/>
        <w:tblInd w:w="0" w:type="dxa"/>
        <w:tblLayout w:type="fixed"/>
        <w:tblCellMar>
          <w:top w:w="0" w:type="dxa"/>
          <w:left w:w="0" w:type="dxa"/>
          <w:bottom w:w="0" w:type="dxa"/>
          <w:right w:w="0" w:type="dxa"/>
        </w:tblCellMar>
      </w:tblPr>
      <w:tblGrid>
        <w:gridCol w:w="75"/>
        <w:gridCol w:w="5300"/>
      </w:tblGrid>
      <w:tr>
        <w:trPr/>
        <w:tc>
          <w:tcPr>
            <w:tcW w:w="75" w:type="dxa"/>
            <w:tcBorders/>
            <w:vAlign w:val="center"/>
          </w:tcPr>
          <w:p>
            <w:pPr>
              <w:pStyle w:val="TableContents"/>
              <w:bidi w:val="0"/>
              <w:spacing w:before="0" w:after="283"/>
              <w:jc w:val="left"/>
              <w:rPr/>
            </w:pPr>
            <w:r>
              <w:rPr/>
              <w:t> </w:t>
            </w:r>
          </w:p>
        </w:tc>
        <w:tc>
          <w:tcPr>
            <w:tcW w:w="53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Your Signature: ____________________________</w:t>
            </w:r>
          </w:p>
        </w:tc>
      </w:tr>
      <w:tr>
        <w:trPr/>
        <w:tc>
          <w:tcPr>
            <w:tcW w:w="75" w:type="dxa"/>
            <w:tcBorders/>
            <w:vAlign w:val="center"/>
          </w:tcPr>
          <w:p>
            <w:pPr>
              <w:pStyle w:val="TableContents"/>
              <w:bidi w:val="0"/>
              <w:spacing w:before="0" w:after="283"/>
              <w:jc w:val="left"/>
              <w:rPr/>
            </w:pPr>
            <w:r>
              <w:rPr/>
              <w:t> </w:t>
            </w:r>
          </w:p>
        </w:tc>
        <w:tc>
          <w:tcPr>
            <w:tcW w:w="53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 exactly as your name appears on the face of this 2032 Note)</w:t>
            </w:r>
          </w:p>
        </w:tc>
      </w:tr>
      <w:tr>
        <w:trPr/>
        <w:tc>
          <w:tcPr>
            <w:tcW w:w="75" w:type="dxa"/>
            <w:tcBorders/>
            <w:vAlign w:val="center"/>
          </w:tcPr>
          <w:p>
            <w:pPr>
              <w:pStyle w:val="TableContents"/>
              <w:bidi w:val="0"/>
              <w:spacing w:before="0" w:after="283"/>
              <w:jc w:val="left"/>
              <w:rPr/>
            </w:pPr>
            <w:r>
              <w:rPr/>
              <w:t> </w:t>
            </w:r>
          </w:p>
        </w:tc>
        <w:tc>
          <w:tcPr>
            <w:tcW w:w="53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53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 Identification No: ________________________</w:t>
            </w:r>
          </w:p>
        </w:tc>
      </w:tr>
      <w:tr>
        <w:trPr/>
        <w:tc>
          <w:tcPr>
            <w:tcW w:w="75" w:type="dxa"/>
            <w:tcBorders/>
            <w:vAlign w:val="center"/>
          </w:tcPr>
          <w:p>
            <w:pPr>
              <w:pStyle w:val="TableContents"/>
              <w:bidi w:val="0"/>
              <w:spacing w:before="0" w:after="283"/>
              <w:jc w:val="left"/>
              <w:rPr/>
            </w:pPr>
            <w:r>
              <w:rPr/>
              <w:t> </w:t>
            </w:r>
          </w:p>
        </w:tc>
        <w:tc>
          <w:tcPr>
            <w:tcW w:w="53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53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Guarantee: _________________________</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Signatures must be guaranteed by an “eligible guarantor institution” meeting the requirements of the Registrar, which requirements include membership or participation in the Security Transfer Agent Medallion Program (“</w:t>
      </w:r>
      <w:r>
        <w:rPr>
          <w:rFonts w:ascii="Times New Roman;Times;Serif" w:hAnsi="Times New Roman;Times;Serif"/>
          <w:b/>
          <w:i/>
          <w:caps w:val="false"/>
          <w:smallCaps w:val="false"/>
          <w:sz w:val="20"/>
        </w:rPr>
        <w:t>STAMP</w:t>
      </w:r>
      <w:r>
        <w:rPr>
          <w:rFonts w:ascii="Times New Roman;Times;Serif" w:hAnsi="Times New Roman;Times;Serif"/>
          <w:b w:val="false"/>
          <w:i w:val="false"/>
          <w:caps w:val="false"/>
          <w:smallCaps w:val="false"/>
          <w:sz w:val="20"/>
        </w:rPr>
        <w:t>”) or such other “signature guarantee program” as may be determined by the Registrar in addition to, or in substitution for, STAMP, all in accordance with the Securities Exchange Act of 1934,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(Face of 2035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GLOBAL NOTE IS HELD BY THE DEPOSITARY (AS DEFINED IN THE SUPPLEMENTAL INDENTURE HEREINAFTER REFERRED TO GOVERNING THIS NOTE) OR ITS NOMINEE IN CUSTODY FOR THE BENEFIT OF THE BENEFICIAL OWNERS HEREOF, AND IS NOT TRANSFERABLE TO ANY PERSON UNDER ANY CIRCUMSTANCES EXCEPT THAT (I) THE TRUSTEE MAY MAKE SUCH NOTATIONS HEREON AS MAY BE REQUIRED PURSUANT TO SECTION 2.2 OF THE SUPPLEMENTAL INDENTURE, (II) THIS GLOBAL NOTE MAY BE EXCHANGED IN WHOLE BUT NOT IN PART PURSUANT TO SECTION 2.2(a) OF THE SUPPLEMENTAL INDENTURE, (III) THIS GLOBAL NOTE MAY BE DELIVERED TO THE TRUSTEE FOR CANCELLATION PURSUANT TO SECTION 2.12 OF THE BASE INDENTURE HEREINAFTER REFERRED TO AND (IV) THIS GLOBAL NOTE MAY BE TRANSFERRED TO A SUCCESSOR DEPOSITARY WITH THE PRIOR WRITTEN CONSENT OF THE COMPANY HEREINAFTER REFERRED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GLOBAL NOTE IS A GLOBAL NOTE WITHIN THE MEANING OF THE SUPPLEMENTAL INDENTURE HEREINAFTER REFERRED TO AND IS REGISTERED IN THE NAME OF THE DEPOSITARY OR A NOMINEE OF THE DEPOSITARY. THIS GLOBAL NOTE IS EXCHANGEABLE FOR NOTES REGISTERED IN THE NAME OF A PERSON OTHER THAN THE DEPOSITARY OR ITS NOMINEE ONLY IN THE LIMITED CIRCUMSTANCES DESCRIBED IN THE INDENTURE, AND MAY NOT BE TRANSFERRED EXCEPT AS A WHOLE BY THE DEPOSITARY TO A NOMINEE OF THE DEPOSITARY, BY A NOMINEE OF THE DEPOSITARY TO THE DEPOSITARY OR ANOTHER NOMINEE OF THE DEPOSITARY OR BY THE DEPOSITARY OR ANY SUCH NOMINEE TO A SUCCESSOR DEPOSITARY OR A NOMINEE OF SUCH A SUCCESSOR DEPOSITARY. UNLESS THIS CERTIFICATE IS PRESENTED BY AN AUTHORIZED REPRESENTATIVE OF THE DEPOSITORY TRUST COMPANY (570 WASHINGTON BOULEVARD, JERSEY CITY, NEW JERSEY) (“</w:t>
      </w:r>
      <w:r>
        <w:rPr>
          <w:rFonts w:ascii="Times New Roman;Times;Serif" w:hAnsi="Times New Roman;Times;Serif"/>
          <w:b/>
          <w:i/>
          <w:caps w:val="false"/>
          <w:smallCaps w:val="false"/>
          <w:sz w:val="20"/>
        </w:rPr>
        <w:t>DTC</w:t>
      </w:r>
      <w:r>
        <w:rPr>
          <w:rFonts w:ascii="Times New Roman;Times;Serif" w:hAnsi="Times New Roman;Times;Serif"/>
          <w:b w:val="false"/>
          <w:i w:val="false"/>
          <w:caps w:val="false"/>
          <w:smallCaps w:val="false"/>
          <w:sz w:val="20"/>
        </w:rPr>
        <w:t>”) TO THE COMPANY OR ITS AGENT FOR REGISTRATION OF TRANSFER, EXCHANGE OR PAYMENT, AND ANY CERTIFICATE ISSUED IS REGISTERED IN THE NAME OF CEDE &amp; CO. OR SUCH OTHER NAME AS MAY BE REQUESTED BY AN AUTHORIZED REPRESENTATIVE OF DTC (AND ANY PAYMENT IS MADE TO CEDE &amp; CO. OR SUCH OTHER ENTITY AS MAY BE REQUESTED BY AN AUTHORIZED REPRESENTATIVE OF DTC), ANY TRANSFER, PLEDGE OR OTHER USE HEREOF FOR VALUE OR OTHERWISE BY OR TO ANY PERSON IS WRONGFUL INASMUCH AS THE REGISTERED OWNER HEREOF, CEDE &amp; CO., HAS AN INTEREST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CUSIP:[_______]</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ISIN:[_______]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MICRON TECHNOLOGY,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6.05% Senior Note due 2035</w:t>
      </w:r>
    </w:p>
    <w:p>
      <w:pPr>
        <w:pStyle w:val="TextBody"/>
        <w:bidi w:val="0"/>
        <w:spacing w:before="0" w:after="0"/>
        <w:ind w:left="0" w:right="0" w:hanging="0"/>
        <w:jc w:val="left"/>
        <w:rPr>
          <w:caps w:val="false"/>
          <w:smallCaps w:val="false"/>
        </w:rPr>
      </w:pPr>
      <w:r>
        <w:rPr>
          <w:caps w:val="false"/>
          <w:smallCaps w:val="false"/>
        </w:rPr>
        <w:t> </w:t>
      </w:r>
    </w:p>
    <w:tbl>
      <w:tblPr>
        <w:tblW w:w="2200" w:type="dxa"/>
        <w:jc w:val="left"/>
        <w:tblInd w:w="0" w:type="dxa"/>
        <w:tblLayout w:type="fixed"/>
        <w:tblCellMar>
          <w:top w:w="0" w:type="dxa"/>
          <w:left w:w="0" w:type="dxa"/>
          <w:bottom w:w="0" w:type="dxa"/>
          <w:right w:w="0" w:type="dxa"/>
        </w:tblCellMar>
      </w:tblPr>
      <w:tblGrid>
        <w:gridCol w:w="1010"/>
        <w:gridCol w:w="1190"/>
      </w:tblGrid>
      <w:tr>
        <w:trPr/>
        <w:tc>
          <w:tcPr>
            <w:tcW w:w="10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 [_____]</w:t>
            </w:r>
          </w:p>
        </w:tc>
        <w:tc>
          <w:tcPr>
            <w:tcW w:w="1190" w:type="dxa"/>
            <w:tcBorders/>
            <w:vAlign w:val="center"/>
          </w:tcPr>
          <w:p>
            <w:pPr>
              <w:pStyle w:val="TableContents"/>
              <w:bidi w:val="0"/>
              <w:spacing w:before="0" w:after="283"/>
              <w:jc w:val="right"/>
              <w:rPr>
                <w:sz w:val="20"/>
              </w:rPr>
            </w:pPr>
            <w:r>
              <w:rPr>
                <w:sz w:val="20"/>
              </w:rPr>
              <w:t>$__________</w:t>
            </w:r>
          </w:p>
        </w:tc>
      </w:tr>
    </w:tbl>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revised by the Schedule of Increases and</w:t>
        <w:br/>
        <w:t>Decreases in Global Note attached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Micron Technology, Inc., a Delaware corporation, promises to pay to CEDE &amp; CO. or registered assigns, the principal sum of $1,250,000,000 (as revised by the Schedule of Increases and Decreases in Global Note attached hereto) on November 1, 2035.</w:t>
      </w:r>
    </w:p>
    <w:p>
      <w:pPr>
        <w:pStyle w:val="TextBody"/>
        <w:bidi w:val="0"/>
        <w:spacing w:before="0" w:after="0"/>
        <w:ind w:left="0" w:right="0" w:hanging="0"/>
        <w:jc w:val="left"/>
        <w:rPr>
          <w:caps w:val="false"/>
          <w:smallCaps w:val="false"/>
        </w:rPr>
      </w:pPr>
      <w:r>
        <w:rPr>
          <w:caps w:val="false"/>
          <w:smallCaps w:val="false"/>
        </w:rPr>
        <w:t> </w:t>
      </w:r>
    </w:p>
    <w:tbl>
      <w:tblPr>
        <w:tblW w:w="3940" w:type="dxa"/>
        <w:jc w:val="left"/>
        <w:tblInd w:w="0" w:type="dxa"/>
        <w:tblLayout w:type="fixed"/>
        <w:tblCellMar>
          <w:top w:w="0" w:type="dxa"/>
          <w:left w:w="0" w:type="dxa"/>
          <w:bottom w:w="0" w:type="dxa"/>
          <w:right w:w="0" w:type="dxa"/>
        </w:tblCellMar>
      </w:tblPr>
      <w:tblGrid>
        <w:gridCol w:w="1940"/>
        <w:gridCol w:w="2000"/>
      </w:tblGrid>
      <w:tr>
        <w:trPr/>
        <w:tc>
          <w:tcPr>
            <w:tcW w:w="19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Payment Dates:</w:t>
            </w:r>
          </w:p>
        </w:tc>
        <w:tc>
          <w:tcPr>
            <w:tcW w:w="20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1 and November 1</w:t>
            </w:r>
          </w:p>
        </w:tc>
      </w:tr>
      <w:tr>
        <w:trPr/>
        <w:tc>
          <w:tcPr>
            <w:tcW w:w="3940"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19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Record Dates:</w:t>
            </w:r>
          </w:p>
        </w:tc>
        <w:tc>
          <w:tcPr>
            <w:tcW w:w="20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April 15 and October 15</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B-1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w:t>
      </w:r>
    </w:p>
    <w:p>
      <w:pPr>
        <w:pStyle w:val="TextBody"/>
        <w:bidi w:val="0"/>
        <w:spacing w:before="0" w:after="0"/>
        <w:ind w:left="0" w:right="0" w:hanging="0"/>
        <w:jc w:val="left"/>
        <w:rPr>
          <w:caps w:val="false"/>
          <w:smallCaps w:val="false"/>
        </w:rPr>
      </w:pPr>
      <w:r>
        <w:rPr>
          <w:caps w:val="false"/>
          <w:smallCaps w:val="false"/>
        </w:rPr>
        <w:t> </w:t>
      </w:r>
    </w:p>
    <w:tbl>
      <w:tblPr>
        <w:tblW w:w="2704" w:type="dxa"/>
        <w:jc w:val="left"/>
        <w:tblInd w:w="0" w:type="dxa"/>
        <w:tblLayout w:type="fixed"/>
        <w:tblCellMar>
          <w:top w:w="0" w:type="dxa"/>
          <w:left w:w="0" w:type="dxa"/>
          <w:bottom w:w="0" w:type="dxa"/>
          <w:right w:w="0" w:type="dxa"/>
        </w:tblCellMar>
      </w:tblPr>
      <w:tblGrid>
        <w:gridCol w:w="75"/>
        <w:gridCol w:w="1339"/>
        <w:gridCol w:w="1290"/>
      </w:tblGrid>
      <w:tr>
        <w:trPr/>
        <w:tc>
          <w:tcPr>
            <w:tcW w:w="75" w:type="dxa"/>
            <w:tcBorders/>
            <w:vAlign w:val="center"/>
          </w:tcPr>
          <w:p>
            <w:pPr>
              <w:pStyle w:val="TableContents"/>
              <w:bidi w:val="0"/>
              <w:spacing w:before="0" w:after="283"/>
              <w:jc w:val="left"/>
              <w:rPr/>
            </w:pPr>
            <w:r>
              <w:rPr/>
              <w:t> </w:t>
            </w:r>
          </w:p>
        </w:tc>
        <w:tc>
          <w:tcPr>
            <w:tcW w:w="262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MICRON TECHNOLOGY, INC.</w:t>
            </w:r>
          </w:p>
        </w:tc>
      </w:tr>
      <w:tr>
        <w:trPr/>
        <w:tc>
          <w:tcPr>
            <w:tcW w:w="75" w:type="dxa"/>
            <w:tcBorders/>
            <w:vAlign w:val="center"/>
          </w:tcPr>
          <w:p>
            <w:pPr>
              <w:pStyle w:val="TableContents"/>
              <w:bidi w:val="0"/>
              <w:spacing w:before="0" w:after="283"/>
              <w:jc w:val="left"/>
              <w:rPr/>
            </w:pPr>
            <w:r>
              <w:rPr/>
              <w:t> </w:t>
            </w:r>
          </w:p>
        </w:tc>
        <w:tc>
          <w:tcPr>
            <w:tcW w:w="262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33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29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262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r>
      <w:tr>
        <w:trPr/>
        <w:tc>
          <w:tcPr>
            <w:tcW w:w="75" w:type="dxa"/>
            <w:tcBorders/>
            <w:vAlign w:val="center"/>
          </w:tcPr>
          <w:p>
            <w:pPr>
              <w:pStyle w:val="TableContents"/>
              <w:bidi w:val="0"/>
              <w:spacing w:before="0" w:after="283"/>
              <w:jc w:val="left"/>
              <w:rPr/>
            </w:pPr>
            <w:r>
              <w:rPr/>
              <w:t> </w:t>
            </w:r>
          </w:p>
        </w:tc>
        <w:tc>
          <w:tcPr>
            <w:tcW w:w="262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B-2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TRUSTEE’S CERTIFICATE OF AUTHENTICATION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is one of the 2035 Notes referred to in the within-mentioned Supplemental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BANK TRUST COMPANY, NATIONAL ASSOCIATION as Trustee</w:t>
      </w:r>
    </w:p>
    <w:p>
      <w:pPr>
        <w:pStyle w:val="TextBody"/>
        <w:bidi w:val="0"/>
        <w:spacing w:before="0" w:after="0"/>
        <w:ind w:left="0" w:right="0" w:hanging="0"/>
        <w:jc w:val="left"/>
        <w:rPr>
          <w:caps w:val="false"/>
          <w:smallCaps w:val="false"/>
        </w:rPr>
      </w:pPr>
      <w:r>
        <w:rPr>
          <w:caps w:val="false"/>
          <w:smallCaps w:val="false"/>
        </w:rPr>
        <w:t> </w:t>
      </w:r>
    </w:p>
    <w:tbl>
      <w:tblPr>
        <w:tblW w:w="1864" w:type="dxa"/>
        <w:jc w:val="left"/>
        <w:tblInd w:w="0" w:type="dxa"/>
        <w:tblLayout w:type="fixed"/>
        <w:tblCellMar>
          <w:top w:w="0" w:type="dxa"/>
          <w:left w:w="0" w:type="dxa"/>
          <w:bottom w:w="0" w:type="dxa"/>
          <w:right w:w="0" w:type="dxa"/>
        </w:tblCellMar>
      </w:tblPr>
      <w:tblGrid>
        <w:gridCol w:w="528"/>
        <w:gridCol w:w="1261"/>
        <w:gridCol w:w="75"/>
      </w:tblGrid>
      <w:tr>
        <w:trPr/>
        <w:tc>
          <w:tcPr>
            <w:tcW w:w="52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261"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178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Signatory</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B-3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(Back of 2035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MICRON TECHNOLOGY,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6.05% Senior Note due 2035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Capitalized terms used herein have the meanings assigned to them in the Indenture referred to below unless otherwise indicated.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w:t>
      </w:r>
      <w:r>
        <w:rPr>
          <w:rFonts w:ascii="Times New Roman;Times;Serif" w:hAnsi="Times New Roman;Times;Serif"/>
          <w:b w:val="false"/>
          <w:i/>
          <w:caps w:val="false"/>
          <w:smallCaps w:val="false"/>
          <w:sz w:val="20"/>
        </w:rPr>
        <w:t>INTEREST</w:t>
      </w:r>
      <w:r>
        <w:rPr>
          <w:rFonts w:ascii="Times New Roman;Times;Serif" w:hAnsi="Times New Roman;Times;Serif"/>
          <w:b w:val="false"/>
          <w:i w:val="false"/>
          <w:caps w:val="false"/>
          <w:smallCaps w:val="false"/>
          <w:sz w:val="20"/>
        </w:rPr>
        <w:t>. Micron Technology, Inc., a Delaware corporation (the “</w:t>
      </w:r>
      <w:r>
        <w:rPr>
          <w:rFonts w:ascii="Times New Roman;Times;Serif" w:hAnsi="Times New Roman;Times;Serif"/>
          <w:b/>
          <w:i/>
          <w:caps w:val="false"/>
          <w:smallCaps w:val="false"/>
          <w:sz w:val="20"/>
        </w:rPr>
        <w:t>Company</w:t>
      </w:r>
      <w:r>
        <w:rPr>
          <w:rFonts w:ascii="Times New Roman;Times;Serif" w:hAnsi="Times New Roman;Times;Serif"/>
          <w:b w:val="false"/>
          <w:i w:val="false"/>
          <w:caps w:val="false"/>
          <w:smallCaps w:val="false"/>
          <w:sz w:val="20"/>
        </w:rPr>
        <w:t>”), promises to pay interest on the principal amount of this Note at 6.05% per annum. The Company will pay interest semi-annually on May 1 and November 1 of each year, commencing November 1, 2025, or if any such day is not a Business Day, on the next succeeding Business Day as if made on the date such payment was due, and no additional interest will accrue on the amount so payable for that period (each an “</w:t>
      </w:r>
      <w:r>
        <w:rPr>
          <w:rFonts w:ascii="Times New Roman;Times;Serif" w:hAnsi="Times New Roman;Times;Serif"/>
          <w:b/>
          <w:i/>
          <w:caps w:val="false"/>
          <w:smallCaps w:val="false"/>
          <w:sz w:val="20"/>
        </w:rPr>
        <w:t>Interest Payment Date</w:t>
      </w:r>
      <w:r>
        <w:rPr>
          <w:rFonts w:ascii="Times New Roman;Times;Serif" w:hAnsi="Times New Roman;Times;Serif"/>
          <w:b w:val="false"/>
          <w:i w:val="false"/>
          <w:caps w:val="false"/>
          <w:smallCaps w:val="false"/>
          <w:sz w:val="20"/>
        </w:rPr>
        <w:t xml:space="preserve">”). Interest on the 2035 Notes will accrue from the most recent date to which interest has been paid or provided for or, if no interest has been paid or provided for, from April 29, 2025;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if there is no existing Default in the payment of interest, and if this 2035 Note is authenticated between a record date referred to on the face hereof and the next succeeding Interest Payment Date, interest will accrue from such next succeeding Interest Payment Date. The Company will pay interest (including post-petition interest in any proceeding under any Bankruptcy Law to the extent allowable) on overdue principal at the rate equal to the then applicable interest rate on the 2035 Notes to the extent lawful; it will pay interest (including post-petition interest in any proceeding under any Bankruptcy Law to the extent allowable) on overdue installments of interest at the same rate to the extent lawful. Interest will be computed on the basis of a 360-day year of twelve 30-day months.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w:t>
      </w:r>
      <w:r>
        <w:rPr>
          <w:rFonts w:ascii="Times New Roman;Times;Serif" w:hAnsi="Times New Roman;Times;Serif"/>
          <w:b w:val="false"/>
          <w:i/>
          <w:caps w:val="false"/>
          <w:smallCaps w:val="false"/>
          <w:sz w:val="20"/>
        </w:rPr>
        <w:t>METHOD OF PAYMENT</w:t>
      </w:r>
      <w:r>
        <w:rPr>
          <w:rFonts w:ascii="Times New Roman;Times;Serif" w:hAnsi="Times New Roman;Times;Serif"/>
          <w:b w:val="false"/>
          <w:i w:val="false"/>
          <w:caps w:val="false"/>
          <w:smallCaps w:val="false"/>
          <w:sz w:val="20"/>
        </w:rPr>
        <w:t xml:space="preserve">. The Company will pay interest on the 2035 Notes (except defaulted interest) to the persons who are registered Holders of 2035 Notes at the close of business on the April 15 and October 15 (whether or not a Business Day) next preceding the Interest Payment Date, even if such 2035 Notes are canceled after such record date and on or before such Interest Payment Date, except as provided in Section 2.13 of the Base Indenture with respect to defaulted interest. Principal and interest on the 2035 Notes will be made by (a) check mailed to the Holders of the 2035 Notes at their respective addresses set forth in the register of Holders of 2035 Notes or (b) with respect to a Holder with an aggregate principal amount in excess of $5,000,000, by wire transfer in immediately available funds to the place and account designated in writing at least 15 days prior to the Interest Payment Date by the person entitled to the payment as specified in the security register;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payment by wire transfer of immediately available funds will be required with respect to principal of and interest on all Global Securities and all other 2035 Notes the Holders of which will have provided wire transfer instructions to the Company or the Paying Agent at least 15 calendar days prior to the applicable payment date. Such payment will be in such coin or currency of the United States of America as at the time of payment is legal tender for payment of public and private debts.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w:t>
      </w:r>
      <w:r>
        <w:rPr>
          <w:rFonts w:ascii="Times New Roman;Times;Serif" w:hAnsi="Times New Roman;Times;Serif"/>
          <w:b w:val="false"/>
          <w:i/>
          <w:caps w:val="false"/>
          <w:smallCaps w:val="false"/>
          <w:sz w:val="20"/>
        </w:rPr>
        <w:t>PAYING AGENT AND REGISTRAR</w:t>
      </w:r>
      <w:r>
        <w:rPr>
          <w:rFonts w:ascii="Times New Roman;Times;Serif" w:hAnsi="Times New Roman;Times;Serif"/>
          <w:b w:val="false"/>
          <w:i w:val="false"/>
          <w:caps w:val="false"/>
          <w:smallCaps w:val="false"/>
          <w:sz w:val="20"/>
        </w:rPr>
        <w:t>. Initially, U.S. Bank Trust Company, National Association, the Trustee under the Indenture, will act as Paying Agent and Registrar. The Company may change any Paying Agent or Registrar without notice to any Holder. The Company or any of its Subsidiaries may act in any such capacity.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B-4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w:t>
      </w:r>
      <w:r>
        <w:rPr>
          <w:rFonts w:ascii="Times New Roman;Times;Serif" w:hAnsi="Times New Roman;Times;Serif"/>
          <w:b w:val="false"/>
          <w:i/>
          <w:caps w:val="false"/>
          <w:smallCaps w:val="false"/>
          <w:sz w:val="20"/>
        </w:rPr>
        <w:t>INDENTURE</w:t>
      </w:r>
      <w:r>
        <w:rPr>
          <w:rFonts w:ascii="Times New Roman;Times;Serif" w:hAnsi="Times New Roman;Times;Serif"/>
          <w:b w:val="false"/>
          <w:i w:val="false"/>
          <w:caps w:val="false"/>
          <w:smallCaps w:val="false"/>
          <w:sz w:val="20"/>
        </w:rPr>
        <w:t>. This 2035 Note is one of a duly authenticated Series of Securities of the Company issued and to be issued in one or more Series under an indenture (the “</w:t>
      </w:r>
      <w:r>
        <w:rPr>
          <w:rFonts w:ascii="Times New Roman;Times;Serif" w:hAnsi="Times New Roman;Times;Serif"/>
          <w:b/>
          <w:i/>
          <w:caps w:val="false"/>
          <w:smallCaps w:val="false"/>
          <w:sz w:val="20"/>
        </w:rPr>
        <w:t>Base Indenture</w:t>
      </w:r>
      <w:r>
        <w:rPr>
          <w:rFonts w:ascii="Times New Roman;Times;Serif" w:hAnsi="Times New Roman;Times;Serif"/>
          <w:b w:val="false"/>
          <w:i w:val="false"/>
          <w:caps w:val="false"/>
          <w:smallCaps w:val="false"/>
          <w:sz w:val="20"/>
        </w:rPr>
        <w:t>”), dated as of February 6, 2019, between the Company and U.S. Bank Trust Company, National Association, as trustee (the “Trustee) (as successor in interest to U.S. Bank National Association), as amended by the Tenth Supplemental Indenture, dated as of April 29, 2025, between the Company and the Trustee (the “</w:t>
      </w:r>
      <w:r>
        <w:rPr>
          <w:rFonts w:ascii="Times New Roman;Times;Serif" w:hAnsi="Times New Roman;Times;Serif"/>
          <w:b/>
          <w:i/>
          <w:caps w:val="false"/>
          <w:smallCaps w:val="false"/>
          <w:sz w:val="20"/>
        </w:rPr>
        <w:t>Supplemental Indenture</w:t>
      </w:r>
      <w:r>
        <w:rPr>
          <w:rFonts w:ascii="Times New Roman;Times;Serif" w:hAnsi="Times New Roman;Times;Serif"/>
          <w:b w:val="false"/>
          <w:i w:val="false"/>
          <w:caps w:val="false"/>
          <w:smallCaps w:val="false"/>
          <w:sz w:val="20"/>
        </w:rPr>
        <w:t>” and, together with the Base Indenture, the “</w:t>
      </w:r>
      <w:r>
        <w:rPr>
          <w:rFonts w:ascii="Times New Roman;Times;Serif" w:hAnsi="Times New Roman;Times;Serif"/>
          <w:b/>
          <w:i/>
          <w:caps w:val="false"/>
          <w:smallCaps w:val="false"/>
          <w:sz w:val="20"/>
        </w:rPr>
        <w:t>Indenture</w:t>
      </w:r>
      <w:r>
        <w:rPr>
          <w:rFonts w:ascii="Times New Roman;Times;Serif" w:hAnsi="Times New Roman;Times;Serif"/>
          <w:b w:val="false"/>
          <w:i w:val="false"/>
          <w:caps w:val="false"/>
          <w:smallCaps w:val="false"/>
          <w:sz w:val="20"/>
        </w:rPr>
        <w:t>”). The terms of the 2035 Notes include those stated in the Indenture and those made part of the Indenture by reference to the TIA. The 2035 Notes are subject to all such terms, and Holders are referred to the Indenture and, to the extent applicable, the TIA for a statement of such terms. To the extent any provision of this 2035 Note conflicts with the express provisions of the Indenture, the provisions of the Indenture will govern and be controlling, and to the extent any provision of the Base Indenture conflicts with the express provisions of the Supplemental Indenture, the provisions of the Supplemental Indenture will govern and be controlling. The Company will be entitled to issue Additional 2035 Notes pursuant to Section 2.3 of the Supplemental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w:t>
      </w:r>
      <w:r>
        <w:rPr>
          <w:rFonts w:ascii="Times New Roman;Times;Serif" w:hAnsi="Times New Roman;Times;Serif"/>
          <w:b w:val="false"/>
          <w:i/>
          <w:caps w:val="false"/>
          <w:smallCaps w:val="false"/>
          <w:sz w:val="20"/>
        </w:rPr>
        <w:t>OPTIONAL REDEMPTION</w:t>
      </w:r>
      <w:r>
        <w:rPr>
          <w:rFonts w:ascii="Times New Roman;Times;Serif" w:hAnsi="Times New Roman;Times;Serif"/>
          <w:b w:val="false"/>
          <w:i w:val="false"/>
          <w:caps w:val="false"/>
          <w:smallCaps w:val="false"/>
          <w:sz w:val="20"/>
        </w:rPr>
        <w:t>. The 2035 Notes are redeemable prior to the maturity date as provided in the Indenture. In the event of redemption of this 2035 Note in part only, a new 2035 Note or Notes in an authorized denomination for the unredeemed portion hereof will be issued in the name of the Holder hereof upon the cancellation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w:t>
      </w:r>
      <w:r>
        <w:rPr>
          <w:rFonts w:ascii="Times New Roman;Times;Serif" w:hAnsi="Times New Roman;Times;Serif"/>
          <w:b w:val="false"/>
          <w:i/>
          <w:caps w:val="false"/>
          <w:smallCaps w:val="false"/>
          <w:sz w:val="20"/>
        </w:rPr>
        <w:t xml:space="preserve">MANDATORY REDEMPTION. </w:t>
      </w:r>
      <w:r>
        <w:rPr>
          <w:rFonts w:ascii="Times New Roman;Times;Serif" w:hAnsi="Times New Roman;Times;Serif"/>
          <w:b w:val="false"/>
          <w:i w:val="false"/>
          <w:caps w:val="false"/>
          <w:smallCaps w:val="false"/>
          <w:sz w:val="20"/>
        </w:rPr>
        <w:t>The Company is not required to make any mandatory redemption or sinking fund payments with respect to the 2035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w:t>
      </w:r>
      <w:r>
        <w:rPr>
          <w:rFonts w:ascii="Times New Roman;Times;Serif" w:hAnsi="Times New Roman;Times;Serif"/>
          <w:b w:val="false"/>
          <w:i/>
          <w:caps w:val="false"/>
          <w:smallCaps w:val="false"/>
          <w:sz w:val="20"/>
        </w:rPr>
        <w:t>OFFER TO PURCHASE UPON CHANGE OF CONTROL TRIGGERING EVENT</w:t>
      </w:r>
      <w:r>
        <w:rPr>
          <w:rFonts w:ascii="Times New Roman;Times;Serif" w:hAnsi="Times New Roman;Times;Serif"/>
          <w:b w:val="false"/>
          <w:i w:val="false"/>
          <w:caps w:val="false"/>
          <w:smallCaps w:val="false"/>
          <w:sz w:val="20"/>
        </w:rPr>
        <w:t>. If a Change of Control Triggering Event with respect to the 2035 Notes occurs, the Company may be required to make an offer to purchase the 2035 Notes in the manner and with the effect provided in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w:t>
      </w:r>
      <w:r>
        <w:rPr>
          <w:rFonts w:ascii="Times New Roman;Times;Serif" w:hAnsi="Times New Roman;Times;Serif"/>
          <w:b w:val="false"/>
          <w:i/>
          <w:caps w:val="false"/>
          <w:smallCaps w:val="false"/>
          <w:sz w:val="20"/>
        </w:rPr>
        <w:t>DENOMINATIONS, TRANSFER, EXCHANGE</w:t>
      </w:r>
      <w:r>
        <w:rPr>
          <w:rFonts w:ascii="Times New Roman;Times;Serif" w:hAnsi="Times New Roman;Times;Serif"/>
          <w:b w:val="false"/>
          <w:i w:val="false"/>
          <w:caps w:val="false"/>
          <w:smallCaps w:val="false"/>
          <w:sz w:val="20"/>
        </w:rPr>
        <w:t>. The 2035 Notes are in registered form without coupons in minimum denominations of $2,000 and integral multiples of $1,000 in excess thereof. 2035 Notes may be transferred or exchanged as provided in the Indenture. The Registrar and the Trustee may require a Holder, among other things, to furnish appropriate endorsements and transfer documents and the Company or the Trustee may require a Holder to pay any taxes and fees required by law or permitted by the Indenture. The Company need not exchange or transfer any 2035 Note or portion of a 2035 Note selected for redemption, except for the unredeemed portion of any 2035 Note being redeemed in part. Also, neither the Trustee nor the Company need exchange or register the transfer of any 2035 Notes for a period of 15 days before the day of any selection of 2035 Notes to be redeemed or during the period between a record date and the corresponding Interest Payment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w:t>
      </w:r>
      <w:r>
        <w:rPr>
          <w:rFonts w:ascii="Times New Roman;Times;Serif" w:hAnsi="Times New Roman;Times;Serif"/>
          <w:b w:val="false"/>
          <w:i/>
          <w:caps w:val="false"/>
          <w:smallCaps w:val="false"/>
          <w:sz w:val="20"/>
        </w:rPr>
        <w:t>PERSONS DEEMED OWNERS</w:t>
      </w:r>
      <w:r>
        <w:rPr>
          <w:rFonts w:ascii="Times New Roman;Times;Serif" w:hAnsi="Times New Roman;Times;Serif"/>
          <w:b w:val="false"/>
          <w:i w:val="false"/>
          <w:caps w:val="false"/>
          <w:smallCaps w:val="false"/>
          <w:sz w:val="20"/>
        </w:rPr>
        <w:t>. Subject to the record date provisions hereof, the registered Holder of a 2035 Note shall be treated as its owner for all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w:t>
      </w:r>
      <w:r>
        <w:rPr>
          <w:rFonts w:ascii="Times New Roman;Times;Serif" w:hAnsi="Times New Roman;Times;Serif"/>
          <w:b w:val="false"/>
          <w:i/>
          <w:caps w:val="false"/>
          <w:smallCaps w:val="false"/>
          <w:sz w:val="20"/>
        </w:rPr>
        <w:t>AMENDMENT, SUPPLEMENT AND WAIVER</w:t>
      </w:r>
      <w:r>
        <w:rPr>
          <w:rFonts w:ascii="Times New Roman;Times;Serif" w:hAnsi="Times New Roman;Times;Serif"/>
          <w:b w:val="false"/>
          <w:i w:val="false"/>
          <w:caps w:val="false"/>
          <w:smallCaps w:val="false"/>
          <w:sz w:val="20"/>
        </w:rPr>
        <w:t>. Subject to certain exceptions, the Indenture or the 2035 Notes may be amended or supplemented with the consent of the Holders of at least a majority in principal amount of the 2035 Notes then outstanding, including, without limitation, consents obtained in connection with a tender offer or exchange offer for the 2035 Notes, and any existing default or compliance with any provision of the Indenture or the 2035 Notes, may be waived with the consent of the Holders of a majority in principal amount of the then outstanding 2035 Notes, including, without limitation, consents obtained in connection with a tender offer or exchange offer for the 2035 Notes. The Indenture or the 2035 Notes may be amended or supplemented without the consent of any Holder of a 2035 Note as described in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w:t>
      </w:r>
      <w:r>
        <w:rPr>
          <w:rFonts w:ascii="Times New Roman;Times;Serif" w:hAnsi="Times New Roman;Times;Serif"/>
          <w:b w:val="false"/>
          <w:i/>
          <w:caps w:val="false"/>
          <w:smallCaps w:val="false"/>
          <w:sz w:val="20"/>
        </w:rPr>
        <w:t>DEFAULTS AND REMEDIES</w:t>
      </w:r>
      <w:r>
        <w:rPr>
          <w:rFonts w:ascii="Times New Roman;Times;Serif" w:hAnsi="Times New Roman;Times;Serif"/>
          <w:b w:val="false"/>
          <w:i w:val="false"/>
          <w:caps w:val="false"/>
          <w:smallCaps w:val="false"/>
          <w:sz w:val="20"/>
        </w:rPr>
        <w:t>. If an Event of Default with respect to the 2035 Notes shall occur and be continuing, the principal of, and any accrued and unpaid interest on, the outstanding 2035 Notes may be declared due and payable in the manner and with the effect provided in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B-5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w:t>
      </w:r>
      <w:r>
        <w:rPr>
          <w:rFonts w:ascii="Times New Roman;Times;Serif" w:hAnsi="Times New Roman;Times;Serif"/>
          <w:b w:val="false"/>
          <w:i/>
          <w:caps w:val="false"/>
          <w:smallCaps w:val="false"/>
          <w:sz w:val="20"/>
        </w:rPr>
        <w:t>TRUSTEE DEALINGS WITH COMPANY</w:t>
      </w:r>
      <w:r>
        <w:rPr>
          <w:rFonts w:ascii="Times New Roman;Times;Serif" w:hAnsi="Times New Roman;Times;Serif"/>
          <w:b w:val="false"/>
          <w:i w:val="false"/>
          <w:caps w:val="false"/>
          <w:smallCaps w:val="false"/>
          <w:sz w:val="20"/>
        </w:rPr>
        <w:t>. The Trustee, in its individual or any other capacity, may become the owner or pledgee of the 2035 Notes and may otherwise deal with the Company or an Affiliate of the Company with the same rights it would have if it were not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       </w:t>
      </w:r>
      <w:r>
        <w:rPr>
          <w:rFonts w:ascii="Times New Roman;Times;Serif" w:hAnsi="Times New Roman;Times;Serif"/>
          <w:b w:val="false"/>
          <w:i/>
          <w:caps w:val="false"/>
          <w:smallCaps w:val="false"/>
          <w:sz w:val="20"/>
        </w:rPr>
        <w:t>NO RECOURSE AGAINST OTHERS</w:t>
      </w:r>
      <w:r>
        <w:rPr>
          <w:rFonts w:ascii="Times New Roman;Times;Serif" w:hAnsi="Times New Roman;Times;Serif"/>
          <w:b w:val="false"/>
          <w:i w:val="false"/>
          <w:caps w:val="false"/>
          <w:smallCaps w:val="false"/>
          <w:sz w:val="20"/>
        </w:rPr>
        <w:t>. None of the Company’s past, present or future directors, officers, employees or stockholders, as such, will have any liability for any of the Company’s obligations under the 2035 Notes or the Indenture or for any claim based on, or in respect or by reason of, such obligations or their creation. By accepting a 2035 Note, each Holder waives and releases all such liability. This waiver and release is part of the consideration for the issue of the 2035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       </w:t>
      </w:r>
      <w:r>
        <w:rPr>
          <w:rFonts w:ascii="Times New Roman;Times;Serif" w:hAnsi="Times New Roman;Times;Serif"/>
          <w:b w:val="false"/>
          <w:i/>
          <w:caps w:val="false"/>
          <w:smallCaps w:val="false"/>
          <w:sz w:val="20"/>
        </w:rPr>
        <w:t>AUTHENTICATION</w:t>
      </w:r>
      <w:r>
        <w:rPr>
          <w:rFonts w:ascii="Times New Roman;Times;Serif" w:hAnsi="Times New Roman;Times;Serif"/>
          <w:b w:val="false"/>
          <w:i w:val="false"/>
          <w:caps w:val="false"/>
          <w:smallCaps w:val="false"/>
          <w:sz w:val="20"/>
        </w:rPr>
        <w:t>. This 2035 Note will not be valid until authenticated by the manual signature of the Trustee or an authenticating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       </w:t>
      </w:r>
      <w:r>
        <w:rPr>
          <w:rFonts w:ascii="Times New Roman;Times;Serif" w:hAnsi="Times New Roman;Times;Serif"/>
          <w:b w:val="false"/>
          <w:i/>
          <w:caps w:val="false"/>
          <w:smallCaps w:val="false"/>
          <w:sz w:val="20"/>
        </w:rPr>
        <w:t>ABBREVIATIONS</w:t>
      </w:r>
      <w:r>
        <w:rPr>
          <w:rFonts w:ascii="Times New Roman;Times;Serif" w:hAnsi="Times New Roman;Times;Serif"/>
          <w:b w:val="false"/>
          <w:i w:val="false"/>
          <w:caps w:val="false"/>
          <w:smallCaps w:val="false"/>
          <w:sz w:val="20"/>
        </w:rPr>
        <w:t>. Customary abbreviations may be used in the name of a Holder or an assignee, such as: TEN COM (= tenants in common), TEN ENT (= tenants by the entireties), JT TEN (= joint tenants with right of survivorship and not as tenants in common), CUST (= Custodian), and U/G/M/A (= Uniform Gifts to Minors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       </w:t>
      </w:r>
      <w:r>
        <w:rPr>
          <w:rFonts w:ascii="Times New Roman;Times;Serif" w:hAnsi="Times New Roman;Times;Serif"/>
          <w:b w:val="false"/>
          <w:i/>
          <w:caps w:val="false"/>
          <w:smallCaps w:val="false"/>
          <w:sz w:val="20"/>
        </w:rPr>
        <w:t>CUSIP NUMBERS</w:t>
      </w:r>
      <w:r>
        <w:rPr>
          <w:rFonts w:ascii="Times New Roman;Times;Serif" w:hAnsi="Times New Roman;Times;Serif"/>
          <w:b w:val="false"/>
          <w:i w:val="false"/>
          <w:caps w:val="false"/>
          <w:smallCaps w:val="false"/>
          <w:sz w:val="20"/>
        </w:rPr>
        <w:t>. The Company has caused CUSIP numbers to be printed on the 2035 Notes and the Trustee shall use CUSIP numbers in notices of redemption as a convenience to Holders. No representation is made as to the correctness of such numbers either as printed on the 2035 Notes or as contained in any notice of redemption and reliance may be placed only on the other elements of identification printed on the 2035 Notes, and any such redemption shall not be affected by any defect in or omission of such numbers. The Company will furnish to any Holder upon written request and without charge a copy of the Base Indenture and the Supplemental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Requests may be made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Micron Technology, Inc.</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8000 South Federal Way</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Boise, Idaho 83716-9632</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Chief Legal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B-6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OF INCREASES AND DECREASES IN GLOBAL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increases or decreases in this Note have been made:</w:t>
      </w:r>
    </w:p>
    <w:p>
      <w:pPr>
        <w:pStyle w:val="TextBody"/>
        <w:bidi w:val="0"/>
        <w:spacing w:before="0" w:after="0"/>
        <w:ind w:left="0" w:right="0" w:hanging="0"/>
        <w:jc w:val="left"/>
        <w:rPr>
          <w:caps w:val="false"/>
          <w:smallCaps w:val="false"/>
        </w:rPr>
      </w:pPr>
      <w:r>
        <w:rPr>
          <w:caps w:val="false"/>
          <w:smallCaps w:val="false"/>
        </w:rPr>
        <w:t> </w:t>
      </w:r>
    </w:p>
    <w:tbl>
      <w:tblPr>
        <w:tblW w:w="9925" w:type="dxa"/>
        <w:jc w:val="left"/>
        <w:tblInd w:w="0" w:type="dxa"/>
        <w:tblLayout w:type="fixed"/>
        <w:tblCellMar>
          <w:top w:w="0" w:type="dxa"/>
          <w:left w:w="0" w:type="dxa"/>
          <w:bottom w:w="28" w:type="dxa"/>
          <w:right w:w="0" w:type="dxa"/>
        </w:tblCellMar>
      </w:tblPr>
      <w:tblGrid>
        <w:gridCol w:w="1655"/>
        <w:gridCol w:w="60"/>
        <w:gridCol w:w="1895"/>
        <w:gridCol w:w="60"/>
        <w:gridCol w:w="2045"/>
        <w:gridCol w:w="60"/>
        <w:gridCol w:w="2060"/>
        <w:gridCol w:w="60"/>
        <w:gridCol w:w="2030"/>
      </w:tblGrid>
      <w:tr>
        <w:trPr/>
        <w:tc>
          <w:tcPr>
            <w:tcW w:w="1655" w:type="dxa"/>
            <w:tcBorders>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Date of decrease or</w:t>
              <w:br/>
              <w:t>increase</w:t>
            </w:r>
          </w:p>
        </w:tc>
        <w:tc>
          <w:tcPr>
            <w:tcW w:w="60" w:type="dxa"/>
            <w:tcBorders/>
            <w:tcMar>
              <w:bottom w:w="0" w:type="dxa"/>
            </w:tcMar>
            <w:vAlign w:val="center"/>
          </w:tcPr>
          <w:p>
            <w:pPr>
              <w:pStyle w:val="TableContents"/>
              <w:bidi w:val="0"/>
              <w:spacing w:before="0" w:after="283"/>
              <w:jc w:val="left"/>
              <w:rPr/>
            </w:pPr>
            <w:r>
              <w:rPr/>
              <w:t> </w:t>
            </w:r>
          </w:p>
        </w:tc>
        <w:tc>
          <w:tcPr>
            <w:tcW w:w="1895"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Amount of decrease in</w:t>
              <w:br/>
              <w:t>principal amount of</w:t>
              <w:br/>
              <w:t>this Note</w:t>
            </w:r>
          </w:p>
        </w:tc>
        <w:tc>
          <w:tcPr>
            <w:tcW w:w="60" w:type="dxa"/>
            <w:tcBorders/>
            <w:tcMar>
              <w:bottom w:w="0" w:type="dxa"/>
            </w:tcMar>
            <w:vAlign w:val="center"/>
          </w:tcPr>
          <w:p>
            <w:pPr>
              <w:pStyle w:val="TableContents"/>
              <w:bidi w:val="0"/>
              <w:spacing w:before="0" w:after="283"/>
              <w:jc w:val="left"/>
              <w:rPr/>
            </w:pPr>
            <w:r>
              <w:rPr/>
              <w:t> </w:t>
            </w:r>
          </w:p>
        </w:tc>
        <w:tc>
          <w:tcPr>
            <w:tcW w:w="2045"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Amount of increase in</w:t>
              <w:br/>
              <w:t>principal amount of this</w:t>
              <w:br/>
              <w:t>Note</w:t>
            </w:r>
          </w:p>
        </w:tc>
        <w:tc>
          <w:tcPr>
            <w:tcW w:w="60" w:type="dxa"/>
            <w:tcBorders/>
            <w:tcMar>
              <w:bottom w:w="0" w:type="dxa"/>
            </w:tcMar>
            <w:vAlign w:val="center"/>
          </w:tcPr>
          <w:p>
            <w:pPr>
              <w:pStyle w:val="TableContents"/>
              <w:bidi w:val="0"/>
              <w:spacing w:before="0" w:after="283"/>
              <w:jc w:val="left"/>
              <w:rPr/>
            </w:pPr>
            <w:r>
              <w:rPr/>
              <w:t> </w:t>
            </w:r>
          </w:p>
        </w:tc>
        <w:tc>
          <w:tcPr>
            <w:tcW w:w="206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Principal amount of this</w:t>
              <w:br/>
              <w:t>Note following such</w:t>
              <w:br/>
              <w:t>decrease or increase</w:t>
            </w:r>
          </w:p>
        </w:tc>
        <w:tc>
          <w:tcPr>
            <w:tcW w:w="60" w:type="dxa"/>
            <w:tcBorders/>
            <w:tcMar>
              <w:bottom w:w="0" w:type="dxa"/>
            </w:tcMar>
            <w:vAlign w:val="center"/>
          </w:tcPr>
          <w:p>
            <w:pPr>
              <w:pStyle w:val="TableContents"/>
              <w:bidi w:val="0"/>
              <w:spacing w:before="0" w:after="283"/>
              <w:jc w:val="left"/>
              <w:rPr/>
            </w:pPr>
            <w:r>
              <w:rPr/>
              <w:t> </w:t>
            </w:r>
          </w:p>
        </w:tc>
        <w:tc>
          <w:tcPr>
            <w:tcW w:w="203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Signature of authorized</w:t>
              <w:br/>
              <w:t>signatory of Trustee or</w:t>
              <w:br/>
              <w:t>Security Custodian</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sz w:val="20"/>
          <w:bdr w:val="single" w:sz="8" w:space="1" w:color="000000"/>
        </w:rPr>
      </w:pPr>
      <w:r>
        <w:rPr>
          <w:sz w:val="20"/>
          <w:bdr w:val="single" w:sz="8" w:space="1" w:color="000000"/>
        </w:rPr>
        <w:t>B-7</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ASSIGNMENT FORM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assign this 2035 Note, fill in the form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or (we) assign and transfer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2035 Note to:</w:t>
      </w:r>
    </w:p>
    <w:p>
      <w:pPr>
        <w:pStyle w:val="TextBody"/>
        <w:bidi w:val="0"/>
        <w:spacing w:before="0" w:after="0"/>
        <w:ind w:left="0" w:right="0" w:hanging="0"/>
        <w:jc w:val="left"/>
        <w:rPr>
          <w:caps w:val="false"/>
          <w:smallCaps w:val="false"/>
        </w:rPr>
      </w:pPr>
      <w:r>
        <w:rPr>
          <w:caps w:val="false"/>
          <w:smallCaps w:val="false"/>
        </w:rPr>
        <w:t> </w:t>
      </w:r>
    </w:p>
    <w:p>
      <w:pPr>
        <w:pStyle w:val="TextBody"/>
        <w:pBdr>
          <w:top w:val="single" w:sz="8" w:space="1" w:color="000000"/>
        </w:pBd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(Insert assignee’s legal name)</w:t>
      </w:r>
    </w:p>
    <w:p>
      <w:pPr>
        <w:pStyle w:val="TextBody"/>
        <w:bidi w:val="0"/>
        <w:spacing w:before="0" w:after="0"/>
        <w:ind w:left="0" w:right="0" w:hanging="0"/>
        <w:jc w:val="left"/>
        <w:rPr>
          <w:caps w:val="false"/>
          <w:smallCaps w:val="false"/>
        </w:rPr>
      </w:pPr>
      <w:r>
        <w:rPr>
          <w:caps w:val="false"/>
          <w:smallCaps w:val="false"/>
        </w:rPr>
        <w:t> </w:t>
      </w:r>
    </w:p>
    <w:p>
      <w:pPr>
        <w:pStyle w:val="TextBody"/>
        <w:pBdr>
          <w:top w:val="single" w:sz="8" w:space="1" w:color="000000"/>
        </w:pBd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(Insert assignee’s soc. sec. or tax I.D. no.)</w:t>
      </w:r>
    </w:p>
    <w:p>
      <w:pPr>
        <w:pStyle w:val="TextBody"/>
        <w:bidi w:val="0"/>
        <w:spacing w:before="0" w:after="0"/>
        <w:ind w:left="0" w:right="0" w:hanging="0"/>
        <w:jc w:val="left"/>
        <w:rPr>
          <w:caps w:val="false"/>
          <w:smallCaps w:val="false"/>
        </w:rPr>
      </w:pPr>
      <w:r>
        <w:rPr>
          <w:caps w:val="false"/>
          <w:smallCaps w:val="false"/>
        </w:rPr>
        <w:t> </w:t>
      </w:r>
    </w:p>
    <w:p>
      <w:pPr>
        <w:pStyle w:val="TextBody"/>
        <w:pBdr>
          <w:top w:val="single" w:sz="8" w:space="1" w:color="000000"/>
        </w:pBd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(Print or type assignee’s name, address and zip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irrevocably appoint _____________________________________________ to transfer this 2035 Note on the books of the Company. The agent may substitute another to act for him.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_______________</w:t>
      </w:r>
    </w:p>
    <w:p>
      <w:pPr>
        <w:pStyle w:val="TextBody"/>
        <w:bidi w:val="0"/>
        <w:spacing w:before="0" w:after="0"/>
        <w:ind w:left="0" w:right="0" w:hanging="0"/>
        <w:jc w:val="left"/>
        <w:rPr>
          <w:caps w:val="false"/>
          <w:smallCaps w:val="false"/>
        </w:rPr>
      </w:pPr>
      <w:r>
        <w:rPr>
          <w:caps w:val="false"/>
          <w:smallCaps w:val="false"/>
        </w:rPr>
        <w:t> </w:t>
      </w:r>
    </w:p>
    <w:tbl>
      <w:tblPr>
        <w:tblW w:w="5375" w:type="dxa"/>
        <w:jc w:val="left"/>
        <w:tblInd w:w="0" w:type="dxa"/>
        <w:tblLayout w:type="fixed"/>
        <w:tblCellMar>
          <w:top w:w="0" w:type="dxa"/>
          <w:left w:w="0" w:type="dxa"/>
          <w:bottom w:w="0" w:type="dxa"/>
          <w:right w:w="0" w:type="dxa"/>
        </w:tblCellMar>
      </w:tblPr>
      <w:tblGrid>
        <w:gridCol w:w="75"/>
        <w:gridCol w:w="5300"/>
      </w:tblGrid>
      <w:tr>
        <w:trPr/>
        <w:tc>
          <w:tcPr>
            <w:tcW w:w="75" w:type="dxa"/>
            <w:tcBorders/>
            <w:vAlign w:val="center"/>
          </w:tcPr>
          <w:p>
            <w:pPr>
              <w:pStyle w:val="TableContents"/>
              <w:bidi w:val="0"/>
              <w:spacing w:before="0" w:after="283"/>
              <w:jc w:val="left"/>
              <w:rPr/>
            </w:pPr>
            <w:r>
              <w:rPr/>
              <w:t> </w:t>
            </w:r>
          </w:p>
        </w:tc>
        <w:tc>
          <w:tcPr>
            <w:tcW w:w="53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Your Signature:_______________________________</w:t>
            </w:r>
          </w:p>
        </w:tc>
      </w:tr>
      <w:tr>
        <w:trPr/>
        <w:tc>
          <w:tcPr>
            <w:tcW w:w="75" w:type="dxa"/>
            <w:tcBorders/>
            <w:vAlign w:val="center"/>
          </w:tcPr>
          <w:p>
            <w:pPr>
              <w:pStyle w:val="TableContents"/>
              <w:bidi w:val="0"/>
              <w:spacing w:before="0" w:after="283"/>
              <w:jc w:val="left"/>
              <w:rPr/>
            </w:pPr>
            <w:r>
              <w:rPr/>
              <w:t> </w:t>
            </w:r>
          </w:p>
        </w:tc>
        <w:tc>
          <w:tcPr>
            <w:tcW w:w="53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 exactly as your name appears on the face of this 2035 Note)</w:t>
            </w:r>
          </w:p>
        </w:tc>
      </w:tr>
      <w:tr>
        <w:trPr/>
        <w:tc>
          <w:tcPr>
            <w:tcW w:w="75" w:type="dxa"/>
            <w:tcBorders/>
            <w:vAlign w:val="center"/>
          </w:tcPr>
          <w:p>
            <w:pPr>
              <w:pStyle w:val="TableContents"/>
              <w:bidi w:val="0"/>
              <w:spacing w:before="0" w:after="283"/>
              <w:jc w:val="left"/>
              <w:rPr/>
            </w:pPr>
            <w:r>
              <w:rPr/>
              <w:t> </w:t>
            </w:r>
          </w:p>
        </w:tc>
        <w:tc>
          <w:tcPr>
            <w:tcW w:w="53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53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 Identification No: ________________________</w:t>
            </w:r>
          </w:p>
        </w:tc>
      </w:tr>
      <w:tr>
        <w:trPr/>
        <w:tc>
          <w:tcPr>
            <w:tcW w:w="75" w:type="dxa"/>
            <w:tcBorders/>
            <w:vAlign w:val="center"/>
          </w:tcPr>
          <w:p>
            <w:pPr>
              <w:pStyle w:val="TableContents"/>
              <w:bidi w:val="0"/>
              <w:spacing w:before="0" w:after="283"/>
              <w:jc w:val="left"/>
              <w:rPr/>
            </w:pPr>
            <w:r>
              <w:rPr/>
              <w:t> </w:t>
            </w:r>
          </w:p>
        </w:tc>
        <w:tc>
          <w:tcPr>
            <w:tcW w:w="53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53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Guarantee: _________________________</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Signatures must be guaranteed by an “eligible guarantor institution” meeting the requirements of the Registrar, which requirements include membership or participation in the Security Transfer Agent Medallion Program (“</w:t>
      </w:r>
      <w:r>
        <w:rPr>
          <w:rFonts w:ascii="Times New Roman;Times;Serif" w:hAnsi="Times New Roman;Times;Serif"/>
          <w:b/>
          <w:i/>
          <w:caps w:val="false"/>
          <w:smallCaps w:val="false"/>
          <w:sz w:val="20"/>
        </w:rPr>
        <w:t>STAMP</w:t>
      </w:r>
      <w:r>
        <w:rPr>
          <w:rFonts w:ascii="Times New Roman;Times;Serif" w:hAnsi="Times New Roman;Times;Serif"/>
          <w:b w:val="false"/>
          <w:i w:val="false"/>
          <w:caps w:val="false"/>
          <w:smallCaps w:val="false"/>
          <w:sz w:val="20"/>
        </w:rPr>
        <w:t>”) or such other “signature guarantee program” as may be determined by the Registrar in addition to, or in substitution for, STAMP, all in accordance with the Securities Exchange Act of 1934,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B-8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OPTION OF HOLDER TO ELECT PURCHASE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want to elect to have this 2035 Note purchased by the Company pursuant to Section 4.1 of the Supplemental Indenture, check the box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Section 4.1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want to elect to have only part of the 2035 Note purchased by the Company pursuant to Section 4.1 of the Supplemental Indenture, state the amount you elect to have purchased ($2,000 or integral multiples of $1,000 in excess thereof; provided that the unrepurchased portion of a 2035 Note must be in a minimum principal amount of $2,000): $________________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_______________</w:t>
      </w:r>
    </w:p>
    <w:p>
      <w:pPr>
        <w:pStyle w:val="TextBody"/>
        <w:bidi w:val="0"/>
        <w:spacing w:before="0" w:after="0"/>
        <w:ind w:left="0" w:right="0" w:hanging="0"/>
        <w:jc w:val="left"/>
        <w:rPr>
          <w:caps w:val="false"/>
          <w:smallCaps w:val="false"/>
        </w:rPr>
      </w:pPr>
      <w:r>
        <w:rPr>
          <w:caps w:val="false"/>
          <w:smallCaps w:val="false"/>
        </w:rPr>
        <w:t> </w:t>
      </w:r>
    </w:p>
    <w:tbl>
      <w:tblPr>
        <w:tblW w:w="5375" w:type="dxa"/>
        <w:jc w:val="left"/>
        <w:tblInd w:w="0" w:type="dxa"/>
        <w:tblLayout w:type="fixed"/>
        <w:tblCellMar>
          <w:top w:w="0" w:type="dxa"/>
          <w:left w:w="0" w:type="dxa"/>
          <w:bottom w:w="0" w:type="dxa"/>
          <w:right w:w="0" w:type="dxa"/>
        </w:tblCellMar>
      </w:tblPr>
      <w:tblGrid>
        <w:gridCol w:w="75"/>
        <w:gridCol w:w="5300"/>
      </w:tblGrid>
      <w:tr>
        <w:trPr/>
        <w:tc>
          <w:tcPr>
            <w:tcW w:w="75" w:type="dxa"/>
            <w:tcBorders/>
            <w:vAlign w:val="center"/>
          </w:tcPr>
          <w:p>
            <w:pPr>
              <w:pStyle w:val="TableContents"/>
              <w:bidi w:val="0"/>
              <w:spacing w:before="0" w:after="283"/>
              <w:jc w:val="left"/>
              <w:rPr/>
            </w:pPr>
            <w:r>
              <w:rPr/>
              <w:t> </w:t>
            </w:r>
          </w:p>
        </w:tc>
        <w:tc>
          <w:tcPr>
            <w:tcW w:w="53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Your Signature: ____________________________</w:t>
            </w:r>
          </w:p>
        </w:tc>
      </w:tr>
      <w:tr>
        <w:trPr/>
        <w:tc>
          <w:tcPr>
            <w:tcW w:w="75" w:type="dxa"/>
            <w:tcBorders/>
            <w:vAlign w:val="center"/>
          </w:tcPr>
          <w:p>
            <w:pPr>
              <w:pStyle w:val="TableContents"/>
              <w:bidi w:val="0"/>
              <w:spacing w:before="0" w:after="283"/>
              <w:jc w:val="left"/>
              <w:rPr/>
            </w:pPr>
            <w:r>
              <w:rPr/>
              <w:t> </w:t>
            </w:r>
          </w:p>
        </w:tc>
        <w:tc>
          <w:tcPr>
            <w:tcW w:w="53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 exactly as your name appears on the face of this 2035 Note)</w:t>
            </w:r>
          </w:p>
        </w:tc>
      </w:tr>
      <w:tr>
        <w:trPr/>
        <w:tc>
          <w:tcPr>
            <w:tcW w:w="75" w:type="dxa"/>
            <w:tcBorders/>
            <w:vAlign w:val="center"/>
          </w:tcPr>
          <w:p>
            <w:pPr>
              <w:pStyle w:val="TableContents"/>
              <w:bidi w:val="0"/>
              <w:spacing w:before="0" w:after="283"/>
              <w:jc w:val="left"/>
              <w:rPr/>
            </w:pPr>
            <w:r>
              <w:rPr/>
              <w:t> </w:t>
            </w:r>
          </w:p>
        </w:tc>
        <w:tc>
          <w:tcPr>
            <w:tcW w:w="53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53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 Identification No: ________________________</w:t>
            </w:r>
          </w:p>
        </w:tc>
      </w:tr>
      <w:tr>
        <w:trPr/>
        <w:tc>
          <w:tcPr>
            <w:tcW w:w="75" w:type="dxa"/>
            <w:tcBorders/>
            <w:vAlign w:val="center"/>
          </w:tcPr>
          <w:p>
            <w:pPr>
              <w:pStyle w:val="TableContents"/>
              <w:bidi w:val="0"/>
              <w:spacing w:before="0" w:after="283"/>
              <w:jc w:val="left"/>
              <w:rPr/>
            </w:pPr>
            <w:r>
              <w:rPr/>
              <w:t> </w:t>
            </w:r>
          </w:p>
        </w:tc>
        <w:tc>
          <w:tcPr>
            <w:tcW w:w="53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53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Guarantee: _________________________</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Signatures must be guaranteed by an “eligible guarantor institution” meeting the requirements of the Registrar, which requirements include membership or participation in the Security Transfer Agent Medallion Program (“</w:t>
      </w:r>
      <w:r>
        <w:rPr>
          <w:rFonts w:ascii="Times New Roman;Times;Serif" w:hAnsi="Times New Roman;Times;Serif"/>
          <w:b w:val="false"/>
          <w:i/>
          <w:caps w:val="false"/>
          <w:smallCaps w:val="false"/>
          <w:sz w:val="20"/>
        </w:rPr>
        <w:t>STAMP</w:t>
      </w:r>
      <w:r>
        <w:rPr>
          <w:rFonts w:ascii="Times New Roman;Times;Serif" w:hAnsi="Times New Roman;Times;Serif"/>
          <w:b w:val="false"/>
          <w:i w:val="false"/>
          <w:caps w:val="false"/>
          <w:smallCaps w:val="false"/>
          <w:sz w:val="20"/>
        </w:rPr>
        <w:t>”) or such other “signature guarantee program” as may be determined by the Registrar in addition to, or in substitution for, STAMP, all in accordance with the Securities Exchange Act of 1934,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B-9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bookmarkStart w:id="24" w:name="tm2513434d1_ex5-1.htm"/>
      <w:bookmarkStart w:id="25" w:name="kstm2513434d1_ex51"/>
      <w:bookmarkEnd w:id="24"/>
      <w:bookmarkEnd w:id="25"/>
      <w:r>
        <w:rPr>
          <w:caps w:val="false"/>
          <w:smallCaps w:val="false"/>
        </w:rPr>
        <w:t> </w:t>
      </w:r>
      <w:r>
        <w:br w:type="page"/>
      </w:r>
    </w:p>
    <w:p>
      <w:pPr>
        <w:pStyle w:val="TextBody"/>
        <w:bidi w:val="0"/>
        <w:spacing w:before="0" w:after="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5.1</w:t>
      </w:r>
    </w:p>
    <w:p>
      <w:pPr>
        <w:pStyle w:val="TextBody"/>
        <w:bidi w:val="0"/>
        <w:spacing w:before="0" w:after="0"/>
        <w:jc w:val="left"/>
        <w:rPr>
          <w:caps w:val="false"/>
          <w:smallCaps w:val="false"/>
        </w:rPr>
      </w:pPr>
      <w:r>
        <w:rPr>
          <w:caps w:val="false"/>
          <w:smallCaps w:val="false"/>
        </w:rPr>
        <w:t> </w:t>
      </w:r>
    </w:p>
    <w:tbl>
      <w:tblPr>
        <w:tblW w:w="5255" w:type="dxa"/>
        <w:jc w:val="left"/>
        <w:tblInd w:w="0" w:type="dxa"/>
        <w:tblLayout w:type="fixed"/>
        <w:tblCellMar>
          <w:top w:w="0" w:type="dxa"/>
          <w:left w:w="0" w:type="dxa"/>
          <w:bottom w:w="0" w:type="dxa"/>
          <w:right w:w="0" w:type="dxa"/>
        </w:tblCellMar>
      </w:tblPr>
      <w:tblGrid>
        <w:gridCol w:w="2400"/>
        <w:gridCol w:w="2855"/>
      </w:tblGrid>
      <w:tr>
        <w:trPr/>
        <w:tc>
          <w:tcPr>
            <w:tcW w:w="2400" w:type="dxa"/>
            <w:vMerge w:val="restart"/>
            <w:tcBorders/>
            <w:vAlign w:val="center"/>
          </w:tcPr>
          <w:p>
            <w:pPr>
              <w:pStyle w:val="TableContents"/>
              <w:bidi w:val="0"/>
              <w:spacing w:before="0" w:after="283"/>
              <w:jc w:val="left"/>
              <w:rPr/>
            </w:pPr>
            <w:r>
              <w:rPr/>
              <w:drawing>
                <wp:inline distT="0" distB="0" distL="0" distR="0">
                  <wp:extent cx="1476375" cy="5905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476375" cy="590550"/>
                          </a:xfrm>
                          <a:prstGeom prst="rect">
                            <a:avLst/>
                          </a:prstGeom>
                        </pic:spPr>
                      </pic:pic>
                    </a:graphicData>
                  </a:graphic>
                </wp:inline>
              </w:drawing>
            </w:r>
            <w:r>
              <w:rPr/>
              <w:t> </w:t>
            </w:r>
          </w:p>
        </w:tc>
        <w:tc>
          <w:tcPr>
            <w:tcW w:w="28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Wilson Sonsini Goodrich &amp; Rosati</w:t>
              <w:br/>
              <w:t xml:space="preserve">Professional Corporation </w:t>
            </w:r>
          </w:p>
        </w:tc>
      </w:tr>
      <w:tr>
        <w:trPr/>
        <w:tc>
          <w:tcPr>
            <w:tcW w:w="2400" w:type="dxa"/>
            <w:vMerge w:val="continue"/>
            <w:tcBorders/>
            <w:vAlign w:val="center"/>
          </w:tcPr>
          <w:p>
            <w:pPr>
              <w:pStyle w:val="Normal"/>
              <w:bidi w:val="0"/>
              <w:jc w:val="left"/>
              <w:rPr/>
            </w:pPr>
            <w:r>
              <w:rPr/>
            </w:r>
          </w:p>
        </w:tc>
        <w:tc>
          <w:tcPr>
            <w:tcW w:w="28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650 Page Mill Road</w:t>
              <w:br/>
              <w:t xml:space="preserve">Palo Alto, California 94304-1050 </w:t>
            </w:r>
          </w:p>
        </w:tc>
      </w:tr>
      <w:tr>
        <w:trPr/>
        <w:tc>
          <w:tcPr>
            <w:tcW w:w="2400" w:type="dxa"/>
            <w:vMerge w:val="continue"/>
            <w:tcBorders/>
            <w:vAlign w:val="center"/>
          </w:tcPr>
          <w:p>
            <w:pPr>
              <w:pStyle w:val="Normal"/>
              <w:bidi w:val="0"/>
              <w:jc w:val="left"/>
              <w:rPr/>
            </w:pPr>
            <w:r>
              <w:rPr/>
            </w:r>
          </w:p>
        </w:tc>
        <w:tc>
          <w:tcPr>
            <w:tcW w:w="28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 650.493.9300</w:t>
              <w:br/>
            </w:r>
            <w:r>
              <w:rPr>
                <w:rFonts w:ascii="Times New Roman;Times;Serif" w:hAnsi="Times New Roman;Times;Serif"/>
                <w:smallCaps/>
                <w:sz w:val="20"/>
              </w:rPr>
              <w:t>f</w:t>
            </w:r>
            <w:r>
              <w:rPr>
                <w:rFonts w:ascii="Times New Roman;Times;Serif" w:hAnsi="Times New Roman;Times;Serif"/>
                <w:sz w:val="20"/>
              </w:rPr>
              <w:t>: 650.493.6811</w:t>
            </w:r>
          </w:p>
        </w:tc>
      </w:tr>
    </w:tbl>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April 29, 2025</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Micron Technology, Inc.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8000 South Federal Way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Boise, Idaho 83716-9632</w:t>
      </w:r>
    </w:p>
    <w:p>
      <w:pPr>
        <w:pStyle w:val="TextBody"/>
        <w:bidi w:val="0"/>
        <w:spacing w:before="0" w:after="0"/>
        <w:ind w:left="0" w:right="0" w:hanging="0"/>
        <w:jc w:val="left"/>
        <w:rPr>
          <w:caps w:val="false"/>
          <w:smallCaps w:val="false"/>
        </w:rPr>
      </w:pPr>
      <w:r>
        <w:rPr>
          <w:caps w:val="false"/>
          <w:smallCaps w:val="false"/>
        </w:rPr>
        <w:t> </w:t>
      </w:r>
    </w:p>
    <w:tbl>
      <w:tblPr>
        <w:tblW w:w="3445" w:type="dxa"/>
        <w:jc w:val="left"/>
        <w:tblInd w:w="0" w:type="dxa"/>
        <w:tblLayout w:type="fixed"/>
        <w:tblCellMar>
          <w:top w:w="0" w:type="dxa"/>
          <w:left w:w="0" w:type="dxa"/>
          <w:bottom w:w="0" w:type="dxa"/>
          <w:right w:w="0" w:type="dxa"/>
        </w:tblCellMar>
      </w:tblPr>
      <w:tblGrid>
        <w:gridCol w:w="75"/>
        <w:gridCol w:w="305"/>
        <w:gridCol w:w="3065"/>
      </w:tblGrid>
      <w:tr>
        <w:trPr/>
        <w:tc>
          <w:tcPr>
            <w:tcW w:w="75"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w:t>
            </w:r>
          </w:p>
        </w:tc>
        <w:tc>
          <w:tcPr>
            <w:tcW w:w="306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Statement on Form S-3</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acted as counsel to Micron Technology, Inc., a Delaware corporation (the “Company”), in connection with the filing by the Company with the Securities and Exchange Commission (the “Commission”) on November 2, 2023 of a registration statement on Form S-3 (the “Registration Statement”), under the Securities Act of 1933, as amended (the “Act”), that is automatically effective under the Act pursuant to Rule 462(e) promulgated thereunder. The Registration Statement relates to, among other things, the proposed issuance and sale, from time to time, by the Company of debt securities, with an indeterminate amount as may at various times be issued at indeterminate prices, in reliance on Rule 456(b) and Rule 457(r) under the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Registration Statement, the Company issued (i) $500,000,000 aggregate principal amount of 5.65% Senior Notes due 2032 (the “2032 Notes”), and (ii) $1,250,000,000 aggregate principal amount of 6.05% Senior Notes due 2035 (together with the 2032 Notes, the “Notes”), which have been sold pursuant to that certain Underwriting Agreement (the “Underwriting Agreement”), dated as of April 24, 2025, among the Company, Morgan Stanley &amp; Co. LLC, BofA Securities, Inc., HSBC Securities (USA) Inc. and Wells Fargo Securities, LLC as representatives of the other several underwriters named in Schedule I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Notes have been issued in the form set forth in the Indenture, dated as of February 6, 2019 (the “Base Indenture”), between the Company and U.S. Bank Trust Company, National Association (as successor in interest to U.S. Bank National Association), as trustee (the “Trustee”) and, as supplemented by that certain Tenth Supplemental Indenture, dated as of April 29, 2025 (together with the Base Indenture, the “Indenture”), between the Company and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examined the Registration Statement, together with the exhibits thereto and the documents incorporated by reference therein; the prospectus, dated November 2, 2023, together with the documents incorporated by reference therein, filed with the Registration Statement (the “Prospectus”); the preliminary prospectus supplement, dated April 24, 2025, in the form filed with the Commission pursuant to Rule 424(b) of the Securities Act relating to the offering of the Notes; the free writing prospectus, dated April 24, 2025, in the form filed with the Commission pursuant to Rule 433 of the Securities Act; the final prospectus supplement, dated April 24, 2025, in the form filed with the Commission pursuant to Rule 424(b) of the Securities Act relating to the offering of the Notes (collectively with the Prospectus, the “Prospectus Supplement”); the Indenture and the Notes. In addition, we have examined originals or copies, certified or otherwise identified to our satisfaction, of such documents, corporate records, certificates of public officials and other instruments as we have deemed necessary or advisable for the purpose of rendering this opinion.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sz w:val="20"/>
        </w:rPr>
      </w:pPr>
      <w:r>
        <w:rPr>
          <w:rFonts w:ascii="Times New Roman;Times;Serif" w:hAnsi="Times New Roman;Times;Serif"/>
          <w:b w:val="false"/>
          <w:i w:val="false"/>
          <w:caps/>
          <w:sz w:val="20"/>
        </w:rPr>
        <w:t>austin   boston   BOULDER   brussels   hong kong   london   los angeles   new york   palo alto</w:t>
        <w:br/>
        <w:t>SALTLAKE CITY   san diego   san francisco   seattle   shanghai  washington, dc   wilmington, 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color w:val="FF0000"/>
        </w:rPr>
      </w:pPr>
      <w:r>
        <w:rPr>
          <w:caps w:val="false"/>
          <w:smallCaps w:val="false"/>
          <w:color w:val="FF0000"/>
        </w:rPr>
        <w:drawing>
          <wp:inline distT="0" distB="0" distL="0" distR="0">
            <wp:extent cx="781050" cy="3048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781050" cy="304800"/>
                    </a:xfrm>
                    <a:prstGeom prst="rect">
                      <a:avLst/>
                    </a:prstGeom>
                  </pic:spPr>
                </pic:pic>
              </a:graphicData>
            </a:graphic>
          </wp:inline>
        </w:drawing>
      </w:r>
      <w:r>
        <w:rPr>
          <w:caps w:val="false"/>
          <w:smallCaps w:val="false"/>
          <w:color w:val="FF0000"/>
        </w:rPr>
        <w:t> </w:t>
      </w:r>
    </w:p>
    <w:p>
      <w:pPr>
        <w:pStyle w:val="TextBody"/>
        <w:bidi w:val="0"/>
        <w:spacing w:before="0" w:after="0"/>
        <w:ind w:left="0" w:right="0" w:hanging="0"/>
        <w:jc w:val="left"/>
        <w:rPr>
          <w:caps w:val="false"/>
          <w:smallCaps w:val="false"/>
          <w:color w:val="FF0000"/>
        </w:rPr>
      </w:pPr>
      <w:r>
        <w:rPr>
          <w:caps w:val="false"/>
          <w:smallCaps w:val="false"/>
          <w:color w:val="FF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Micron Technology, Inc.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April 29, 2025</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our examination, we have assumed: (i) the authenticity of original documents and the genuineness of all signatures; (ii) the conformity to the originals of all documents submitted to us as copies; (iii) the truth, accuracy and completeness of the information, representations and warranties contained in the instruments, documents, certificates and records we have reviewed; (iv) the Underwriting Agreement has been duly authorized and validly executed and delivered by the parties thereto (other than by the Company); (v) the legal capacity of all natural persons and (vi) that the Trustee has the power, corporate or other, to enter into and perform its obligations under the Indenture and that the Indenture will be a valid and binding obligation on the Trustee. As to any facts material to the opinions expressed herein that were not independently established or verified, we have relied upon oral or written statements and representations of officers and other representatives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express no opinion herein as to the laws of any jurisdiction, other than the Federal laws of the United States of America, the laws of the State of New York, and the General Corporation Law of the State of Delaware, as such are in effect on the date hereof, and we have made no inquiry into, and we express no opinion as to, the statutes, regulations, treaties, common laws or other laws of any other nation, state or jurisdiction.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express no opinion as to (i) the effect of any bankruptcy, insolvency, reorganization, arrangement, fraudulent conveyance, moratorium or other similar laws relating to or affecting the rights of creditors generally, (ii) rights to indemnification and contribution which may be limited by applicable law or equitable principles, or (iii) the effect of general principles of equity, including, without limitation, concepts of materiality, reasonableness, good faith and fair dealing, the effect of judicial discretion and the possible unavailability of specific performance, injunctive relief or other equitable relief, and the limitations on rights of acceleration, whether considered in a proceeding in equity or at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such examination and in reliance thereon and having regard for legal considerations which we deem relevant, and subject to the limitations and qualifications set forth herein, we are of the opinion that the Notes have been validly issued and constitute valid and binding obligations of the Company, enforceable against the Company in accordance with their terms, and entitled to the benefits of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color w:val="FF0000"/>
        </w:rPr>
      </w:pPr>
      <w:r>
        <w:rPr>
          <w:caps w:val="false"/>
          <w:smallCaps w:val="false"/>
          <w:color w:val="FF0000"/>
        </w:rPr>
        <w:drawing>
          <wp:inline distT="0" distB="0" distL="0" distR="0">
            <wp:extent cx="781050" cy="3048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781050" cy="304800"/>
                    </a:xfrm>
                    <a:prstGeom prst="rect">
                      <a:avLst/>
                    </a:prstGeom>
                  </pic:spPr>
                </pic:pic>
              </a:graphicData>
            </a:graphic>
          </wp:inline>
        </w:drawing>
      </w:r>
      <w:r>
        <w:rPr>
          <w:caps w:val="false"/>
          <w:smallCaps w:val="false"/>
          <w:color w:val="FF0000"/>
        </w:rPr>
        <w:t> </w:t>
      </w:r>
    </w:p>
    <w:p>
      <w:pPr>
        <w:pStyle w:val="TextBody"/>
        <w:bidi w:val="0"/>
        <w:spacing w:before="0" w:after="0"/>
        <w:ind w:left="0" w:right="0" w:hanging="0"/>
        <w:jc w:val="left"/>
        <w:rPr>
          <w:caps w:val="false"/>
          <w:smallCaps w:val="false"/>
          <w:color w:val="FF0000"/>
        </w:rPr>
      </w:pPr>
      <w:r>
        <w:rPr>
          <w:caps w:val="false"/>
          <w:smallCaps w:val="false"/>
          <w:color w:val="FF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Micron Technology, Inc.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April 29, 2025</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filing of this opinion as an exhibit to the Company’s Current Report on Form 8-K and to the use of our name wherever it appears in the Registration Statement, the Prospectus, the Prospectus Supplement, and in any amendment or supplement thereto. In giving such consent, we do not believe that we are “experts” within the meaning of such term as used in the Act or the rules and regulations of the Commission issued thereunder with respect to any part of the Registration Statement, including this opinion as an exhibit or otherwise.</w:t>
      </w:r>
    </w:p>
    <w:p>
      <w:pPr>
        <w:pStyle w:val="TextBody"/>
        <w:bidi w:val="0"/>
        <w:spacing w:before="0" w:after="0"/>
        <w:ind w:left="0" w:right="0" w:hanging="0"/>
        <w:jc w:val="left"/>
        <w:rPr>
          <w:caps w:val="false"/>
          <w:smallCaps w:val="false"/>
        </w:rPr>
      </w:pPr>
      <w:r>
        <w:rPr>
          <w:caps w:val="false"/>
          <w:smallCaps w:val="false"/>
        </w:rPr>
        <w:t> </w:t>
      </w:r>
    </w:p>
    <w:tbl>
      <w:tblPr>
        <w:tblW w:w="5675" w:type="dxa"/>
        <w:jc w:val="left"/>
        <w:tblInd w:w="0" w:type="dxa"/>
        <w:tblLayout w:type="fixed"/>
        <w:tblCellMar>
          <w:top w:w="0" w:type="dxa"/>
          <w:left w:w="0" w:type="dxa"/>
          <w:bottom w:w="0" w:type="dxa"/>
          <w:right w:w="0" w:type="dxa"/>
        </w:tblCellMar>
      </w:tblPr>
      <w:tblGrid>
        <w:gridCol w:w="75"/>
        <w:gridCol w:w="5600"/>
      </w:tblGrid>
      <w:tr>
        <w:trPr/>
        <w:tc>
          <w:tcPr>
            <w:tcW w:w="75" w:type="dxa"/>
            <w:tcBorders/>
            <w:vAlign w:val="center"/>
          </w:tcPr>
          <w:p>
            <w:pPr>
              <w:pStyle w:val="TableContents"/>
              <w:bidi w:val="0"/>
              <w:spacing w:before="0" w:after="283"/>
              <w:jc w:val="left"/>
              <w:rPr/>
            </w:pPr>
            <w:r>
              <w:rPr/>
              <w:t> </w:t>
            </w:r>
          </w:p>
        </w:tc>
        <w:tc>
          <w:tcPr>
            <w:tcW w:w="56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Sincerely,</w:t>
            </w:r>
          </w:p>
        </w:tc>
      </w:tr>
      <w:tr>
        <w:trPr/>
        <w:tc>
          <w:tcPr>
            <w:tcW w:w="75" w:type="dxa"/>
            <w:tcBorders/>
            <w:vAlign w:val="center"/>
          </w:tcPr>
          <w:p>
            <w:pPr>
              <w:pStyle w:val="TableContents"/>
              <w:bidi w:val="0"/>
              <w:spacing w:before="0" w:after="283"/>
              <w:jc w:val="left"/>
              <w:rPr/>
            </w:pPr>
            <w:r>
              <w:rPr/>
              <w:t> </w:t>
            </w:r>
          </w:p>
        </w:tc>
        <w:tc>
          <w:tcPr>
            <w:tcW w:w="56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56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Wilson Sonsini Goodrich &amp; Rosati, P.C.</w:t>
            </w:r>
          </w:p>
        </w:tc>
      </w:tr>
      <w:tr>
        <w:trPr/>
        <w:tc>
          <w:tcPr>
            <w:tcW w:w="75" w:type="dxa"/>
            <w:tcBorders/>
            <w:vAlign w:val="center"/>
          </w:tcPr>
          <w:p>
            <w:pPr>
              <w:pStyle w:val="TableContents"/>
              <w:bidi w:val="0"/>
              <w:spacing w:before="0" w:after="283"/>
              <w:jc w:val="left"/>
              <w:rPr/>
            </w:pPr>
            <w:r>
              <w:rPr/>
              <w:t> </w:t>
            </w:r>
          </w:p>
        </w:tc>
        <w:tc>
          <w:tcPr>
            <w:tcW w:w="56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56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WILSON SONSINI GOODRICH &amp; ROSATI Professional Corporation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Arial">
    <w:altName w:val="Helvetica"/>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3.jpeg"/><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22234</Words>
  <Characters>113340</Characters>
  <CharactersWithSpaces>136575</CharactersWithSpaces>
  <Paragraphs>1426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