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5</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595112-4</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June 28,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p>
      <w:pPr>
        <w:jc w:val="both"/>
        <w:ind w:left="540" w:right="367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 IF A MEMBER OF A GROUP                            (b) [X]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w:t>
        <w:tab/>
        <w:t>(7)</w:t>
      </w:r>
      <w:r>
        <w:rPr>
          <w:sz w:val="20"/>
          <w:szCs w:val="20"/>
          <w:color w:val="auto"/>
        </w:rPr>
        <w:tab/>
      </w:r>
      <w:r>
        <w:rPr>
          <w:rFonts w:ascii="Courier New" w:cs="Courier New" w:eastAsia="Courier New" w:hAnsi="Courier New"/>
          <w:sz w:val="16"/>
          <w:szCs w:val="16"/>
          <w:color w:val="auto"/>
        </w:rPr>
        <w:t>SOLE VOTING POWER</w:t>
      </w: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2,600,000</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ind w:left="321" w:hanging="321"/>
        <w:spacing w:after="0"/>
        <w:tabs>
          <w:tab w:leader="none" w:pos="3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VOTING POWER</w:t>
      </w:r>
    </w:p>
    <w:p>
      <w:pPr>
        <w:ind w:left="841" w:hanging="841"/>
        <w:spacing w:after="0" w:line="238" w:lineRule="auto"/>
        <w:tabs>
          <w:tab w:leader="none" w:pos="84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w:t>
      </w:r>
    </w:p>
    <w:p>
      <w:pPr>
        <w:ind w:left="321" w:hanging="321"/>
        <w:spacing w:after="0" w:line="238" w:lineRule="auto"/>
        <w:tabs>
          <w:tab w:leader="none" w:pos="3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SOLE DISPOSITIVE POWER</w:t>
      </w:r>
    </w:p>
    <w:p>
      <w:pPr>
        <w:ind w:left="841" w:hanging="841"/>
        <w:spacing w:after="0" w:line="238" w:lineRule="auto"/>
        <w:tabs>
          <w:tab w:leader="none" w:pos="84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sectPr>
          <w:pgSz w:w="11900" w:h="16838" w:orient="portrait"/>
          <w:cols w:equalWidth="0" w:num="2">
            <w:col w:w="3060" w:space="319"/>
            <w:col w:w="6840"/>
          </w:cols>
          <w:pgMar w:left="240" w:top="5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 (10)</w:t>
      </w:r>
      <w:r>
        <w:rPr>
          <w:sz w:val="20"/>
          <w:szCs w:val="20"/>
          <w:color w:val="auto"/>
        </w:rPr>
        <w:tab/>
      </w:r>
      <w:r>
        <w:rPr>
          <w:rFonts w:ascii="Courier New" w:cs="Courier New" w:eastAsia="Courier New" w:hAnsi="Courier New"/>
          <w:sz w:val="16"/>
          <w:szCs w:val="16"/>
          <w:color w:val="auto"/>
        </w:rPr>
        <w:t>SHARED DISPOSITIVE POWER</w:t>
      </w: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________________________________:</w:t>
      </w:r>
    </w:p>
    <w:p>
      <w:pPr>
        <w:spacing w:after="0" w:line="207" w:lineRule="exact"/>
        <w:rPr>
          <w:sz w:val="20"/>
          <w:szCs w:val="20"/>
          <w:color w:val="auto"/>
        </w:rPr>
      </w:pPr>
    </w:p>
    <w:p>
      <w:pPr>
        <w:ind w:left="1280" w:right="3359" w:hanging="1272"/>
        <w:spacing w:after="0" w:line="470" w:lineRule="auto"/>
        <w:tabs>
          <w:tab w:leader="none" w:pos="5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2,600,000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type w:val="continuous"/>
        </w:sectPr>
      </w:pPr>
    </w:p>
    <w:bookmarkStart w:id="4" w:name="page5"/>
    <w:bookmarkEnd w:id="4"/>
    <w:p>
      <w:pPr>
        <w:ind w:right="3359" w:firstLine="527"/>
        <w:spacing w:after="0" w:line="268" w:lineRule="auto"/>
        <w:rPr>
          <w:sz w:val="20"/>
          <w:szCs w:val="20"/>
          <w:color w:val="auto"/>
        </w:rPr>
      </w:pPr>
      <w:r>
        <w:rPr>
          <w:rFonts w:ascii="Courier New" w:cs="Courier New" w:eastAsia="Courier New" w:hAnsi="Courier New"/>
          <w:sz w:val="16"/>
          <w:szCs w:val="16"/>
          <w:color w:val="auto"/>
        </w:rPr>
        <w:t>This Amendment No. 5 to Schedule 13D (the "Schedule 13D") is being filed on behalf of J.R. Simplot Company (the "Company") and Simplot Canada Limited ("SCL") to further amend the Schedule 13D as original filed on February 20, 1992 and as subsequently amended by Amendment No. 4 to Schedule 13D filed on November 29, 1995 by the Company, SCL, John R. Simplot, J.R. Simplot Self-Declaration of Revocable Trust dated December 21, 1989, JRS Properties, L.P. (collectively the "Reporting Persons"). Capi-talized terms used herein and not otherwise defined have the same meanings as provided in the Amendment No. 4 to Schedule 13D.</w:t>
      </w:r>
    </w:p>
    <w:p>
      <w:pPr>
        <w:spacing w:after="0" w:line="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This Amendment No. 5 to Schedule 13D does not amend any informa-tion with respect to any of the Reporting Persons other than the Company and SCL.</w:t>
      </w:r>
    </w:p>
    <w:p>
      <w:pPr>
        <w:spacing w:after="0" w:line="209" w:lineRule="exact"/>
        <w:rPr>
          <w:sz w:val="20"/>
          <w:szCs w:val="20"/>
          <w:color w:val="auto"/>
        </w:rPr>
      </w:pPr>
    </w:p>
    <w:p>
      <w:pPr>
        <w:jc w:val="both"/>
        <w:ind w:right="3479"/>
        <w:spacing w:after="0" w:line="235" w:lineRule="auto"/>
        <w:rPr>
          <w:sz w:val="20"/>
          <w:szCs w:val="20"/>
          <w:color w:val="auto"/>
        </w:rPr>
      </w:pPr>
      <w:r>
        <w:rPr>
          <w:rFonts w:ascii="Courier New" w:cs="Courier New" w:eastAsia="Courier New" w:hAnsi="Courier New"/>
          <w:sz w:val="18"/>
          <w:szCs w:val="18"/>
          <w:color w:val="auto"/>
        </w:rPr>
        <w:t>Item 4. Purpose of Transaction, is hereby amended by adding the following thereto:</w:t>
      </w:r>
    </w:p>
    <w:p>
      <w:pPr>
        <w:spacing w:after="0" w:line="208"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The Company may from time to time in the future sell por-tions of its other holdings of Common Stock to fund requirements for investments in its core businesses.</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by adding the following thereto:</w:t>
      </w:r>
    </w:p>
    <w:p>
      <w:pPr>
        <w:spacing w:after="0" w:line="208" w:lineRule="exact"/>
        <w:rPr>
          <w:sz w:val="20"/>
          <w:szCs w:val="20"/>
          <w:color w:val="auto"/>
        </w:rPr>
      </w:pPr>
    </w:p>
    <w:p>
      <w:pPr>
        <w:ind w:right="3359" w:firstLine="527"/>
        <w:spacing w:after="0" w:line="270" w:lineRule="auto"/>
        <w:rPr>
          <w:sz w:val="20"/>
          <w:szCs w:val="20"/>
          <w:color w:val="auto"/>
        </w:rPr>
      </w:pPr>
      <w:r>
        <w:rPr>
          <w:rFonts w:ascii="Courier New" w:cs="Courier New" w:eastAsia="Courier New" w:hAnsi="Courier New"/>
          <w:sz w:val="16"/>
          <w:szCs w:val="16"/>
          <w:color w:val="auto"/>
        </w:rPr>
        <w:t>(a)-(b) The Company beneficially owns an aggregate of 26,299,000 shares of Common Stock of Micron Technology, Inc. ("Micron"). Such shares represent 12.7% of the outstanding Common Stock (based on the number of shares outstanding as reported on Micron's Form 10-Q for the quarter ended February 29, 1996 (the "Micron 10-Q")). Such shares consist of (x) 23,699,000 shares of Common Stock held by the Company and (y) 2,600,000 shares of Common Stock as to which SCL has voting power. The Company has the sole power to dispose of the 23,699,000 shares of Common Stock. The Company has the sole power to vote 21,099,000 shares of Common Stock and the sole power to direct the vote of 2,600,000 shares of Common Stock. The Company disclaims benefi-cial ownership of the shares of Common Stock held by each other Reporting Person, other than SCL.</w:t>
      </w:r>
    </w:p>
    <w:p>
      <w:pPr>
        <w:spacing w:after="0" w:line="388" w:lineRule="exact"/>
        <w:rPr>
          <w:sz w:val="20"/>
          <w:szCs w:val="20"/>
          <w:color w:val="auto"/>
        </w:rPr>
      </w:pPr>
    </w:p>
    <w:p>
      <w:pPr>
        <w:ind w:right="3479" w:firstLine="527"/>
        <w:spacing w:after="0" w:line="270" w:lineRule="auto"/>
        <w:rPr>
          <w:sz w:val="20"/>
          <w:szCs w:val="20"/>
          <w:color w:val="auto"/>
        </w:rPr>
      </w:pPr>
      <w:r>
        <w:rPr>
          <w:rFonts w:ascii="Courier New" w:cs="Courier New" w:eastAsia="Courier New" w:hAnsi="Courier New"/>
          <w:sz w:val="16"/>
          <w:szCs w:val="16"/>
          <w:color w:val="auto"/>
        </w:rPr>
        <w:t>SCL beneficially owns 2,600,000 shares of Common Stock (the "SCL Shares"). The SCL Shares represent 1.3% of the outstanding Common Stock (based on the number of shares outstanding as reported on the Micron 10-Q). SCL has the sole power to direct the vote of the 2,600,000 shares of Common Stock. SCL does not have the power to dispose of, or direct the disposition of, any shares of Common Stock. However, under the Pledge described in Item 6 below, SCL has the power to reclaim possession of, and dispositive power over, the SCL Shares by substitution of alter-native collateral for the SCL Shares, subject to the prior written consent of Canadian Imperial Bank of Commerce ("CIBC"). SCL disclaims beneficial ownership of the shares of Common Stock held by each other Reporting Person.</w:t>
      </w:r>
    </w:p>
    <w:p>
      <w:pPr>
        <w:spacing w:after="0" w:line="389" w:lineRule="exact"/>
        <w:rPr>
          <w:sz w:val="20"/>
          <w:szCs w:val="20"/>
          <w:color w:val="auto"/>
        </w:rPr>
      </w:pPr>
    </w:p>
    <w:p>
      <w:pPr>
        <w:ind w:right="3359" w:firstLine="535"/>
        <w:spacing w:after="0" w:line="269"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28, 1996, SCL entered into an agreement with CIBC (the "Forward") for the sale of 2,600,000 shares of Common Stock (such shares, the "SCL Shares") to CIBC pursuant to an International Swap Dealers Association, Inc. Master Agreement (Multicurrency--Cross Border) (1992) between CIBC and SCL, with delivery of the SCL Shares to be made to CIBC on June 27, 2003 or sooner upon the occurrence of certain events (the "Termination Date"). A subsidiary of the Company had acquired the SCL Shares from Micron in a private placement in December 1984. The pur-chase price for the SCL Shares to be paid by CIBC to SCL is Canadian $136,357,382.08 if the Termination Date occurs in June 2003, and is subject to reduction if the Termination Date occurs at an earlier date. Based on the exchange rate prevailing on June 28, 1996, this purchase price represented approximately $99.9 million (approximately $38.42 per share) in United States dollars payable in June 2003. SCL understands that CIBC Wood Gundy Securities Corp., an affiliate of CIBC, has hedged CIBC's anticipated obligations under the forward sale.</w:t>
      </w:r>
    </w:p>
    <w:p>
      <w:pPr>
        <w:spacing w:after="0" w:line="395" w:lineRule="exact"/>
        <w:rPr>
          <w:rFonts w:ascii="Courier New" w:cs="Courier New" w:eastAsia="Courier New" w:hAnsi="Courier New"/>
          <w:sz w:val="16"/>
          <w:szCs w:val="16"/>
          <w:color w:val="auto"/>
        </w:rPr>
      </w:pPr>
    </w:p>
    <w:p>
      <w:pPr>
        <w:ind w:right="3359" w:firstLine="535"/>
        <w:spacing w:after="0" w:line="275"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Forward, CIBC is entitled to receive (i) the entire amount of any dividend on the SCL Shares that exceeds $0.50 per share and (ii) non-cash distributions on the SCL Shares (excluding stock splits, stock dividends and the like).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an agreement between the Company and CIBC dated June</w:t>
      </w:r>
    </w:p>
    <w:p>
      <w:pPr>
        <w:sectPr>
          <w:pgSz w:w="11900" w:h="16838" w:orient="portrait"/>
          <w:cols w:equalWidth="0" w:num="1">
            <w:col w:w="10219"/>
          </w:cols>
          <w:pgMar w:left="240" w:top="723" w:right="1440" w:bottom="0" w:gutter="0" w:footer="0" w:header="0"/>
        </w:sectPr>
      </w:pPr>
    </w:p>
    <w:bookmarkStart w:id="5" w:name="page6"/>
    <w:bookmarkEnd w:id="5"/>
    <w:p>
      <w:pPr>
        <w:ind w:right="3479"/>
        <w:spacing w:after="0" w:line="270" w:lineRule="auto"/>
        <w:rPr>
          <w:sz w:val="20"/>
          <w:szCs w:val="20"/>
          <w:color w:val="auto"/>
        </w:rPr>
      </w:pPr>
      <w:r>
        <w:rPr>
          <w:rFonts w:ascii="Courier New" w:cs="Courier New" w:eastAsia="Courier New" w:hAnsi="Courier New"/>
          <w:sz w:val="16"/>
          <w:szCs w:val="16"/>
          <w:color w:val="auto"/>
        </w:rPr>
        <w:t>28, 1996 (the "Dividend Swap") pursuant to an International Swap Dealers Association, Inc. Master Agreement (Multicurrency--Cross Border) (1992) between CIBC and the Company, (i) CIBC has agreed to pay to the Company an amount equal to $90,170.79 within three business days after each payment of any dividend by Micron prior to the Termination Date, and (ii) the Company agreed to pay to CIBC an amount equal to the product of (x) 2,600,000 and (y) the per share amount of any dividend (but only in respect of divi-dends of $0.50 or less per share) paid by Micron on the Common Stock prior to the Termination Date.</w:t>
      </w:r>
    </w:p>
    <w:p>
      <w:pPr>
        <w:spacing w:after="0" w:line="184"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is hereby amended by adding the following thereto:</w:t>
      </w:r>
    </w:p>
    <w:p>
      <w:pPr>
        <w:spacing w:after="0" w:line="209"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To secure SCL's obligations under the Forward and under a loan agreement between SCL and CIBC dated June 28, 1996 (the "Loan Agreement") pursuant to which SCL borrowed from CIBC on such date Canadian $80,881,000.95 (approximately $59.3 million in U.S. dollars) on a nonrecourse basis, SCL pledged the SCL Shares to CIBC pursuant to a pledge agreement dated June 28, 1996 (the "Pledge"). Under the terms of the Pledge, SCL retains the right to vote the SCL Shares in the absence of an event of default under the Loan Agreement. SCL intends to use the proceeds received under the Loan Agreement to fund requirements for investments in its core businesses, including the construction of a fertilizer plant in Manitoba, Canada.</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On June 28, 1996, the Company gave CIBC an irrevocable proxy to vote until the Termination Date 2,600,000 shares of Common Stock held by the Company. Such proxy is by its terms assignable only to persons serving from time to time as the Chairman of the Board of Micron, the Chief Financial Officer of Micron, and such persons' assignees or designees. CIBC has advised the Company that it in turn immediately gave the Chairman of the Board and the Chief Financial Officer of Micron an irrevocable proxy to vote such shares until the Termination Date.</w:t>
      </w:r>
    </w:p>
    <w:p>
      <w:pPr>
        <w:spacing w:after="0" w:line="184"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Forward and the Dividend Swap are described under Item 5(c) and 5(d), respectively, above.</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7. Material to be Filed as Exhibits, is hereby amended by adding the following thereto:</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agreements identified in Item 6 above will be filed as soon as practicable.</w:t>
      </w:r>
    </w:p>
    <w:p>
      <w:pPr>
        <w:sectPr>
          <w:pgSz w:w="11900" w:h="16838" w:orient="portrait"/>
          <w:cols w:equalWidth="0" w:num="1">
            <w:col w:w="10219"/>
          </w:cols>
          <w:pgMar w:left="240" w:top="142"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June 28, 1996</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Dated:</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June 28, 1996</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Simplot</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Canada Limited</w:t>
            </w:r>
          </w:p>
        </w:tc>
        <w:tc>
          <w:tcPr>
            <w:tcW w:w="35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J. R. Simplot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w w:val="98"/>
              </w:rPr>
              <w:t>/s/ RONALD N. GRAVES__</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By:</w:t>
            </w:r>
          </w:p>
        </w:tc>
        <w:tc>
          <w:tcPr>
            <w:tcW w:w="2680" w:type="dxa"/>
            <w:vAlign w:val="bottom"/>
          </w:tcPr>
          <w:p>
            <w:pPr>
              <w:ind w:left="380"/>
              <w:spacing w:after="0"/>
              <w:rPr>
                <w:sz w:val="20"/>
                <w:szCs w:val="20"/>
                <w:color w:val="auto"/>
              </w:rPr>
            </w:pPr>
            <w:r>
              <w:rPr>
                <w:rFonts w:ascii="Courier New" w:cs="Courier New" w:eastAsia="Courier New" w:hAnsi="Courier New"/>
                <w:sz w:val="18"/>
                <w:szCs w:val="18"/>
                <w:color w:val="auto"/>
                <w:w w:val="95"/>
              </w:rPr>
              <w:t>/s/ RONALD N. GRAVES__</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Secretary_____________</w:t>
            </w:r>
          </w:p>
        </w:tc>
        <w:tc>
          <w:tcPr>
            <w:tcW w:w="35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Title: Secretary_____________</w:t>
            </w:r>
          </w:p>
        </w:tc>
      </w:tr>
    </w:tbl>
    <w:p>
      <w:pPr>
        <w:spacing w:after="0" w:line="1" w:lineRule="exact"/>
        <w:rPr>
          <w:sz w:val="20"/>
          <w:szCs w:val="20"/>
          <w:color w:val="auto"/>
        </w:rPr>
      </w:pP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2019-12-13T13:31:17Z</dcterms:created>
  <dcterms:modified xsi:type="dcterms:W3CDTF">2019-12-13T13:31:17Z</dcterms:modified>
</cp:coreProperties>
</file>