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Liu Teyin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tliupoa.txt"/>
      <w:bookmarkStart w:id="3" w:name="kstliu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undersigned, as an officer and/or director of Micron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Technology,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 (the "Company") who is subject to the ownership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of Section 16 of the U.S.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("Section 16"), hereby constitutes and appoints Renee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Becker,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Kristi Pearson, Mai Lan Bui, and Matthew Hendley, and each of them,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complete and execute,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and such other forms, and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as such attorney-in-fact shall in his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 discretion determine to be required or advisable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Section 16,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or any successor laws and regulations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(collectively, the "Exchange Act Rules"), as a consequence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do all acts necessary in order to file such forms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Commission, any securities exchange or national association,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such other person or agency as the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shall deem appropriate to comply with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and any other applicable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ratifies and confirms all that said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shall do or cause to be done by virtue hereof.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the Exchange Act Rules.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revokes any previous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or she may have given to any person to make and file such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with respect to his or her ownership, acquisition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disposition of securities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earliest to occur of the following:  (a)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(b) revocation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Company, or (c) as to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until such attorney-in-fact is no longer employed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5th day of March 2025.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Signature:__/s/ Teyin Mark Liu__________________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 Teyin Mark Liu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8769" TargetMode="External"/><Relationship Id="rId3" Type="http://schemas.openxmlformats.org/officeDocument/2006/relationships/hyperlink" Target="http://www.sec.gov/cgi-bin/browse-edgar?action=getcompany&amp;CIK=000072312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792</Words>
  <Characters>4280</Characters>
  <CharactersWithSpaces>5021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