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203"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2008</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679"/>
        <w:spacing w:after="0" w:line="279" w:lineRule="auto"/>
        <w:tabs>
          <w:tab w:leader="none" w:pos="10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8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7</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595112103</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0" w:lineRule="exact"/>
        <w:rPr>
          <w:sz w:val="24"/>
          <w:szCs w:val="24"/>
          <w:color w:val="auto"/>
        </w:rPr>
      </w:pPr>
    </w:p>
    <w:p>
      <w:pPr>
        <w:sectPr>
          <w:pgSz w:w="11900" w:h="16838" w:orient="portrait"/>
          <w:cols w:equalWidth="0" w:num="3">
            <w:col w:w="960" w:space="320"/>
            <w:col w:w="940" w:space="520"/>
            <w:col w:w="747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behalf of its investment advisory subsidiaries - See Item 7)</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Joint Filing</w:t>
      </w:r>
    </w:p>
    <w:p>
      <w:pPr>
        <w:spacing w:after="0" w:line="218"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SHARES BENEFICALLY OWNED BY EACH REPORTING PERSON WITH</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80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47,821,805</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47,821,805</w:t>
      </w:r>
    </w:p>
    <w:p>
      <w:pPr>
        <w:spacing w:after="0" w:line="11" w:lineRule="exact"/>
        <w:rPr>
          <w:rFonts w:ascii="Courier New" w:cs="Courier New" w:eastAsia="Courier New" w:hAnsi="Courier New"/>
          <w:sz w:val="18"/>
          <w:szCs w:val="18"/>
          <w:color w:val="auto"/>
        </w:rPr>
      </w:pPr>
    </w:p>
    <w:p>
      <w:pPr>
        <w:ind w:right="261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47,821,805 (ownership disclaimed pursuant to Rule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right="483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Page 3</w:t>
            </w:r>
          </w:p>
        </w:tc>
        <w:tc>
          <w:tcPr>
            <w:tcW w:w="7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of 7</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1</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MICRON TECHNOLOGY, INC.  (the "Company")</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1</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40" w:type="dxa"/>
            <w:vAlign w:val="bottom"/>
          </w:tcPr>
          <w:p>
            <w:pPr>
              <w:ind w:left="640"/>
              <w:spacing w:after="0"/>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640" w:type="dxa"/>
            <w:vAlign w:val="bottom"/>
          </w:tcPr>
          <w:p>
            <w:pPr>
              <w:spacing w:after="0"/>
              <w:rPr>
                <w:sz w:val="17"/>
                <w:szCs w:val="17"/>
                <w:color w:val="auto"/>
              </w:rPr>
            </w:pP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3"/>
              </w:rPr>
              <w:t>PO</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Box 6</w:t>
            </w:r>
          </w:p>
        </w:tc>
      </w:tr>
      <w:tr>
        <w:trPr>
          <w:trHeight w:val="203"/>
        </w:trPr>
        <w:tc>
          <w:tcPr>
            <w:tcW w:w="640" w:type="dxa"/>
            <w:vAlign w:val="bottom"/>
          </w:tcPr>
          <w:p>
            <w:pPr>
              <w:spacing w:after="0"/>
              <w:rPr>
                <w:sz w:val="17"/>
                <w:szCs w:val="17"/>
                <w:color w:val="auto"/>
              </w:rPr>
            </w:pPr>
          </w:p>
        </w:tc>
        <w:tc>
          <w:tcPr>
            <w:tcW w:w="7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Boise, ID 83707</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4"/>
                <w:szCs w:val="24"/>
                <w:color w:val="auto"/>
              </w:rPr>
            </w:pPr>
          </w:p>
        </w:tc>
        <w:tc>
          <w:tcPr>
            <w:tcW w:w="70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BlackRock, Inc.</w:t>
            </w:r>
          </w:p>
        </w:tc>
      </w:tr>
      <w:tr>
        <w:trPr>
          <w:trHeight w:val="203"/>
        </w:trPr>
        <w:tc>
          <w:tcPr>
            <w:tcW w:w="640" w:type="dxa"/>
            <w:vAlign w:val="bottom"/>
          </w:tcPr>
          <w:p>
            <w:pPr>
              <w:spacing w:after="0"/>
              <w:rPr>
                <w:sz w:val="17"/>
                <w:szCs w:val="17"/>
                <w:color w:val="auto"/>
              </w:rPr>
            </w:pPr>
          </w:p>
        </w:tc>
        <w:tc>
          <w:tcPr>
            <w:tcW w:w="70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(on behalf of its investment advisory subsidiaries - See Item 7)</w:t>
            </w: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BlackRock,</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40 East 52nd Street</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(c)</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See Item 4</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Cover Page</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(d)</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Title of Class Securities:</w:t>
            </w:r>
          </w:p>
        </w:tc>
      </w:tr>
      <w:tr>
        <w:trPr>
          <w:trHeight w:val="203"/>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Common</w:t>
            </w:r>
          </w:p>
        </w:tc>
        <w:tc>
          <w:tcPr>
            <w:tcW w:w="7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Stock</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ITEM 2</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CUSIP NUMBER:</w:t>
            </w:r>
          </w:p>
        </w:tc>
      </w:tr>
    </w:tbl>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this statement is filed pursuant to SS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78c),</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 (15 U.S.C 78c),</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207" w:lineRule="exact"/>
        <w:rPr>
          <w:sz w:val="20"/>
          <w:szCs w:val="20"/>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SS 240. 13d-1(b) (1) (ii) (E),</w:t>
      </w:r>
    </w:p>
    <w:p>
      <w:pPr>
        <w:spacing w:after="0" w:line="4" w:lineRule="exact"/>
        <w:rPr>
          <w:rFonts w:ascii="Courier New" w:cs="Courier New" w:eastAsia="Courier New" w:hAnsi="Courier New"/>
          <w:sz w:val="18"/>
          <w:szCs w:val="18"/>
          <w:color w:val="auto"/>
        </w:rPr>
      </w:pPr>
    </w:p>
    <w:p>
      <w:pPr>
        <w:ind w:left="860" w:right="32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SS 240. 13d-1(b) (ii) (F),</w:t>
      </w:r>
    </w:p>
    <w:p>
      <w:pPr>
        <w:spacing w:after="0" w:line="5" w:lineRule="exact"/>
        <w:rPr>
          <w:rFonts w:ascii="Courier New" w:cs="Courier New" w:eastAsia="Courier New" w:hAnsi="Courier New"/>
          <w:sz w:val="18"/>
          <w:szCs w:val="18"/>
          <w:color w:val="auto"/>
        </w:rPr>
      </w:pPr>
    </w:p>
    <w:p>
      <w:pPr>
        <w:ind w:left="860" w:right="315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SS.SS.240.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w:t>
      </w:r>
    </w:p>
    <w:p>
      <w:pPr>
        <w:spacing w:after="0" w:line="5" w:lineRule="exact"/>
        <w:rPr>
          <w:sz w:val="20"/>
          <w:szCs w:val="20"/>
          <w:color w:val="auto"/>
        </w:rPr>
      </w:pPr>
    </w:p>
    <w:p>
      <w:pPr>
        <w:ind w:left="860" w:right="3039"/>
        <w:spacing w:after="0" w:line="235" w:lineRule="auto"/>
        <w:rPr>
          <w:sz w:val="20"/>
          <w:szCs w:val="20"/>
          <w:color w:val="auto"/>
        </w:rPr>
      </w:pPr>
      <w:r>
        <w:rPr>
          <w:rFonts w:ascii="Courier New" w:cs="Courier New" w:eastAsia="Courier New" w:hAnsi="Courier New"/>
          <w:sz w:val="18"/>
          <w:szCs w:val="18"/>
          <w:color w:val="auto"/>
        </w:rPr>
        <w:t>investment company under Section 3(c) (14) of the Investment Company Act of 1940(15 U.S.C 80a-3),</w:t>
      </w:r>
    </w:p>
    <w:p>
      <w:pPr>
        <w:spacing w:after="0"/>
        <w:rPr>
          <w:sz w:val="20"/>
          <w:szCs w:val="20"/>
          <w:color w:val="auto"/>
        </w:rPr>
      </w:pPr>
      <w:r>
        <w:rPr>
          <w:rFonts w:ascii="Courier New" w:cs="Courier New" w:eastAsia="Courier New" w:hAnsi="Courier New"/>
          <w:sz w:val="18"/>
          <w:szCs w:val="18"/>
          <w:color w:val="auto"/>
        </w:rPr>
        <w:t>(j) [ ] Group, in accordance with SS 240. 13d-1(b) (1) (ii) (J).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6939" w:hanging="532"/>
        <w:spacing w:after="0" w:line="536"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BlackRock, Inc. is a parent holding company for a number of investment management subsidiaries. Certain of</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these subsidiaries hold shares of the security which is the subject of this report. (See Item 7).</w:t>
      </w:r>
    </w:p>
    <w:p>
      <w:pPr>
        <w:spacing w:after="0" w:line="208"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ectPr>
          <w:pgSz w:w="11900" w:h="16838" w:orient="portrait"/>
          <w:cols w:equalWidth="0" w:num="1">
            <w:col w:w="10219"/>
          </w:cols>
          <w:pgMar w:left="240" w:top="136" w:right="1440" w:bottom="0" w:gutter="0" w:footer="0" w:header="0"/>
        </w:sectPr>
      </w:pPr>
    </w:p>
    <w:bookmarkStart w:id="3" w:name="page4"/>
    <w:bookmarkEnd w:id="3"/>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The following subsidiaries of BlackRock, Inc. are investment advisors which hold shares of the security being reported;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International Ltd</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09, 2009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International Ltd</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Clark</w:t>
      </w:r>
    </w:p>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11, 2008, included as Exhibit A to this Schedule 13G filed with the Securities and Exchange Commission by BlackRock, Inc.</w:t>
      </w:r>
    </w:p>
    <w:p>
      <w:pPr>
        <w:sectPr>
          <w:pgSz w:w="11900" w:h="16838" w:orient="portrait"/>
          <w:cols w:equalWidth="0" w:num="1">
            <w:col w:w="10219"/>
          </w:cols>
          <w:pgMar w:left="240" w:top="136" w:right="1440" w:bottom="539"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7 of 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Robert Connolly, Howard Surloff, Edward Baer, James DesMarais, Bartholomew Battista, Daniel Waltcher, Vincent Tritto, Karen Clark, Denis Molleur, Daniel Ronnen, Daniel Moonay, Nicholas Hall, Con Tzatzakis and Junichi Yoshioka acting severally, as its true and lawful attorneys-in-fact, for the purpose of, from time to time, executing in its name and on its behalf, whether the Company is acting individually or</w:t>
      </w:r>
    </w:p>
    <w:p>
      <w:pPr>
        <w:spacing w:after="0" w:line="11"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9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4, 2006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January,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4"/>
    </w:lvl>
    <w:lvl w:ilvl="1">
      <w:lvlJc w:val="left"/>
      <w:lvlText w:val="%2"/>
      <w:numFmt w:val="upperLetter"/>
      <w:start w:val="1"/>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2019-12-10T05:40:39Z</dcterms:created>
  <dcterms:modified xsi:type="dcterms:W3CDTF">2019-12-10T05:40:39Z</dcterms:modified>
</cp:coreProperties>
</file>