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i w:val="1"/>
          <w:iCs w:val="1"/>
          <w:color w:val="auto"/>
        </w:rPr>
        <w:t>Filed Pursuant to Rule 433</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i w:val="1"/>
          <w:iCs w:val="1"/>
          <w:color w:val="auto"/>
        </w:rPr>
        <w:t>Registration No. 333-220882</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i w:val="1"/>
          <w:iCs w:val="1"/>
          <w:color w:val="auto"/>
        </w:rPr>
        <w:t>Issuer Free Writing Prospectus dated February 4, 2019</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i w:val="1"/>
          <w:iCs w:val="1"/>
          <w:color w:val="auto"/>
        </w:rPr>
        <w:t>Relating to Preliminary Prospectus Supplement dated February 4, 2019</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FEBRUARY 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142875</wp:posOffset>
            </wp:positionV>
            <wp:extent cx="1071880" cy="300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880" cy="300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4.640% SENIOR NOTES DUE 2024</w:t>
      </w:r>
    </w:p>
    <w:p>
      <w:pPr>
        <w:spacing w:after="0" w:line="2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4.975% SENIOR NOTES DUE 2026</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5.327% SENIOR NOTES DUE 2029</w:t>
      </w:r>
    </w:p>
    <w:p>
      <w:pPr>
        <w:spacing w:after="0" w:line="211"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The information in this pricing term sheet supplements Micron Technology, Inc.’s (“Micron”) preliminary prospectus supplement, dated February 4, 2019 (the “Preliminary Prospectus Supplement”), and supplements and supersedes the information in the Preliminary Prospectus Supplement to the extent supplementary to or inconsistent with the information in the Preliminary Prospectus Supplement. Terms used herein but not defined herein shall have the respective meanings as set forth in the Preliminary Prospectus Supplement.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7700" w:type="dxa"/>
            <w:vAlign w:val="bottom"/>
          </w:tcPr>
          <w:p>
            <w:pPr>
              <w:ind w:left="2080"/>
              <w:spacing w:after="0"/>
              <w:rPr>
                <w:sz w:val="20"/>
                <w:szCs w:val="20"/>
                <w:color w:val="auto"/>
              </w:rPr>
            </w:pPr>
            <w:r>
              <w:rPr>
                <w:rFonts w:ascii="Arial" w:cs="Arial" w:eastAsia="Arial" w:hAnsi="Arial"/>
                <w:sz w:val="18"/>
                <w:szCs w:val="18"/>
                <w:color w:val="auto"/>
              </w:rPr>
              <w:t>Micron Technology, Inc. (NASDAQ: MU)</w:t>
            </w:r>
          </w:p>
        </w:tc>
      </w:tr>
      <w:tr>
        <w:trPr>
          <w:trHeight w:val="418"/>
        </w:trPr>
        <w:tc>
          <w:tcPr>
            <w:tcW w:w="3760" w:type="dxa"/>
            <w:vAlign w:val="bottom"/>
          </w:tcPr>
          <w:p>
            <w:pPr>
              <w:spacing w:after="0"/>
              <w:rPr>
                <w:sz w:val="20"/>
                <w:szCs w:val="20"/>
                <w:color w:val="auto"/>
              </w:rPr>
            </w:pPr>
            <w:r>
              <w:rPr>
                <w:rFonts w:ascii="Arial" w:cs="Arial" w:eastAsia="Arial" w:hAnsi="Arial"/>
                <w:sz w:val="18"/>
                <w:szCs w:val="18"/>
                <w:b w:val="1"/>
                <w:bCs w:val="1"/>
                <w:color w:val="auto"/>
              </w:rPr>
              <w:t>Securities Offered:</w:t>
            </w:r>
          </w:p>
        </w:tc>
        <w:tc>
          <w:tcPr>
            <w:tcW w:w="7700" w:type="dxa"/>
            <w:vAlign w:val="bottom"/>
          </w:tcPr>
          <w:p>
            <w:pPr>
              <w:ind w:left="2080"/>
              <w:spacing w:after="0"/>
              <w:rPr>
                <w:sz w:val="20"/>
                <w:szCs w:val="20"/>
                <w:color w:val="auto"/>
              </w:rPr>
            </w:pPr>
            <w:r>
              <w:rPr>
                <w:rFonts w:ascii="Arial" w:cs="Arial" w:eastAsia="Arial" w:hAnsi="Arial"/>
                <w:sz w:val="18"/>
                <w:szCs w:val="18"/>
                <w:color w:val="auto"/>
                <w:w w:val="94"/>
              </w:rPr>
              <w:t>$600 million aggregate principal amount of 4.640% Senior Notes due 2024</w:t>
            </w:r>
          </w:p>
        </w:tc>
      </w:tr>
      <w:tr>
        <w:trPr>
          <w:trHeight w:val="216"/>
        </w:trPr>
        <w:tc>
          <w:tcPr>
            <w:tcW w:w="3760" w:type="dxa"/>
            <w:vAlign w:val="bottom"/>
          </w:tcPr>
          <w:p>
            <w:pPr>
              <w:spacing w:after="0"/>
              <w:rPr>
                <w:sz w:val="18"/>
                <w:szCs w:val="18"/>
                <w:color w:val="auto"/>
              </w:rPr>
            </w:pPr>
          </w:p>
        </w:tc>
        <w:tc>
          <w:tcPr>
            <w:tcW w:w="7700" w:type="dxa"/>
            <w:vAlign w:val="bottom"/>
          </w:tcPr>
          <w:p>
            <w:pPr>
              <w:ind w:left="2080"/>
              <w:spacing w:after="0"/>
              <w:rPr>
                <w:sz w:val="20"/>
                <w:szCs w:val="20"/>
                <w:color w:val="auto"/>
              </w:rPr>
            </w:pPr>
            <w:r>
              <w:rPr>
                <w:rFonts w:ascii="Arial" w:cs="Arial" w:eastAsia="Arial" w:hAnsi="Arial"/>
                <w:sz w:val="18"/>
                <w:szCs w:val="18"/>
                <w:color w:val="auto"/>
              </w:rPr>
              <w:t>(the “2024 notes”)</w:t>
            </w:r>
          </w:p>
        </w:tc>
      </w:tr>
      <w:tr>
        <w:trPr>
          <w:trHeight w:val="216"/>
        </w:trPr>
        <w:tc>
          <w:tcPr>
            <w:tcW w:w="3760" w:type="dxa"/>
            <w:vAlign w:val="bottom"/>
          </w:tcPr>
          <w:p>
            <w:pPr>
              <w:spacing w:after="0"/>
              <w:rPr>
                <w:sz w:val="18"/>
                <w:szCs w:val="18"/>
                <w:color w:val="auto"/>
              </w:rPr>
            </w:pPr>
          </w:p>
        </w:tc>
        <w:tc>
          <w:tcPr>
            <w:tcW w:w="7700" w:type="dxa"/>
            <w:vAlign w:val="bottom"/>
          </w:tcPr>
          <w:p>
            <w:pPr>
              <w:ind w:left="2080"/>
              <w:spacing w:after="0"/>
              <w:rPr>
                <w:sz w:val="20"/>
                <w:szCs w:val="20"/>
                <w:color w:val="auto"/>
              </w:rPr>
            </w:pPr>
            <w:r>
              <w:rPr>
                <w:rFonts w:ascii="Arial" w:cs="Arial" w:eastAsia="Arial" w:hAnsi="Arial"/>
                <w:sz w:val="18"/>
                <w:szCs w:val="18"/>
                <w:color w:val="auto"/>
                <w:w w:val="94"/>
              </w:rPr>
              <w:t>$500 million aggregate principal amount of 4.975% Senior Notes due 2026</w:t>
            </w:r>
          </w:p>
        </w:tc>
      </w:tr>
      <w:tr>
        <w:trPr>
          <w:trHeight w:val="216"/>
        </w:trPr>
        <w:tc>
          <w:tcPr>
            <w:tcW w:w="3760" w:type="dxa"/>
            <w:vAlign w:val="bottom"/>
          </w:tcPr>
          <w:p>
            <w:pPr>
              <w:spacing w:after="0"/>
              <w:rPr>
                <w:sz w:val="18"/>
                <w:szCs w:val="18"/>
                <w:color w:val="auto"/>
              </w:rPr>
            </w:pPr>
          </w:p>
        </w:tc>
        <w:tc>
          <w:tcPr>
            <w:tcW w:w="7700" w:type="dxa"/>
            <w:vAlign w:val="bottom"/>
          </w:tcPr>
          <w:p>
            <w:pPr>
              <w:ind w:left="2080"/>
              <w:spacing w:after="0"/>
              <w:rPr>
                <w:sz w:val="20"/>
                <w:szCs w:val="20"/>
                <w:color w:val="auto"/>
              </w:rPr>
            </w:pPr>
            <w:r>
              <w:rPr>
                <w:rFonts w:ascii="Arial" w:cs="Arial" w:eastAsia="Arial" w:hAnsi="Arial"/>
                <w:sz w:val="18"/>
                <w:szCs w:val="18"/>
                <w:color w:val="auto"/>
              </w:rPr>
              <w:t>(the “2026 notes”)</w:t>
            </w:r>
          </w:p>
        </w:tc>
      </w:tr>
      <w:tr>
        <w:trPr>
          <w:trHeight w:val="216"/>
        </w:trPr>
        <w:tc>
          <w:tcPr>
            <w:tcW w:w="3760" w:type="dxa"/>
            <w:vAlign w:val="bottom"/>
          </w:tcPr>
          <w:p>
            <w:pPr>
              <w:spacing w:after="0"/>
              <w:rPr>
                <w:sz w:val="18"/>
                <w:szCs w:val="18"/>
                <w:color w:val="auto"/>
              </w:rPr>
            </w:pPr>
          </w:p>
        </w:tc>
        <w:tc>
          <w:tcPr>
            <w:tcW w:w="7700" w:type="dxa"/>
            <w:vAlign w:val="bottom"/>
          </w:tcPr>
          <w:p>
            <w:pPr>
              <w:ind w:left="2080"/>
              <w:spacing w:after="0"/>
              <w:rPr>
                <w:sz w:val="20"/>
                <w:szCs w:val="20"/>
                <w:color w:val="auto"/>
              </w:rPr>
            </w:pPr>
            <w:r>
              <w:rPr>
                <w:rFonts w:ascii="Arial" w:cs="Arial" w:eastAsia="Arial" w:hAnsi="Arial"/>
                <w:sz w:val="18"/>
                <w:szCs w:val="18"/>
                <w:color w:val="auto"/>
                <w:w w:val="94"/>
              </w:rPr>
              <w:t>$700 million aggregate principal amount of 5.327% Senior Notes due 2029</w:t>
            </w:r>
          </w:p>
        </w:tc>
      </w:tr>
      <w:tr>
        <w:trPr>
          <w:trHeight w:val="216"/>
        </w:trPr>
        <w:tc>
          <w:tcPr>
            <w:tcW w:w="3760" w:type="dxa"/>
            <w:vAlign w:val="bottom"/>
          </w:tcPr>
          <w:p>
            <w:pPr>
              <w:spacing w:after="0"/>
              <w:rPr>
                <w:sz w:val="18"/>
                <w:szCs w:val="18"/>
                <w:color w:val="auto"/>
              </w:rPr>
            </w:pPr>
          </w:p>
        </w:tc>
        <w:tc>
          <w:tcPr>
            <w:tcW w:w="7700" w:type="dxa"/>
            <w:vAlign w:val="bottom"/>
          </w:tcPr>
          <w:p>
            <w:pPr>
              <w:ind w:left="2080"/>
              <w:spacing w:after="0"/>
              <w:rPr>
                <w:sz w:val="20"/>
                <w:szCs w:val="20"/>
                <w:color w:val="auto"/>
              </w:rPr>
            </w:pPr>
            <w:r>
              <w:rPr>
                <w:rFonts w:ascii="Arial" w:cs="Arial" w:eastAsia="Arial" w:hAnsi="Arial"/>
                <w:sz w:val="18"/>
                <w:szCs w:val="18"/>
                <w:color w:val="auto"/>
                <w:w w:val="97"/>
              </w:rPr>
              <w:t>(the “2029 notes” and, together with the 2024 notes and 2026 notes, the</w:t>
            </w:r>
          </w:p>
        </w:tc>
      </w:tr>
      <w:tr>
        <w:trPr>
          <w:trHeight w:val="230"/>
        </w:trPr>
        <w:tc>
          <w:tcPr>
            <w:tcW w:w="3760" w:type="dxa"/>
            <w:vAlign w:val="bottom"/>
          </w:tcPr>
          <w:p>
            <w:pPr>
              <w:spacing w:after="0"/>
              <w:rPr>
                <w:sz w:val="20"/>
                <w:szCs w:val="20"/>
                <w:color w:val="auto"/>
              </w:rPr>
            </w:pPr>
          </w:p>
        </w:tc>
        <w:tc>
          <w:tcPr>
            <w:tcW w:w="7700" w:type="dxa"/>
            <w:vAlign w:val="bottom"/>
          </w:tcPr>
          <w:p>
            <w:pPr>
              <w:ind w:left="2080"/>
              <w:spacing w:after="0"/>
              <w:rPr>
                <w:sz w:val="20"/>
                <w:szCs w:val="20"/>
                <w:color w:val="auto"/>
              </w:rPr>
            </w:pPr>
            <w:r>
              <w:rPr>
                <w:rFonts w:ascii="Arial" w:cs="Arial" w:eastAsia="Arial" w:hAnsi="Arial"/>
                <w:sz w:val="18"/>
                <w:szCs w:val="18"/>
                <w:color w:val="auto"/>
              </w:rPr>
              <w:t>“notes”)</w:t>
            </w:r>
          </w:p>
        </w:tc>
      </w:tr>
      <w:tr>
        <w:trPr>
          <w:trHeight w:val="418"/>
        </w:trPr>
        <w:tc>
          <w:tcPr>
            <w:tcW w:w="376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7700" w:type="dxa"/>
            <w:vAlign w:val="bottom"/>
          </w:tcPr>
          <w:p>
            <w:pPr>
              <w:ind w:left="2080"/>
              <w:spacing w:after="0"/>
              <w:rPr>
                <w:sz w:val="20"/>
                <w:szCs w:val="20"/>
                <w:color w:val="auto"/>
              </w:rPr>
            </w:pPr>
            <w:r>
              <w:rPr>
                <w:rFonts w:ascii="Arial" w:cs="Arial" w:eastAsia="Arial" w:hAnsi="Arial"/>
                <w:sz w:val="18"/>
                <w:szCs w:val="18"/>
                <w:color w:val="auto"/>
              </w:rPr>
              <w:t>February 6, 2024 in respect of the 2024 notes</w:t>
            </w:r>
          </w:p>
        </w:tc>
      </w:tr>
      <w:tr>
        <w:trPr>
          <w:trHeight w:val="216"/>
        </w:trPr>
        <w:tc>
          <w:tcPr>
            <w:tcW w:w="3760" w:type="dxa"/>
            <w:vAlign w:val="bottom"/>
          </w:tcPr>
          <w:p>
            <w:pPr>
              <w:spacing w:after="0"/>
              <w:rPr>
                <w:sz w:val="18"/>
                <w:szCs w:val="18"/>
                <w:color w:val="auto"/>
              </w:rPr>
            </w:pPr>
          </w:p>
        </w:tc>
        <w:tc>
          <w:tcPr>
            <w:tcW w:w="7700" w:type="dxa"/>
            <w:vAlign w:val="bottom"/>
          </w:tcPr>
          <w:p>
            <w:pPr>
              <w:ind w:left="2080"/>
              <w:spacing w:after="0"/>
              <w:rPr>
                <w:sz w:val="20"/>
                <w:szCs w:val="20"/>
                <w:color w:val="auto"/>
              </w:rPr>
            </w:pPr>
            <w:r>
              <w:rPr>
                <w:rFonts w:ascii="Arial" w:cs="Arial" w:eastAsia="Arial" w:hAnsi="Arial"/>
                <w:sz w:val="18"/>
                <w:szCs w:val="18"/>
                <w:color w:val="auto"/>
              </w:rPr>
              <w:t>February 6</w:t>
            </w:r>
            <w:r>
              <w:rPr>
                <w:rFonts w:ascii="Arial" w:cs="Arial" w:eastAsia="Arial" w:hAnsi="Arial"/>
                <w:sz w:val="17"/>
                <w:szCs w:val="17"/>
                <w:color w:val="auto"/>
              </w:rPr>
              <w:t>, 2026 in respect of the 2026 notes</w:t>
            </w:r>
          </w:p>
        </w:tc>
      </w:tr>
      <w:tr>
        <w:trPr>
          <w:trHeight w:val="230"/>
        </w:trPr>
        <w:tc>
          <w:tcPr>
            <w:tcW w:w="3760" w:type="dxa"/>
            <w:vAlign w:val="bottom"/>
          </w:tcPr>
          <w:p>
            <w:pPr>
              <w:spacing w:after="0"/>
              <w:rPr>
                <w:sz w:val="20"/>
                <w:szCs w:val="20"/>
                <w:color w:val="auto"/>
              </w:rPr>
            </w:pPr>
          </w:p>
        </w:tc>
        <w:tc>
          <w:tcPr>
            <w:tcW w:w="7700" w:type="dxa"/>
            <w:vAlign w:val="bottom"/>
          </w:tcPr>
          <w:p>
            <w:pPr>
              <w:ind w:left="2080"/>
              <w:spacing w:after="0"/>
              <w:rPr>
                <w:sz w:val="20"/>
                <w:szCs w:val="20"/>
                <w:color w:val="auto"/>
              </w:rPr>
            </w:pPr>
            <w:r>
              <w:rPr>
                <w:rFonts w:ascii="Arial" w:cs="Arial" w:eastAsia="Arial" w:hAnsi="Arial"/>
                <w:sz w:val="18"/>
                <w:szCs w:val="18"/>
                <w:color w:val="auto"/>
              </w:rPr>
              <w:t>February 6, 2029 in respect of the 2029 notes</w:t>
            </w:r>
          </w:p>
        </w:tc>
      </w:tr>
      <w:tr>
        <w:trPr>
          <w:trHeight w:val="418"/>
        </w:trPr>
        <w:tc>
          <w:tcPr>
            <w:tcW w:w="376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7700" w:type="dxa"/>
            <w:vAlign w:val="bottom"/>
          </w:tcPr>
          <w:p>
            <w:pPr>
              <w:ind w:left="2080"/>
              <w:spacing w:after="0"/>
              <w:rPr>
                <w:sz w:val="20"/>
                <w:szCs w:val="20"/>
                <w:color w:val="auto"/>
              </w:rPr>
            </w:pPr>
            <w:r>
              <w:rPr>
                <w:rFonts w:ascii="Arial" w:cs="Arial" w:eastAsia="Arial" w:hAnsi="Arial"/>
                <w:sz w:val="18"/>
                <w:szCs w:val="18"/>
                <w:color w:val="auto"/>
              </w:rPr>
              <w:t>4.640% per year on the principal amount of 2024 notes</w:t>
            </w:r>
          </w:p>
        </w:tc>
      </w:tr>
      <w:tr>
        <w:trPr>
          <w:trHeight w:val="216"/>
        </w:trPr>
        <w:tc>
          <w:tcPr>
            <w:tcW w:w="3760" w:type="dxa"/>
            <w:vAlign w:val="bottom"/>
          </w:tcPr>
          <w:p>
            <w:pPr>
              <w:spacing w:after="0"/>
              <w:rPr>
                <w:sz w:val="18"/>
                <w:szCs w:val="18"/>
                <w:color w:val="auto"/>
              </w:rPr>
            </w:pPr>
          </w:p>
        </w:tc>
        <w:tc>
          <w:tcPr>
            <w:tcW w:w="7700" w:type="dxa"/>
            <w:vAlign w:val="bottom"/>
          </w:tcPr>
          <w:p>
            <w:pPr>
              <w:ind w:left="2080"/>
              <w:spacing w:after="0"/>
              <w:rPr>
                <w:sz w:val="20"/>
                <w:szCs w:val="20"/>
                <w:color w:val="auto"/>
              </w:rPr>
            </w:pPr>
            <w:r>
              <w:rPr>
                <w:rFonts w:ascii="Arial" w:cs="Arial" w:eastAsia="Arial" w:hAnsi="Arial"/>
                <w:sz w:val="18"/>
                <w:szCs w:val="18"/>
                <w:color w:val="auto"/>
              </w:rPr>
              <w:t xml:space="preserve">4.975% </w:t>
            </w:r>
            <w:r>
              <w:rPr>
                <w:rFonts w:ascii="Arial" w:cs="Arial" w:eastAsia="Arial" w:hAnsi="Arial"/>
                <w:sz w:val="17"/>
                <w:szCs w:val="17"/>
                <w:color w:val="auto"/>
              </w:rPr>
              <w:t>per year on the principal amount of 2026 notes</w:t>
            </w:r>
          </w:p>
        </w:tc>
      </w:tr>
      <w:tr>
        <w:trPr>
          <w:trHeight w:val="230"/>
        </w:trPr>
        <w:tc>
          <w:tcPr>
            <w:tcW w:w="3760" w:type="dxa"/>
            <w:vAlign w:val="bottom"/>
          </w:tcPr>
          <w:p>
            <w:pPr>
              <w:spacing w:after="0"/>
              <w:rPr>
                <w:sz w:val="20"/>
                <w:szCs w:val="20"/>
                <w:color w:val="auto"/>
              </w:rPr>
            </w:pPr>
          </w:p>
        </w:tc>
        <w:tc>
          <w:tcPr>
            <w:tcW w:w="7700" w:type="dxa"/>
            <w:vAlign w:val="bottom"/>
          </w:tcPr>
          <w:p>
            <w:pPr>
              <w:ind w:left="2080"/>
              <w:spacing w:after="0"/>
              <w:rPr>
                <w:sz w:val="20"/>
                <w:szCs w:val="20"/>
                <w:color w:val="auto"/>
              </w:rPr>
            </w:pPr>
            <w:r>
              <w:rPr>
                <w:rFonts w:ascii="Arial" w:cs="Arial" w:eastAsia="Arial" w:hAnsi="Arial"/>
                <w:sz w:val="18"/>
                <w:szCs w:val="18"/>
                <w:color w:val="auto"/>
              </w:rPr>
              <w:t>5.327</w:t>
            </w:r>
            <w:r>
              <w:rPr>
                <w:rFonts w:ascii="Arial" w:cs="Arial" w:eastAsia="Arial" w:hAnsi="Arial"/>
                <w:sz w:val="17"/>
                <w:szCs w:val="17"/>
                <w:color w:val="auto"/>
              </w:rPr>
              <w:t>% per year on the principal amount of 2029 notes</w:t>
            </w:r>
          </w:p>
        </w:tc>
      </w:tr>
      <w:tr>
        <w:trPr>
          <w:trHeight w:val="418"/>
        </w:trPr>
        <w:tc>
          <w:tcPr>
            <w:tcW w:w="376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7700" w:type="dxa"/>
            <w:vAlign w:val="bottom"/>
          </w:tcPr>
          <w:p>
            <w:pPr>
              <w:ind w:left="2080"/>
              <w:spacing w:after="0"/>
              <w:rPr>
                <w:sz w:val="20"/>
                <w:szCs w:val="20"/>
                <w:color w:val="auto"/>
              </w:rPr>
            </w:pPr>
            <w:r>
              <w:rPr>
                <w:rFonts w:ascii="Arial" w:cs="Arial" w:eastAsia="Arial" w:hAnsi="Arial"/>
                <w:sz w:val="18"/>
                <w:szCs w:val="18"/>
                <w:color w:val="auto"/>
              </w:rPr>
              <w:t xml:space="preserve">February 6 </w:t>
            </w:r>
            <w:r>
              <w:rPr>
                <w:rFonts w:ascii="Arial" w:cs="Arial" w:eastAsia="Arial" w:hAnsi="Arial"/>
                <w:sz w:val="17"/>
                <w:szCs w:val="17"/>
                <w:color w:val="auto"/>
              </w:rPr>
              <w:t>and August 6, beginning</w:t>
            </w:r>
            <w:r>
              <w:rPr>
                <w:rFonts w:ascii="Arial" w:cs="Arial" w:eastAsia="Arial" w:hAnsi="Arial"/>
                <w:sz w:val="18"/>
                <w:szCs w:val="18"/>
                <w:color w:val="auto"/>
              </w:rPr>
              <w:t xml:space="preserve"> August 6, 2019, accruing from</w:t>
            </w:r>
          </w:p>
        </w:tc>
      </w:tr>
      <w:tr>
        <w:trPr>
          <w:trHeight w:val="230"/>
        </w:trPr>
        <w:tc>
          <w:tcPr>
            <w:tcW w:w="3760" w:type="dxa"/>
            <w:vAlign w:val="bottom"/>
          </w:tcPr>
          <w:p>
            <w:pPr>
              <w:spacing w:after="0"/>
              <w:rPr>
                <w:sz w:val="20"/>
                <w:szCs w:val="20"/>
                <w:color w:val="auto"/>
              </w:rPr>
            </w:pPr>
          </w:p>
        </w:tc>
        <w:tc>
          <w:tcPr>
            <w:tcW w:w="7700" w:type="dxa"/>
            <w:vAlign w:val="bottom"/>
          </w:tcPr>
          <w:p>
            <w:pPr>
              <w:ind w:left="2080"/>
              <w:spacing w:after="0"/>
              <w:rPr>
                <w:sz w:val="20"/>
                <w:szCs w:val="20"/>
                <w:color w:val="auto"/>
              </w:rPr>
            </w:pPr>
            <w:r>
              <w:rPr>
                <w:rFonts w:ascii="Arial" w:cs="Arial" w:eastAsia="Arial" w:hAnsi="Arial"/>
                <w:sz w:val="18"/>
                <w:szCs w:val="18"/>
                <w:color w:val="auto"/>
              </w:rPr>
              <w:t>February 6, 2019</w:t>
            </w:r>
          </w:p>
        </w:tc>
      </w:tr>
      <w:tr>
        <w:trPr>
          <w:trHeight w:val="432"/>
        </w:trPr>
        <w:tc>
          <w:tcPr>
            <w:tcW w:w="376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7700" w:type="dxa"/>
            <w:vAlign w:val="bottom"/>
          </w:tcPr>
          <w:p>
            <w:pPr>
              <w:ind w:left="2080"/>
              <w:spacing w:after="0"/>
              <w:rPr>
                <w:sz w:val="20"/>
                <w:szCs w:val="20"/>
                <w:color w:val="auto"/>
              </w:rPr>
            </w:pPr>
            <w:r>
              <w:rPr>
                <w:rFonts w:ascii="Arial" w:cs="Arial" w:eastAsia="Arial" w:hAnsi="Arial"/>
                <w:sz w:val="18"/>
                <w:szCs w:val="18"/>
                <w:color w:val="auto"/>
              </w:rPr>
              <w:t xml:space="preserve">January 22 </w:t>
            </w:r>
            <w:r>
              <w:rPr>
                <w:rFonts w:ascii="Arial" w:cs="Arial" w:eastAsia="Arial" w:hAnsi="Arial"/>
                <w:sz w:val="17"/>
                <w:szCs w:val="17"/>
                <w:color w:val="auto"/>
              </w:rPr>
              <w:t>and July 22</w:t>
            </w:r>
          </w:p>
        </w:tc>
      </w:tr>
      <w:tr>
        <w:trPr>
          <w:trHeight w:val="418"/>
        </w:trPr>
        <w:tc>
          <w:tcPr>
            <w:tcW w:w="376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7700" w:type="dxa"/>
            <w:vAlign w:val="bottom"/>
          </w:tcPr>
          <w:p>
            <w:pPr>
              <w:ind w:left="2080"/>
              <w:spacing w:after="0"/>
              <w:rPr>
                <w:sz w:val="20"/>
                <w:szCs w:val="20"/>
                <w:color w:val="auto"/>
              </w:rPr>
            </w:pPr>
            <w:r>
              <w:rPr>
                <w:rFonts w:ascii="Arial" w:cs="Arial" w:eastAsia="Arial" w:hAnsi="Arial"/>
                <w:sz w:val="18"/>
                <w:szCs w:val="18"/>
                <w:color w:val="auto"/>
              </w:rPr>
              <w:t>100% for the 2024 notes</w:t>
            </w:r>
          </w:p>
        </w:tc>
      </w:tr>
      <w:tr>
        <w:trPr>
          <w:trHeight w:val="216"/>
        </w:trPr>
        <w:tc>
          <w:tcPr>
            <w:tcW w:w="3760" w:type="dxa"/>
            <w:vAlign w:val="bottom"/>
          </w:tcPr>
          <w:p>
            <w:pPr>
              <w:spacing w:after="0"/>
              <w:rPr>
                <w:sz w:val="18"/>
                <w:szCs w:val="18"/>
                <w:color w:val="auto"/>
              </w:rPr>
            </w:pPr>
          </w:p>
        </w:tc>
        <w:tc>
          <w:tcPr>
            <w:tcW w:w="7700" w:type="dxa"/>
            <w:vAlign w:val="bottom"/>
          </w:tcPr>
          <w:p>
            <w:pPr>
              <w:ind w:left="2080"/>
              <w:spacing w:after="0"/>
              <w:rPr>
                <w:sz w:val="20"/>
                <w:szCs w:val="20"/>
                <w:color w:val="auto"/>
              </w:rPr>
            </w:pPr>
            <w:r>
              <w:rPr>
                <w:rFonts w:ascii="Arial" w:cs="Arial" w:eastAsia="Arial" w:hAnsi="Arial"/>
                <w:sz w:val="18"/>
                <w:szCs w:val="18"/>
                <w:color w:val="auto"/>
              </w:rPr>
              <w:t>100% for the 2026 notes</w:t>
            </w:r>
          </w:p>
        </w:tc>
      </w:tr>
      <w:tr>
        <w:trPr>
          <w:trHeight w:val="230"/>
        </w:trPr>
        <w:tc>
          <w:tcPr>
            <w:tcW w:w="3760" w:type="dxa"/>
            <w:vAlign w:val="bottom"/>
          </w:tcPr>
          <w:p>
            <w:pPr>
              <w:spacing w:after="0"/>
              <w:rPr>
                <w:sz w:val="20"/>
                <w:szCs w:val="20"/>
                <w:color w:val="auto"/>
              </w:rPr>
            </w:pPr>
          </w:p>
        </w:tc>
        <w:tc>
          <w:tcPr>
            <w:tcW w:w="7700" w:type="dxa"/>
            <w:vAlign w:val="bottom"/>
          </w:tcPr>
          <w:p>
            <w:pPr>
              <w:ind w:left="2080"/>
              <w:spacing w:after="0"/>
              <w:rPr>
                <w:sz w:val="20"/>
                <w:szCs w:val="20"/>
                <w:color w:val="auto"/>
              </w:rPr>
            </w:pPr>
            <w:r>
              <w:rPr>
                <w:rFonts w:ascii="Arial" w:cs="Arial" w:eastAsia="Arial" w:hAnsi="Arial"/>
                <w:sz w:val="18"/>
                <w:szCs w:val="18"/>
                <w:color w:val="auto"/>
              </w:rPr>
              <w:t>100% for the 2029 notes</w:t>
            </w:r>
          </w:p>
        </w:tc>
      </w:tr>
      <w:tr>
        <w:trPr>
          <w:trHeight w:val="418"/>
        </w:trPr>
        <w:tc>
          <w:tcPr>
            <w:tcW w:w="3760" w:type="dxa"/>
            <w:vAlign w:val="bottom"/>
          </w:tcPr>
          <w:p>
            <w:pPr>
              <w:spacing w:after="0"/>
              <w:rPr>
                <w:sz w:val="20"/>
                <w:szCs w:val="20"/>
                <w:color w:val="auto"/>
              </w:rPr>
            </w:pPr>
            <w:r>
              <w:rPr>
                <w:rFonts w:ascii="Arial" w:cs="Arial" w:eastAsia="Arial" w:hAnsi="Arial"/>
                <w:sz w:val="18"/>
                <w:szCs w:val="18"/>
                <w:b w:val="1"/>
                <w:bCs w:val="1"/>
                <w:color w:val="auto"/>
              </w:rPr>
              <w:t>Underwriting Discount:</w:t>
            </w:r>
          </w:p>
        </w:tc>
        <w:tc>
          <w:tcPr>
            <w:tcW w:w="7700" w:type="dxa"/>
            <w:vAlign w:val="bottom"/>
          </w:tcPr>
          <w:p>
            <w:pPr>
              <w:ind w:left="2080"/>
              <w:spacing w:after="0"/>
              <w:rPr>
                <w:sz w:val="20"/>
                <w:szCs w:val="20"/>
                <w:color w:val="auto"/>
              </w:rPr>
            </w:pPr>
            <w:r>
              <w:rPr>
                <w:rFonts w:ascii="Arial" w:cs="Arial" w:eastAsia="Arial" w:hAnsi="Arial"/>
                <w:sz w:val="18"/>
                <w:szCs w:val="18"/>
                <w:color w:val="auto"/>
              </w:rPr>
              <w:t>.350% per 2024 note</w:t>
            </w:r>
          </w:p>
        </w:tc>
      </w:tr>
      <w:tr>
        <w:trPr>
          <w:trHeight w:val="216"/>
        </w:trPr>
        <w:tc>
          <w:tcPr>
            <w:tcW w:w="3760" w:type="dxa"/>
            <w:vAlign w:val="bottom"/>
          </w:tcPr>
          <w:p>
            <w:pPr>
              <w:spacing w:after="0"/>
              <w:rPr>
                <w:sz w:val="18"/>
                <w:szCs w:val="18"/>
                <w:color w:val="auto"/>
              </w:rPr>
            </w:pPr>
          </w:p>
        </w:tc>
        <w:tc>
          <w:tcPr>
            <w:tcW w:w="7700" w:type="dxa"/>
            <w:vAlign w:val="bottom"/>
          </w:tcPr>
          <w:p>
            <w:pPr>
              <w:ind w:left="2080"/>
              <w:spacing w:after="0"/>
              <w:rPr>
                <w:sz w:val="20"/>
                <w:szCs w:val="20"/>
                <w:color w:val="auto"/>
              </w:rPr>
            </w:pPr>
            <w:r>
              <w:rPr>
                <w:rFonts w:ascii="Arial" w:cs="Arial" w:eastAsia="Arial" w:hAnsi="Arial"/>
                <w:sz w:val="18"/>
                <w:szCs w:val="18"/>
                <w:color w:val="auto"/>
              </w:rPr>
              <w:t>.400% per 2026 note</w:t>
            </w:r>
          </w:p>
        </w:tc>
      </w:tr>
      <w:tr>
        <w:trPr>
          <w:trHeight w:val="230"/>
        </w:trPr>
        <w:tc>
          <w:tcPr>
            <w:tcW w:w="3760" w:type="dxa"/>
            <w:vAlign w:val="bottom"/>
          </w:tcPr>
          <w:p>
            <w:pPr>
              <w:spacing w:after="0"/>
              <w:rPr>
                <w:sz w:val="20"/>
                <w:szCs w:val="20"/>
                <w:color w:val="auto"/>
              </w:rPr>
            </w:pPr>
          </w:p>
        </w:tc>
        <w:tc>
          <w:tcPr>
            <w:tcW w:w="7700" w:type="dxa"/>
            <w:vAlign w:val="bottom"/>
          </w:tcPr>
          <w:p>
            <w:pPr>
              <w:ind w:left="2080"/>
              <w:spacing w:after="0"/>
              <w:rPr>
                <w:sz w:val="20"/>
                <w:szCs w:val="20"/>
                <w:color w:val="auto"/>
              </w:rPr>
            </w:pPr>
            <w:r>
              <w:rPr>
                <w:rFonts w:ascii="Arial" w:cs="Arial" w:eastAsia="Arial" w:hAnsi="Arial"/>
                <w:sz w:val="18"/>
                <w:szCs w:val="18"/>
                <w:color w:val="auto"/>
              </w:rPr>
              <w:t>.450% per 2029 note</w:t>
            </w:r>
          </w:p>
        </w:tc>
      </w:tr>
      <w:tr>
        <w:trPr>
          <w:trHeight w:val="432"/>
        </w:trPr>
        <w:tc>
          <w:tcPr>
            <w:tcW w:w="3760" w:type="dxa"/>
            <w:vAlign w:val="bottom"/>
          </w:tcPr>
          <w:p>
            <w:pPr>
              <w:spacing w:after="0"/>
              <w:rPr>
                <w:sz w:val="24"/>
                <w:szCs w:val="24"/>
                <w:color w:val="auto"/>
              </w:rPr>
            </w:pPr>
          </w:p>
        </w:tc>
        <w:tc>
          <w:tcPr>
            <w:tcW w:w="7700" w:type="dxa"/>
            <w:vAlign w:val="bottom"/>
          </w:tcPr>
          <w:p>
            <w:pPr>
              <w:ind w:left="1900"/>
              <w:spacing w:after="0"/>
              <w:rPr>
                <w:sz w:val="20"/>
                <w:szCs w:val="20"/>
                <w:color w:val="auto"/>
              </w:rPr>
            </w:pPr>
            <w:r>
              <w:rPr>
                <w:rFonts w:ascii="Arial" w:cs="Arial" w:eastAsia="Arial" w:hAnsi="Arial"/>
                <w:sz w:val="18"/>
                <w:szCs w:val="18"/>
                <w:color w:val="auto"/>
              </w:rPr>
              <w:t>1</w:t>
            </w:r>
          </w:p>
        </w:tc>
      </w:tr>
      <w:tr>
        <w:trPr>
          <w:trHeight w:val="132"/>
        </w:trPr>
        <w:tc>
          <w:tcPr>
            <w:tcW w:w="3760" w:type="dxa"/>
            <w:vAlign w:val="bottom"/>
            <w:tcBorders>
              <w:bottom w:val="single" w:sz="8" w:color="808080"/>
            </w:tcBorders>
          </w:tcPr>
          <w:p>
            <w:pPr>
              <w:spacing w:after="0"/>
              <w:rPr>
                <w:sz w:val="11"/>
                <w:szCs w:val="11"/>
                <w:color w:val="auto"/>
              </w:rPr>
            </w:pPr>
          </w:p>
        </w:tc>
        <w:tc>
          <w:tcPr>
            <w:tcW w:w="770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9"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4400" w:type="dxa"/>
            <w:vAlign w:val="bottom"/>
          </w:tcPr>
          <w:p>
            <w:pPr>
              <w:spacing w:after="0"/>
              <w:rPr>
                <w:sz w:val="20"/>
                <w:szCs w:val="20"/>
                <w:color w:val="auto"/>
              </w:rPr>
            </w:pPr>
            <w:r>
              <w:rPr>
                <w:rFonts w:ascii="Arial" w:cs="Arial" w:eastAsia="Arial" w:hAnsi="Arial"/>
                <w:sz w:val="18"/>
                <w:szCs w:val="18"/>
                <w:b w:val="1"/>
                <w:bCs w:val="1"/>
                <w:color w:val="auto"/>
              </w:rPr>
              <w:t>Spread to Treasury:</w:t>
            </w:r>
          </w:p>
        </w:tc>
        <w:tc>
          <w:tcPr>
            <w:tcW w:w="7060" w:type="dxa"/>
            <w:vAlign w:val="bottom"/>
          </w:tcPr>
          <w:p>
            <w:pPr>
              <w:ind w:left="1440"/>
              <w:spacing w:after="0"/>
              <w:rPr>
                <w:sz w:val="20"/>
                <w:szCs w:val="20"/>
                <w:color w:val="auto"/>
              </w:rPr>
            </w:pPr>
            <w:r>
              <w:rPr>
                <w:rFonts w:ascii="Arial" w:cs="Arial" w:eastAsia="Arial" w:hAnsi="Arial"/>
                <w:sz w:val="18"/>
                <w:szCs w:val="18"/>
                <w:color w:val="auto"/>
              </w:rPr>
              <w:t>+210 basis points for the 2024 notes</w:t>
            </w:r>
          </w:p>
        </w:tc>
      </w:tr>
      <w:tr>
        <w:trPr>
          <w:trHeight w:val="216"/>
        </w:trPr>
        <w:tc>
          <w:tcPr>
            <w:tcW w:w="4400" w:type="dxa"/>
            <w:vAlign w:val="bottom"/>
          </w:tcPr>
          <w:p>
            <w:pPr>
              <w:spacing w:after="0"/>
              <w:rPr>
                <w:sz w:val="18"/>
                <w:szCs w:val="18"/>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+235 basis points for the 2026 notes</w:t>
            </w:r>
          </w:p>
        </w:tc>
      </w:tr>
      <w:tr>
        <w:trPr>
          <w:trHeight w:val="230"/>
        </w:trPr>
        <w:tc>
          <w:tcPr>
            <w:tcW w:w="4400" w:type="dxa"/>
            <w:vAlign w:val="bottom"/>
          </w:tcPr>
          <w:p>
            <w:pPr>
              <w:spacing w:after="0"/>
              <w:rPr>
                <w:sz w:val="20"/>
                <w:szCs w:val="20"/>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+260 basis points for the 2029 notes</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color w:val="auto"/>
              </w:rPr>
              <w:t>Benchmark:</w:t>
            </w:r>
          </w:p>
        </w:tc>
        <w:tc>
          <w:tcPr>
            <w:tcW w:w="7060" w:type="dxa"/>
            <w:vAlign w:val="bottom"/>
          </w:tcPr>
          <w:p>
            <w:pPr>
              <w:ind w:left="1440"/>
              <w:spacing w:after="0"/>
              <w:rPr>
                <w:sz w:val="20"/>
                <w:szCs w:val="20"/>
                <w:color w:val="auto"/>
              </w:rPr>
            </w:pPr>
            <w:r>
              <w:rPr>
                <w:rFonts w:ascii="Arial" w:cs="Arial" w:eastAsia="Arial" w:hAnsi="Arial"/>
                <w:sz w:val="18"/>
                <w:szCs w:val="18"/>
                <w:color w:val="auto"/>
                <w:w w:val="96"/>
              </w:rPr>
              <w:t>UST 2.500% due January 31, 2024 (yielding: 2.540%) for the 2024 notes</w:t>
            </w:r>
          </w:p>
        </w:tc>
      </w:tr>
      <w:tr>
        <w:trPr>
          <w:trHeight w:val="216"/>
        </w:trPr>
        <w:tc>
          <w:tcPr>
            <w:tcW w:w="4400" w:type="dxa"/>
            <w:vAlign w:val="bottom"/>
          </w:tcPr>
          <w:p>
            <w:pPr>
              <w:spacing w:after="0"/>
              <w:rPr>
                <w:sz w:val="18"/>
                <w:szCs w:val="18"/>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w w:val="96"/>
              </w:rPr>
              <w:t>UST 2.625% due January 31, 2026 (yielding: 2.625%) for the 2026 notes</w:t>
            </w:r>
          </w:p>
        </w:tc>
      </w:tr>
      <w:tr>
        <w:trPr>
          <w:trHeight w:val="230"/>
        </w:trPr>
        <w:tc>
          <w:tcPr>
            <w:tcW w:w="4400" w:type="dxa"/>
            <w:vAlign w:val="bottom"/>
          </w:tcPr>
          <w:p>
            <w:pPr>
              <w:spacing w:after="0"/>
              <w:rPr>
                <w:sz w:val="20"/>
                <w:szCs w:val="20"/>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w w:val="93"/>
              </w:rPr>
              <w:t>UST 3.125% due November 15, 2028 (yielding: 2.727%) for the 2029 notes</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color w:val="auto"/>
              </w:rPr>
              <w:t>Ratings:*</w:t>
            </w:r>
          </w:p>
        </w:tc>
        <w:tc>
          <w:tcPr>
            <w:tcW w:w="7060" w:type="dxa"/>
            <w:vAlign w:val="bottom"/>
          </w:tcPr>
          <w:p>
            <w:pPr>
              <w:ind w:left="1440"/>
              <w:spacing w:after="0"/>
              <w:rPr>
                <w:sz w:val="20"/>
                <w:szCs w:val="20"/>
                <w:color w:val="auto"/>
              </w:rPr>
            </w:pPr>
            <w:r>
              <w:rPr>
                <w:rFonts w:ascii="Arial" w:cs="Arial" w:eastAsia="Arial" w:hAnsi="Arial"/>
                <w:sz w:val="18"/>
                <w:szCs w:val="18"/>
                <w:color w:val="auto"/>
              </w:rPr>
              <w:t>Baa3 (Stable) (Moody’s Investors Service, Inc.)</w:t>
            </w:r>
          </w:p>
        </w:tc>
      </w:tr>
      <w:tr>
        <w:trPr>
          <w:trHeight w:val="216"/>
        </w:trPr>
        <w:tc>
          <w:tcPr>
            <w:tcW w:w="4400" w:type="dxa"/>
            <w:vAlign w:val="bottom"/>
          </w:tcPr>
          <w:p>
            <w:pPr>
              <w:spacing w:after="0"/>
              <w:rPr>
                <w:sz w:val="18"/>
                <w:szCs w:val="18"/>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BBB- (Stable) (Fitch Ratings Inc.)</w:t>
            </w:r>
          </w:p>
        </w:tc>
      </w:tr>
      <w:tr>
        <w:trPr>
          <w:trHeight w:val="230"/>
        </w:trPr>
        <w:tc>
          <w:tcPr>
            <w:tcW w:w="4400" w:type="dxa"/>
            <w:vAlign w:val="bottom"/>
          </w:tcPr>
          <w:p>
            <w:pPr>
              <w:spacing w:after="0"/>
              <w:rPr>
                <w:sz w:val="20"/>
                <w:szCs w:val="20"/>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BB+ (Positive) (Standard &amp; Poor’s Ratings Services)</w:t>
            </w:r>
          </w:p>
        </w:tc>
      </w:tr>
      <w:tr>
        <w:trPr>
          <w:trHeight w:val="432"/>
        </w:trPr>
        <w:tc>
          <w:tcPr>
            <w:tcW w:w="4400" w:type="dxa"/>
            <w:vAlign w:val="bottom"/>
          </w:tcPr>
          <w:p>
            <w:pPr>
              <w:spacing w:after="0"/>
              <w:rPr>
                <w:sz w:val="20"/>
                <w:szCs w:val="20"/>
                <w:color w:val="auto"/>
              </w:rPr>
            </w:pPr>
            <w:r>
              <w:rPr>
                <w:rFonts w:ascii="Arial" w:cs="Arial" w:eastAsia="Arial" w:hAnsi="Arial"/>
                <w:sz w:val="18"/>
                <w:szCs w:val="18"/>
                <w:b w:val="1"/>
                <w:bCs w:val="1"/>
                <w:color w:val="auto"/>
              </w:rPr>
              <w:t>Pricing Date:</w:t>
            </w:r>
          </w:p>
        </w:tc>
        <w:tc>
          <w:tcPr>
            <w:tcW w:w="7060" w:type="dxa"/>
            <w:vAlign w:val="bottom"/>
          </w:tcPr>
          <w:p>
            <w:pPr>
              <w:ind w:left="1440"/>
              <w:spacing w:after="0"/>
              <w:rPr>
                <w:sz w:val="20"/>
                <w:szCs w:val="20"/>
                <w:color w:val="auto"/>
              </w:rPr>
            </w:pPr>
            <w:r>
              <w:rPr>
                <w:rFonts w:ascii="Arial" w:cs="Arial" w:eastAsia="Arial" w:hAnsi="Arial"/>
                <w:sz w:val="18"/>
                <w:szCs w:val="18"/>
                <w:color w:val="auto"/>
              </w:rPr>
              <w:t>February 4</w:t>
            </w:r>
            <w:r>
              <w:rPr>
                <w:rFonts w:ascii="Arial" w:cs="Arial" w:eastAsia="Arial" w:hAnsi="Arial"/>
                <w:sz w:val="17"/>
                <w:szCs w:val="17"/>
                <w:color w:val="auto"/>
              </w:rPr>
              <w:t>, 2019</w:t>
            </w:r>
          </w:p>
        </w:tc>
      </w:tr>
      <w:tr>
        <w:trPr>
          <w:trHeight w:val="432"/>
        </w:trPr>
        <w:tc>
          <w:tcPr>
            <w:tcW w:w="4400" w:type="dxa"/>
            <w:vAlign w:val="bottom"/>
          </w:tcPr>
          <w:p>
            <w:pPr>
              <w:spacing w:after="0"/>
              <w:rPr>
                <w:sz w:val="20"/>
                <w:szCs w:val="20"/>
                <w:color w:val="auto"/>
              </w:rPr>
            </w:pPr>
            <w:r>
              <w:rPr>
                <w:rFonts w:ascii="Arial" w:cs="Arial" w:eastAsia="Arial" w:hAnsi="Arial"/>
                <w:sz w:val="18"/>
                <w:szCs w:val="18"/>
                <w:b w:val="1"/>
                <w:bCs w:val="1"/>
                <w:color w:val="auto"/>
              </w:rPr>
              <w:t>Closing Date:</w:t>
            </w:r>
          </w:p>
        </w:tc>
        <w:tc>
          <w:tcPr>
            <w:tcW w:w="7060" w:type="dxa"/>
            <w:vAlign w:val="bottom"/>
          </w:tcPr>
          <w:p>
            <w:pPr>
              <w:ind w:left="1440"/>
              <w:spacing w:after="0"/>
              <w:rPr>
                <w:sz w:val="20"/>
                <w:szCs w:val="20"/>
                <w:color w:val="auto"/>
              </w:rPr>
            </w:pPr>
            <w:r>
              <w:rPr>
                <w:rFonts w:ascii="Arial" w:cs="Arial" w:eastAsia="Arial" w:hAnsi="Arial"/>
                <w:sz w:val="18"/>
                <w:szCs w:val="18"/>
                <w:color w:val="auto"/>
              </w:rPr>
              <w:t>February 6</w:t>
            </w:r>
            <w:r>
              <w:rPr>
                <w:rFonts w:ascii="Arial" w:cs="Arial" w:eastAsia="Arial" w:hAnsi="Arial"/>
                <w:sz w:val="17"/>
                <w:szCs w:val="17"/>
                <w:color w:val="auto"/>
              </w:rPr>
              <w:t>, 2019</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color w:val="auto"/>
              </w:rPr>
              <w:t>CUSIP Numbers:</w:t>
            </w:r>
          </w:p>
        </w:tc>
        <w:tc>
          <w:tcPr>
            <w:tcW w:w="7060" w:type="dxa"/>
            <w:vAlign w:val="bottom"/>
          </w:tcPr>
          <w:p>
            <w:pPr>
              <w:ind w:left="1440"/>
              <w:spacing w:after="0"/>
              <w:rPr>
                <w:sz w:val="20"/>
                <w:szCs w:val="20"/>
                <w:color w:val="auto"/>
              </w:rPr>
            </w:pPr>
            <w:r>
              <w:rPr>
                <w:rFonts w:ascii="Arial" w:cs="Arial" w:eastAsia="Arial" w:hAnsi="Arial"/>
                <w:sz w:val="18"/>
                <w:szCs w:val="18"/>
                <w:color w:val="auto"/>
              </w:rPr>
              <w:t>595112 BL6 for the 2024 notes</w:t>
            </w:r>
          </w:p>
        </w:tc>
      </w:tr>
      <w:tr>
        <w:trPr>
          <w:trHeight w:val="216"/>
        </w:trPr>
        <w:tc>
          <w:tcPr>
            <w:tcW w:w="4400" w:type="dxa"/>
            <w:vAlign w:val="bottom"/>
          </w:tcPr>
          <w:p>
            <w:pPr>
              <w:spacing w:after="0"/>
              <w:rPr>
                <w:sz w:val="18"/>
                <w:szCs w:val="18"/>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595112 BM4 for the 2026 notes</w:t>
            </w:r>
          </w:p>
        </w:tc>
      </w:tr>
      <w:tr>
        <w:trPr>
          <w:trHeight w:val="230"/>
        </w:trPr>
        <w:tc>
          <w:tcPr>
            <w:tcW w:w="4400" w:type="dxa"/>
            <w:vAlign w:val="bottom"/>
          </w:tcPr>
          <w:p>
            <w:pPr>
              <w:spacing w:after="0"/>
              <w:rPr>
                <w:sz w:val="20"/>
                <w:szCs w:val="20"/>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595112 BN2 for the 2029 notes</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color w:val="auto"/>
              </w:rPr>
              <w:t>ISIN Numbers:</w:t>
            </w:r>
          </w:p>
        </w:tc>
        <w:tc>
          <w:tcPr>
            <w:tcW w:w="7060" w:type="dxa"/>
            <w:vAlign w:val="bottom"/>
          </w:tcPr>
          <w:p>
            <w:pPr>
              <w:ind w:left="1440"/>
              <w:spacing w:after="0"/>
              <w:rPr>
                <w:sz w:val="20"/>
                <w:szCs w:val="20"/>
                <w:color w:val="auto"/>
              </w:rPr>
            </w:pPr>
            <w:r>
              <w:rPr>
                <w:rFonts w:ascii="Arial" w:cs="Arial" w:eastAsia="Arial" w:hAnsi="Arial"/>
                <w:sz w:val="18"/>
                <w:szCs w:val="18"/>
                <w:color w:val="auto"/>
              </w:rPr>
              <w:t>US595112BL65 for the 2024 notes</w:t>
            </w:r>
          </w:p>
        </w:tc>
      </w:tr>
      <w:tr>
        <w:trPr>
          <w:trHeight w:val="216"/>
        </w:trPr>
        <w:tc>
          <w:tcPr>
            <w:tcW w:w="4400" w:type="dxa"/>
            <w:vAlign w:val="bottom"/>
          </w:tcPr>
          <w:p>
            <w:pPr>
              <w:spacing w:after="0"/>
              <w:rPr>
                <w:sz w:val="18"/>
                <w:szCs w:val="18"/>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US595112BM49 for the 2026 notes</w:t>
            </w:r>
          </w:p>
        </w:tc>
      </w:tr>
      <w:tr>
        <w:trPr>
          <w:trHeight w:val="230"/>
        </w:trPr>
        <w:tc>
          <w:tcPr>
            <w:tcW w:w="4400" w:type="dxa"/>
            <w:vAlign w:val="bottom"/>
          </w:tcPr>
          <w:p>
            <w:pPr>
              <w:spacing w:after="0"/>
              <w:rPr>
                <w:sz w:val="20"/>
                <w:szCs w:val="20"/>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US595112BN22 for the 2029 notes</w:t>
            </w:r>
          </w:p>
        </w:tc>
      </w:tr>
      <w:tr>
        <w:trPr>
          <w:trHeight w:val="432"/>
        </w:trPr>
        <w:tc>
          <w:tcPr>
            <w:tcW w:w="440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7060" w:type="dxa"/>
            <w:vAlign w:val="bottom"/>
          </w:tcPr>
          <w:p>
            <w:pPr>
              <w:ind w:left="1440"/>
              <w:spacing w:after="0"/>
              <w:rPr>
                <w:sz w:val="20"/>
                <w:szCs w:val="20"/>
                <w:color w:val="auto"/>
              </w:rPr>
            </w:pPr>
            <w:r>
              <w:rPr>
                <w:rFonts w:ascii="Arial" w:cs="Arial" w:eastAsia="Arial" w:hAnsi="Arial"/>
                <w:sz w:val="18"/>
                <w:szCs w:val="18"/>
                <w:color w:val="auto"/>
              </w:rPr>
              <w:t>$2,000 and multiples of $1,000 in excess thereof</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color w:val="auto"/>
              </w:rPr>
              <w:t>Joint-Lead and Bookrunning Managers:</w:t>
            </w:r>
          </w:p>
        </w:tc>
        <w:tc>
          <w:tcPr>
            <w:tcW w:w="7060" w:type="dxa"/>
            <w:vAlign w:val="bottom"/>
          </w:tcPr>
          <w:p>
            <w:pPr>
              <w:ind w:left="1440"/>
              <w:spacing w:after="0"/>
              <w:rPr>
                <w:sz w:val="20"/>
                <w:szCs w:val="20"/>
                <w:color w:val="auto"/>
              </w:rPr>
            </w:pPr>
            <w:r>
              <w:rPr>
                <w:rFonts w:ascii="Arial" w:cs="Arial" w:eastAsia="Arial" w:hAnsi="Arial"/>
                <w:sz w:val="18"/>
                <w:szCs w:val="18"/>
                <w:color w:val="auto"/>
              </w:rPr>
              <w:t>Morgan Stanley &amp; Co. LLC</w:t>
            </w:r>
          </w:p>
        </w:tc>
      </w:tr>
      <w:tr>
        <w:trPr>
          <w:trHeight w:val="216"/>
        </w:trPr>
        <w:tc>
          <w:tcPr>
            <w:tcW w:w="4400" w:type="dxa"/>
            <w:vAlign w:val="bottom"/>
          </w:tcPr>
          <w:p>
            <w:pPr>
              <w:spacing w:after="0"/>
              <w:rPr>
                <w:sz w:val="18"/>
                <w:szCs w:val="18"/>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BNP Paribas Securities Corp.</w:t>
            </w:r>
          </w:p>
        </w:tc>
      </w:tr>
      <w:tr>
        <w:trPr>
          <w:trHeight w:val="230"/>
        </w:trPr>
        <w:tc>
          <w:tcPr>
            <w:tcW w:w="4400" w:type="dxa"/>
            <w:vAlign w:val="bottom"/>
          </w:tcPr>
          <w:p>
            <w:pPr>
              <w:spacing w:after="0"/>
              <w:rPr>
                <w:sz w:val="20"/>
                <w:szCs w:val="20"/>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Credit Suisse Securities (USA) LLC</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color w:val="auto"/>
              </w:rPr>
              <w:t>Joint Passive Bookrunning Managers:</w:t>
            </w:r>
          </w:p>
        </w:tc>
        <w:tc>
          <w:tcPr>
            <w:tcW w:w="7060" w:type="dxa"/>
            <w:vAlign w:val="bottom"/>
          </w:tcPr>
          <w:p>
            <w:pPr>
              <w:ind w:left="144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4400" w:type="dxa"/>
            <w:vAlign w:val="bottom"/>
          </w:tcPr>
          <w:p>
            <w:pPr>
              <w:spacing w:after="0"/>
              <w:rPr>
                <w:sz w:val="18"/>
                <w:szCs w:val="18"/>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HSBC Securities (USA) Inc.</w:t>
            </w:r>
          </w:p>
        </w:tc>
      </w:tr>
      <w:tr>
        <w:trPr>
          <w:trHeight w:val="216"/>
        </w:trPr>
        <w:tc>
          <w:tcPr>
            <w:tcW w:w="4400" w:type="dxa"/>
            <w:vAlign w:val="bottom"/>
          </w:tcPr>
          <w:p>
            <w:pPr>
              <w:spacing w:after="0"/>
              <w:rPr>
                <w:sz w:val="18"/>
                <w:szCs w:val="18"/>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Mizuho Securities USA LLC</w:t>
            </w:r>
          </w:p>
        </w:tc>
      </w:tr>
      <w:tr>
        <w:trPr>
          <w:trHeight w:val="230"/>
        </w:trPr>
        <w:tc>
          <w:tcPr>
            <w:tcW w:w="4400" w:type="dxa"/>
            <w:vAlign w:val="bottom"/>
          </w:tcPr>
          <w:p>
            <w:pPr>
              <w:spacing w:after="0"/>
              <w:rPr>
                <w:sz w:val="20"/>
                <w:szCs w:val="20"/>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J.P. Morgan Securities LLC</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color w:val="auto"/>
              </w:rPr>
              <w:t>Senior Co-Managers:</w:t>
            </w:r>
          </w:p>
        </w:tc>
        <w:tc>
          <w:tcPr>
            <w:tcW w:w="7060" w:type="dxa"/>
            <w:vAlign w:val="bottom"/>
          </w:tcPr>
          <w:p>
            <w:pPr>
              <w:ind w:left="1440"/>
              <w:spacing w:after="0"/>
              <w:rPr>
                <w:sz w:val="20"/>
                <w:szCs w:val="20"/>
                <w:color w:val="auto"/>
              </w:rPr>
            </w:pPr>
            <w:r>
              <w:rPr>
                <w:rFonts w:ascii="Arial" w:cs="Arial" w:eastAsia="Arial" w:hAnsi="Arial"/>
                <w:sz w:val="18"/>
                <w:szCs w:val="18"/>
                <w:color w:val="auto"/>
              </w:rPr>
              <w:t>Credit Agricole Securities (USA) Inc.</w:t>
            </w:r>
          </w:p>
        </w:tc>
      </w:tr>
      <w:tr>
        <w:trPr>
          <w:trHeight w:val="216"/>
        </w:trPr>
        <w:tc>
          <w:tcPr>
            <w:tcW w:w="4400" w:type="dxa"/>
            <w:vAlign w:val="bottom"/>
          </w:tcPr>
          <w:p>
            <w:pPr>
              <w:spacing w:after="0"/>
              <w:rPr>
                <w:sz w:val="18"/>
                <w:szCs w:val="18"/>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ICBC Standard Bank Plc</w:t>
            </w:r>
          </w:p>
        </w:tc>
      </w:tr>
      <w:tr>
        <w:trPr>
          <w:trHeight w:val="216"/>
        </w:trPr>
        <w:tc>
          <w:tcPr>
            <w:tcW w:w="4400" w:type="dxa"/>
            <w:vAlign w:val="bottom"/>
          </w:tcPr>
          <w:p>
            <w:pPr>
              <w:spacing w:after="0"/>
              <w:rPr>
                <w:sz w:val="18"/>
                <w:szCs w:val="18"/>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The Williams Capital Group, L.P.</w:t>
            </w:r>
          </w:p>
        </w:tc>
      </w:tr>
      <w:tr>
        <w:trPr>
          <w:trHeight w:val="230"/>
        </w:trPr>
        <w:tc>
          <w:tcPr>
            <w:tcW w:w="4400" w:type="dxa"/>
            <w:vAlign w:val="bottom"/>
          </w:tcPr>
          <w:p>
            <w:pPr>
              <w:spacing w:after="0"/>
              <w:rPr>
                <w:sz w:val="20"/>
                <w:szCs w:val="20"/>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Wells Fargo Securities, LLC</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color w:val="auto"/>
              </w:rPr>
              <w:t>Co-Managers</w:t>
            </w:r>
          </w:p>
        </w:tc>
        <w:tc>
          <w:tcPr>
            <w:tcW w:w="7060" w:type="dxa"/>
            <w:vAlign w:val="bottom"/>
          </w:tcPr>
          <w:p>
            <w:pPr>
              <w:ind w:left="1440"/>
              <w:spacing w:after="0"/>
              <w:rPr>
                <w:sz w:val="20"/>
                <w:szCs w:val="20"/>
                <w:color w:val="auto"/>
              </w:rPr>
            </w:pPr>
            <w:r>
              <w:rPr>
                <w:rFonts w:ascii="Arial" w:cs="Arial" w:eastAsia="Arial" w:hAnsi="Arial"/>
                <w:sz w:val="18"/>
                <w:szCs w:val="18"/>
                <w:color w:val="auto"/>
              </w:rPr>
              <w:t>Goldman Sachs &amp; Co. LLC</w:t>
            </w:r>
          </w:p>
        </w:tc>
      </w:tr>
      <w:tr>
        <w:trPr>
          <w:trHeight w:val="216"/>
        </w:trPr>
        <w:tc>
          <w:tcPr>
            <w:tcW w:w="4400" w:type="dxa"/>
            <w:vAlign w:val="bottom"/>
          </w:tcPr>
          <w:p>
            <w:pPr>
              <w:spacing w:after="0"/>
              <w:rPr>
                <w:sz w:val="18"/>
                <w:szCs w:val="18"/>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MUFG Securities Americas Inc.</w:t>
            </w:r>
          </w:p>
        </w:tc>
      </w:tr>
      <w:tr>
        <w:trPr>
          <w:trHeight w:val="230"/>
        </w:trPr>
        <w:tc>
          <w:tcPr>
            <w:tcW w:w="4400" w:type="dxa"/>
            <w:vAlign w:val="bottom"/>
          </w:tcPr>
          <w:p>
            <w:pPr>
              <w:spacing w:after="0"/>
              <w:rPr>
                <w:sz w:val="20"/>
                <w:szCs w:val="20"/>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ANZ Securities, Inc.</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color w:val="auto"/>
              </w:rPr>
              <w:t>Net Proceeds:</w:t>
            </w:r>
          </w:p>
        </w:tc>
        <w:tc>
          <w:tcPr>
            <w:tcW w:w="7060" w:type="dxa"/>
            <w:vAlign w:val="bottom"/>
          </w:tcPr>
          <w:p>
            <w:pPr>
              <w:ind w:left="1440"/>
              <w:spacing w:after="0"/>
              <w:rPr>
                <w:sz w:val="20"/>
                <w:szCs w:val="20"/>
                <w:color w:val="auto"/>
              </w:rPr>
            </w:pPr>
            <w:r>
              <w:rPr>
                <w:rFonts w:ascii="Arial" w:cs="Arial" w:eastAsia="Arial" w:hAnsi="Arial"/>
                <w:sz w:val="18"/>
                <w:szCs w:val="18"/>
                <w:color w:val="auto"/>
                <w:w w:val="97"/>
              </w:rPr>
              <w:t>Micron estimates that the net proceeds from the offering, after deducting</w:t>
            </w:r>
          </w:p>
        </w:tc>
      </w:tr>
      <w:tr>
        <w:trPr>
          <w:trHeight w:val="216"/>
        </w:trPr>
        <w:tc>
          <w:tcPr>
            <w:tcW w:w="4400" w:type="dxa"/>
            <w:vAlign w:val="bottom"/>
          </w:tcPr>
          <w:p>
            <w:pPr>
              <w:spacing w:after="0"/>
              <w:rPr>
                <w:sz w:val="18"/>
                <w:szCs w:val="18"/>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w w:val="96"/>
              </w:rPr>
              <w:t>underwriting discounts and estimated offering fees and expenses, will be</w:t>
            </w:r>
          </w:p>
        </w:tc>
      </w:tr>
      <w:tr>
        <w:trPr>
          <w:trHeight w:val="230"/>
        </w:trPr>
        <w:tc>
          <w:tcPr>
            <w:tcW w:w="4400" w:type="dxa"/>
            <w:vAlign w:val="bottom"/>
          </w:tcPr>
          <w:p>
            <w:pPr>
              <w:spacing w:after="0"/>
              <w:rPr>
                <w:sz w:val="20"/>
                <w:szCs w:val="20"/>
                <w:color w:val="auto"/>
              </w:rPr>
            </w:pPr>
          </w:p>
        </w:tc>
        <w:tc>
          <w:tcPr>
            <w:tcW w:w="7060" w:type="dxa"/>
            <w:vAlign w:val="bottom"/>
          </w:tcPr>
          <w:p>
            <w:pPr>
              <w:ind w:left="1440"/>
              <w:spacing w:after="0"/>
              <w:rPr>
                <w:sz w:val="20"/>
                <w:szCs w:val="20"/>
                <w:color w:val="auto"/>
              </w:rPr>
            </w:pPr>
            <w:r>
              <w:rPr>
                <w:rFonts w:ascii="Arial" w:cs="Arial" w:eastAsia="Arial" w:hAnsi="Arial"/>
                <w:sz w:val="18"/>
                <w:szCs w:val="18"/>
                <w:color w:val="auto"/>
              </w:rPr>
              <w:t>approximately $1.789 billion.</w:t>
            </w:r>
          </w:p>
        </w:tc>
      </w:tr>
      <w:tr>
        <w:trPr>
          <w:trHeight w:val="432"/>
        </w:trPr>
        <w:tc>
          <w:tcPr>
            <w:tcW w:w="4400" w:type="dxa"/>
            <w:vAlign w:val="bottom"/>
          </w:tcPr>
          <w:p>
            <w:pPr>
              <w:spacing w:after="0"/>
              <w:rPr>
                <w:sz w:val="24"/>
                <w:szCs w:val="24"/>
                <w:color w:val="auto"/>
              </w:rPr>
            </w:pPr>
          </w:p>
        </w:tc>
        <w:tc>
          <w:tcPr>
            <w:tcW w:w="7060" w:type="dxa"/>
            <w:vAlign w:val="bottom"/>
          </w:tcPr>
          <w:p>
            <w:pPr>
              <w:ind w:left="1260"/>
              <w:spacing w:after="0"/>
              <w:rPr>
                <w:sz w:val="20"/>
                <w:szCs w:val="20"/>
                <w:color w:val="auto"/>
              </w:rPr>
            </w:pPr>
            <w:r>
              <w:rPr>
                <w:rFonts w:ascii="Arial" w:cs="Arial" w:eastAsia="Arial" w:hAnsi="Arial"/>
                <w:sz w:val="18"/>
                <w:szCs w:val="18"/>
                <w:color w:val="auto"/>
              </w:rPr>
              <w:t>2</w:t>
            </w:r>
          </w:p>
        </w:tc>
      </w:tr>
      <w:tr>
        <w:trPr>
          <w:trHeight w:val="132"/>
        </w:trPr>
        <w:tc>
          <w:tcPr>
            <w:tcW w:w="4400" w:type="dxa"/>
            <w:vAlign w:val="bottom"/>
            <w:tcBorders>
              <w:bottom w:val="single" w:sz="8" w:color="808080"/>
            </w:tcBorders>
          </w:tcPr>
          <w:p>
            <w:pPr>
              <w:spacing w:after="0"/>
              <w:rPr>
                <w:sz w:val="11"/>
                <w:szCs w:val="11"/>
                <w:color w:val="auto"/>
              </w:rPr>
            </w:pPr>
          </w:p>
        </w:tc>
        <w:tc>
          <w:tcPr>
            <w:tcW w:w="70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Redemption at Micron’s Option:</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Micron may redeem some or all of the notes, at any time or from time to time prior to the applicable Par Call Date, at a redemption price equal to the greater of (i) 100% of the principal amount of the notes to be redeemed and (ii) the sum of the present values of the remaining scheduled payments of principal and interest thereon that would be due if the notes of such series matured on the applicable Par Call Date (exclusive of interest accrued to the date of redemption), discounted to the date of redemption on a semi-annual basis (assuming a 360-day year consisting of twelve 30-day months) at the then current Treasury Rate plus 35 basis points for the 2024 notes, 40 basis points for the 2026 notes and 40 basis points for the 2029 notes, plus, in each case, accrued and unpaid interest, if any, on the amount being redeemed to, but excluding, the date of redemption.</w:t>
      </w:r>
    </w:p>
    <w:p>
      <w:pPr>
        <w:spacing w:after="0" w:line="169" w:lineRule="exact"/>
        <w:rPr>
          <w:sz w:val="20"/>
          <w:szCs w:val="20"/>
          <w:color w:val="auto"/>
        </w:rPr>
      </w:pPr>
    </w:p>
    <w:p>
      <w:pPr>
        <w:sectPr>
          <w:pgSz w:w="11900" w:h="16838" w:orient="portrait"/>
          <w:cols w:equalWidth="0" w:num="2">
            <w:col w:w="5120" w:space="720"/>
            <w:col w:w="5560"/>
          </w:cols>
          <w:pgMar w:left="240" w:top="337" w:right="259" w:bottom="1440" w:gutter="0" w:footer="0" w:header="0"/>
        </w:sectPr>
      </w:pPr>
    </w:p>
    <w:p>
      <w:pPr>
        <w:ind w:left="5840"/>
        <w:spacing w:after="0"/>
        <w:rPr>
          <w:sz w:val="20"/>
          <w:szCs w:val="20"/>
          <w:color w:val="auto"/>
        </w:rPr>
      </w:pPr>
      <w:r>
        <w:rPr>
          <w:rFonts w:ascii="Arial" w:cs="Arial" w:eastAsia="Arial" w:hAnsi="Arial"/>
          <w:sz w:val="16"/>
          <w:szCs w:val="16"/>
          <w:color w:val="auto"/>
        </w:rPr>
        <w:t>In addition, Micron may redeem any 2024 notes, 2026 notes or 2029 notes</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on or after the applicable Par Call Date at a redemption price equal to 100%</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of the principal amount of the notes redeemed, plus accrued and unpaid</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interest, if any, to, but excluding, the date of redemption.</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“Par Call Date” means (i) January 6, 2024 with respect to any 2024 notes</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(one month prior to the maturity date of the 2024 notes), (ii) December 6,</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2025 with respect to any 2026 notes (two months prior to the maturity date</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of the 2026 notes) and (iii) November 6, 2028 with respect to any 2029 notes</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(three months prior to the maturity date of the 2029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Note: A securities rating is not a recommendation to buy, sell or hold securities and may be subject to revision or withdrawal at any time.</w:t>
      </w:r>
    </w:p>
    <w:p>
      <w:pPr>
        <w:spacing w:after="0" w:line="248"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b w:val="1"/>
          <w:bCs w:val="1"/>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The issuer has filed a registration statement (including a prospectus) and a prospectus supplement with the Securities and Exchange Commission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Morgan Stanley &amp; Co. LLC toll free at 1-866-718-1649, BNP Paribas Securities Corp. toll free at 1-800-854-5674 or Credit Suisse Securities (USA) LLC toll free at 1-800-221-1037.</w:t>
      </w:r>
    </w:p>
    <w:p>
      <w:pPr>
        <w:spacing w:after="0" w:line="189"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Any legends, disclaimers or other notices that may appear below are not applicable to this communication and should be disregarded. Such legends, disclaimers or other notices have been automatically generated as a result of this communication having been sent via Bloomberg or another system.</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37"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2019-12-04T23:47:12Z</dcterms:created>
  <dcterms:modified xsi:type="dcterms:W3CDTF">2019-12-04T23:47:12Z</dcterms:modified>
</cp:coreProperties>
</file>