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980" w:val="left"/>
        </w:tabs>
        <w:rPr>
          <w:sz w:val="20"/>
          <w:szCs w:val="20"/>
          <w:color w:val="auto"/>
        </w:rPr>
      </w:pPr>
      <w:r>
        <w:rPr>
          <w:rFonts w:ascii="Courier New" w:cs="Courier New" w:eastAsia="Courier New" w:hAnsi="Courier New"/>
          <w:sz w:val="18"/>
          <w:szCs w:val="18"/>
          <w:color w:val="auto"/>
        </w:rPr>
        <w:t>Washington, D. 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 2 )</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Number 595112103</w:t>
      </w:r>
    </w:p>
    <w:p>
      <w:pPr>
        <w:spacing w:after="0" w:line="200"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Date of Event Which Requires Filing of this Statement:</w:t>
      </w:r>
      <w:r>
        <w:rPr>
          <w:sz w:val="20"/>
          <w:szCs w:val="20"/>
          <w:color w:val="auto"/>
        </w:rPr>
        <w:tab/>
      </w:r>
      <w:r>
        <w:rPr>
          <w:rFonts w:ascii="Courier New" w:cs="Courier New" w:eastAsia="Courier New" w:hAnsi="Courier New"/>
          <w:sz w:val="16"/>
          <w:szCs w:val="16"/>
          <w:color w:val="auto"/>
        </w:rPr>
        <w:t>12/31/2007</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Rule 13d-1(b)</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 - - - - - - - - - - - - - - - - - - - - - - - - - - - - - - - -</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595112103</w:t>
      </w:r>
    </w:p>
    <w:p>
      <w:pPr>
        <w:spacing w:after="0" w:line="207" w:lineRule="exact"/>
        <w:rPr>
          <w:sz w:val="24"/>
          <w:szCs w:val="24"/>
          <w:color w:val="auto"/>
        </w:rPr>
      </w:pPr>
    </w:p>
    <w:p>
      <w:pPr>
        <w:jc w:val="both"/>
        <w:ind w:left="420" w:right="7159" w:hanging="412"/>
        <w:spacing w:after="0" w:line="268" w:lineRule="auto"/>
        <w:tabs>
          <w:tab w:leader="none" w:pos="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ClearBridge Advisors, LLC Tax Identification No.:</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01-0846058</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740" w:hanging="311"/>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740" w:hanging="311"/>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37,391,155</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- 0 -</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48,598,709</w:t>
      </w:r>
    </w:p>
    <w:p>
      <w:pPr>
        <w:spacing w:after="0" w:line="4" w:lineRule="exact"/>
        <w:rPr>
          <w:rFonts w:ascii="Courier New" w:cs="Courier New" w:eastAsia="Courier New" w:hAnsi="Courier New"/>
          <w:sz w:val="18"/>
          <w:szCs w:val="18"/>
          <w:color w:val="auto"/>
        </w:rPr>
      </w:pPr>
    </w:p>
    <w:p>
      <w:pPr>
        <w:ind w:left="420" w:right="335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48,598,709</w:t>
      </w:r>
    </w:p>
    <w:p>
      <w:pPr>
        <w:spacing w:after="0" w:line="208" w:lineRule="exact"/>
        <w:rPr>
          <w:rFonts w:ascii="Courier New" w:cs="Courier New" w:eastAsia="Courier New" w:hAnsi="Courier New"/>
          <w:sz w:val="18"/>
          <w:szCs w:val="18"/>
          <w:color w:val="auto"/>
        </w:rPr>
      </w:pPr>
    </w:p>
    <w:p>
      <w:pPr>
        <w:ind w:left="420" w:right="293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n/a</w:t>
      </w:r>
    </w:p>
    <w:p>
      <w:pPr>
        <w:spacing w:after="0" w:line="208" w:lineRule="exact"/>
        <w:rPr>
          <w:rFonts w:ascii="Courier New" w:cs="Courier New" w:eastAsia="Courier New" w:hAnsi="Courier New"/>
          <w:sz w:val="18"/>
          <w:szCs w:val="18"/>
          <w:color w:val="auto"/>
        </w:rPr>
      </w:pPr>
    </w:p>
    <w:p>
      <w:pPr>
        <w:ind w:left="420" w:right="451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6.39%</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595112103</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0" w:right="6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Smith Barney Fund Management LLC Tax Identification No.:</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13-2616913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740" w:hanging="311"/>
        <w:spacing w:after="0" w:line="238" w:lineRule="auto"/>
        <w:tabs>
          <w:tab w:leader="none" w:pos="7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740" w:hanging="311"/>
        <w:spacing w:after="0" w:line="238" w:lineRule="auto"/>
        <w:tabs>
          <w:tab w:leader="none" w:pos="7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682,700</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- 0 -</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682,700</w:t>
      </w:r>
    </w:p>
    <w:p>
      <w:pPr>
        <w:spacing w:after="0" w:line="4" w:lineRule="exact"/>
        <w:rPr>
          <w:rFonts w:ascii="Courier New" w:cs="Courier New" w:eastAsia="Courier New" w:hAnsi="Courier New"/>
          <w:sz w:val="18"/>
          <w:szCs w:val="18"/>
          <w:color w:val="auto"/>
        </w:rPr>
      </w:pPr>
    </w:p>
    <w:p>
      <w:pPr>
        <w:ind w:left="420" w:right="33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682,700</w:t>
      </w:r>
    </w:p>
    <w:p>
      <w:pPr>
        <w:sectPr>
          <w:pgSz w:w="11900" w:h="16838" w:orient="portrait"/>
          <w:cols w:equalWidth="0" w:num="1">
            <w:col w:w="10219"/>
          </w:cols>
          <w:pgMar w:left="240" w:top="244" w:right="1440" w:bottom="0" w:gutter="0" w:footer="0" w:header="0"/>
        </w:sectPr>
      </w:pPr>
    </w:p>
    <w:bookmarkStart w:id="1" w:name="page2"/>
    <w:bookmarkEnd w:id="1"/>
    <w:p>
      <w:pPr>
        <w:ind w:left="420" w:right="2939" w:hanging="412"/>
        <w:spacing w:after="0" w:line="235"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n/a</w:t>
      </w:r>
    </w:p>
    <w:p>
      <w:pPr>
        <w:spacing w:after="0" w:line="208" w:lineRule="exact"/>
        <w:rPr>
          <w:rFonts w:ascii="Courier New" w:cs="Courier New" w:eastAsia="Courier New" w:hAnsi="Courier New"/>
          <w:sz w:val="18"/>
          <w:szCs w:val="18"/>
          <w:color w:val="auto"/>
        </w:rPr>
      </w:pPr>
    </w:p>
    <w:p>
      <w:pPr>
        <w:ind w:left="420" w:right="4519" w:hanging="412"/>
        <w:spacing w:after="0" w:line="235"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0.09%</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 - - - - - - - - - - - - - - - - - - - - - - - - -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960"/>
        <w:spacing w:after="0" w:line="238" w:lineRule="auto"/>
        <w:rPr>
          <w:sz w:val="20"/>
          <w:szCs w:val="20"/>
          <w:color w:val="auto"/>
        </w:rPr>
      </w:pPr>
      <w:r>
        <w:rPr>
          <w:rFonts w:ascii="Courier New" w:cs="Courier New" w:eastAsia="Courier New" w:hAnsi="Courier New"/>
          <w:sz w:val="18"/>
          <w:szCs w:val="18"/>
          <w:color w:val="auto"/>
        </w:rPr>
        <w:t>Micron Technology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960"/>
        <w:spacing w:after="0" w:line="238" w:lineRule="auto"/>
        <w:rPr>
          <w:sz w:val="20"/>
          <w:szCs w:val="20"/>
          <w:color w:val="auto"/>
        </w:rPr>
      </w:pPr>
      <w:r>
        <w:rPr>
          <w:rFonts w:ascii="Courier New" w:cs="Courier New" w:eastAsia="Courier New" w:hAnsi="Courier New"/>
          <w:sz w:val="18"/>
          <w:szCs w:val="18"/>
          <w:color w:val="auto"/>
        </w:rPr>
        <w:t>8000 South Federal Way</w:t>
      </w:r>
    </w:p>
    <w:p>
      <w:pPr>
        <w:ind w:left="960"/>
        <w:spacing w:after="0"/>
        <w:rPr>
          <w:sz w:val="20"/>
          <w:szCs w:val="20"/>
          <w:color w:val="auto"/>
        </w:rPr>
      </w:pPr>
      <w:r>
        <w:rPr>
          <w:rFonts w:ascii="Courier New" w:cs="Courier New" w:eastAsia="Courier New" w:hAnsi="Courier New"/>
          <w:sz w:val="18"/>
          <w:szCs w:val="18"/>
          <w:color w:val="auto"/>
        </w:rPr>
        <w:t>PO Box 6</w:t>
      </w:r>
    </w:p>
    <w:p>
      <w:pPr>
        <w:ind w:left="960"/>
        <w:spacing w:after="0" w:line="237" w:lineRule="auto"/>
        <w:rPr>
          <w:sz w:val="20"/>
          <w:szCs w:val="20"/>
          <w:color w:val="auto"/>
        </w:rPr>
      </w:pPr>
      <w:r>
        <w:rPr>
          <w:rFonts w:ascii="Courier New" w:cs="Courier New" w:eastAsia="Courier New" w:hAnsi="Courier New"/>
          <w:sz w:val="18"/>
          <w:szCs w:val="18"/>
          <w:color w:val="auto"/>
        </w:rPr>
        <w:t>Boise, ID 83707 United States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ind w:left="960"/>
        <w:spacing w:after="0" w:line="238" w:lineRule="auto"/>
        <w:rPr>
          <w:sz w:val="20"/>
          <w:szCs w:val="20"/>
          <w:color w:val="auto"/>
        </w:rPr>
      </w:pPr>
      <w:r>
        <w:rPr>
          <w:rFonts w:ascii="Courier New" w:cs="Courier New" w:eastAsia="Courier New" w:hAnsi="Courier New"/>
          <w:sz w:val="18"/>
          <w:szCs w:val="18"/>
          <w:color w:val="auto"/>
        </w:rPr>
        <w:t>ClearBridge Advisors, LLC</w:t>
      </w:r>
    </w:p>
    <w:p>
      <w:pPr>
        <w:ind w:left="960"/>
        <w:spacing w:after="0"/>
        <w:rPr>
          <w:sz w:val="20"/>
          <w:szCs w:val="20"/>
          <w:color w:val="auto"/>
        </w:rPr>
      </w:pPr>
      <w:r>
        <w:rPr>
          <w:rFonts w:ascii="Courier New" w:cs="Courier New" w:eastAsia="Courier New" w:hAnsi="Courier New"/>
          <w:sz w:val="18"/>
          <w:szCs w:val="18"/>
          <w:color w:val="auto"/>
        </w:rPr>
        <w:t>Smith Barney Fund Management LLC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ind w:left="960"/>
        <w:spacing w:after="0" w:line="238" w:lineRule="auto"/>
        <w:rPr>
          <w:sz w:val="20"/>
          <w:szCs w:val="20"/>
          <w:color w:val="auto"/>
        </w:rPr>
      </w:pPr>
      <w:r>
        <w:rPr>
          <w:rFonts w:ascii="Courier New" w:cs="Courier New" w:eastAsia="Courier New" w:hAnsi="Courier New"/>
          <w:sz w:val="18"/>
          <w:szCs w:val="18"/>
          <w:color w:val="auto"/>
        </w:rPr>
        <w:t>399 Park Avenue</w:t>
      </w:r>
    </w:p>
    <w:p>
      <w:pPr>
        <w:ind w:left="960"/>
        <w:spacing w:after="0"/>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ind w:left="960"/>
        <w:spacing w:after="0" w:line="238" w:lineRule="auto"/>
        <w:rPr>
          <w:sz w:val="20"/>
          <w:szCs w:val="20"/>
          <w:color w:val="auto"/>
        </w:rPr>
      </w:pPr>
      <w:r>
        <w:rPr>
          <w:rFonts w:ascii="Courier New" w:cs="Courier New" w:eastAsia="Courier New" w:hAnsi="Courier New"/>
          <w:sz w:val="18"/>
          <w:szCs w:val="18"/>
          <w:color w:val="auto"/>
        </w:rPr>
        <w:t>ClearBridge Advisors, LLC</w:t>
      </w:r>
    </w:p>
    <w:p>
      <w:pPr>
        <w:ind w:left="1060"/>
        <w:spacing w:after="0"/>
        <w:rPr>
          <w:sz w:val="20"/>
          <w:szCs w:val="20"/>
          <w:color w:val="auto"/>
        </w:rPr>
      </w:pPr>
      <w:r>
        <w:rPr>
          <w:rFonts w:ascii="Courier New" w:cs="Courier New" w:eastAsia="Courier New" w:hAnsi="Courier New"/>
          <w:sz w:val="18"/>
          <w:szCs w:val="18"/>
          <w:color w:val="auto"/>
        </w:rPr>
        <w:t>Delaware Limited Liability Corporation</w:t>
      </w:r>
    </w:p>
    <w:p>
      <w:pPr>
        <w:ind w:left="960"/>
        <w:spacing w:after="0" w:line="237" w:lineRule="auto"/>
        <w:rPr>
          <w:sz w:val="20"/>
          <w:szCs w:val="20"/>
          <w:color w:val="auto"/>
        </w:rPr>
      </w:pPr>
      <w:r>
        <w:rPr>
          <w:rFonts w:ascii="Courier New" w:cs="Courier New" w:eastAsia="Courier New" w:hAnsi="Courier New"/>
          <w:sz w:val="18"/>
          <w:szCs w:val="18"/>
          <w:color w:val="auto"/>
        </w:rPr>
        <w:t>Smith Barney Fund Management LLC</w:t>
      </w:r>
    </w:p>
    <w:p>
      <w:pPr>
        <w:ind w:left="1060"/>
        <w:spacing w:after="0" w:line="238" w:lineRule="auto"/>
        <w:rPr>
          <w:sz w:val="20"/>
          <w:szCs w:val="20"/>
          <w:color w:val="auto"/>
        </w:rPr>
      </w:pPr>
      <w:r>
        <w:rPr>
          <w:rFonts w:ascii="Courier New" w:cs="Courier New" w:eastAsia="Courier New" w:hAnsi="Courier New"/>
          <w:sz w:val="18"/>
          <w:szCs w:val="18"/>
          <w:color w:val="auto"/>
        </w:rPr>
        <w:t>Delaware Limited Liability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ind w:left="96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595112103</w:t>
      </w:r>
    </w:p>
    <w:p>
      <w:pPr>
        <w:spacing w:after="0" w:line="207" w:lineRule="exact"/>
        <w:rPr>
          <w:sz w:val="20"/>
          <w:szCs w:val="20"/>
          <w:color w:val="auto"/>
        </w:rPr>
      </w:pPr>
    </w:p>
    <w:p>
      <w:pPr>
        <w:ind w:left="960" w:right="3679" w:hanging="947"/>
        <w:spacing w:after="0" w:line="268" w:lineRule="auto"/>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 13d 2(b), check whether the person filing is a:</w:t>
      </w:r>
    </w:p>
    <w:p>
      <w:pPr>
        <w:ind w:left="1160" w:hanging="415"/>
        <w:spacing w:after="0" w:line="233"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under Section 15 of the Act.</w:t>
      </w:r>
    </w:p>
    <w:p>
      <w:pPr>
        <w:ind w:left="1160" w:hanging="415"/>
        <w:spacing w:after="0" w:line="238"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1160" w:hanging="415"/>
        <w:spacing w:after="0" w:line="238"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3(a)(6) of the Act.</w:t>
      </w:r>
    </w:p>
    <w:p>
      <w:pPr>
        <w:ind w:left="1160" w:hanging="415"/>
        <w:spacing w:after="0" w:line="238"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580" w:right="3359" w:hanging="835"/>
        <w:spacing w:after="0" w:line="235" w:lineRule="auto"/>
        <w:tabs>
          <w:tab w:leader="none" w:pos="11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registered under Section 203 of the Investment Advisers Act of 1940.</w:t>
      </w:r>
    </w:p>
    <w:p>
      <w:pPr>
        <w:spacing w:after="0" w:line="1" w:lineRule="exact"/>
        <w:rPr>
          <w:rFonts w:ascii="Courier New" w:cs="Courier New" w:eastAsia="Courier New" w:hAnsi="Courier New"/>
          <w:sz w:val="18"/>
          <w:szCs w:val="18"/>
          <w:color w:val="auto"/>
        </w:rPr>
      </w:pPr>
    </w:p>
    <w:p>
      <w:pPr>
        <w:ind w:left="1160" w:hanging="415"/>
        <w:spacing w:after="0" w:line="238"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w:t>
      </w:r>
    </w:p>
    <w:p>
      <w:pPr>
        <w:ind w:left="1580"/>
        <w:spacing w:after="0"/>
        <w:rPr>
          <w:sz w:val="20"/>
          <w:szCs w:val="20"/>
          <w:color w:val="auto"/>
        </w:rPr>
      </w:pPr>
      <w:r>
        <w:rPr>
          <w:rFonts w:ascii="Courier New" w:cs="Courier New" w:eastAsia="Courier New" w:hAnsi="Courier New"/>
          <w:sz w:val="18"/>
          <w:szCs w:val="18"/>
          <w:color w:val="auto"/>
        </w:rPr>
        <w:t>to ERISA of 1974 or Endowment Funds; see 240.13d-1(b)(ii)(F).</w:t>
      </w:r>
    </w:p>
    <w:p>
      <w:pPr>
        <w:spacing w:after="0" w:line="3" w:lineRule="exact"/>
        <w:rPr>
          <w:sz w:val="20"/>
          <w:szCs w:val="20"/>
          <w:color w:val="auto"/>
        </w:rPr>
      </w:pPr>
    </w:p>
    <w:p>
      <w:pPr>
        <w:ind w:left="1160" w:hanging="415"/>
        <w:spacing w:after="0"/>
        <w:tabs>
          <w:tab w:leader="none" w:pos="11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240.13d-1(b)(ii)(G),</w:t>
      </w:r>
    </w:p>
    <w:p>
      <w:pPr>
        <w:spacing w:after="0" w:line="16" w:lineRule="exact"/>
        <w:rPr>
          <w:rFonts w:ascii="Courier New" w:cs="Courier New" w:eastAsia="Courier New" w:hAnsi="Courier New"/>
          <w:sz w:val="16"/>
          <w:szCs w:val="16"/>
          <w:color w:val="auto"/>
        </w:rPr>
      </w:pPr>
    </w:p>
    <w:p>
      <w:pPr>
        <w:ind w:left="1160" w:hanging="415"/>
        <w:spacing w:after="0" w:line="238" w:lineRule="auto"/>
        <w:tabs>
          <w:tab w:leader="none" w:pos="11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Group, in accordance with 240.13d-1(b)(1)(ii)(J).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1160" w:hanging="415"/>
        <w:spacing w:after="0" w:line="238" w:lineRule="auto"/>
        <w:tabs>
          <w:tab w:leader="none" w:pos="11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49,281,409</w:t>
      </w:r>
    </w:p>
    <w:p>
      <w:pPr>
        <w:ind w:left="1160" w:hanging="415"/>
        <w:spacing w:after="0" w:line="238" w:lineRule="auto"/>
        <w:tabs>
          <w:tab w:leader="none" w:pos="11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6.48%</w:t>
      </w:r>
    </w:p>
    <w:p>
      <w:pPr>
        <w:ind w:left="1160" w:hanging="415"/>
        <w:spacing w:after="0" w:line="238" w:lineRule="auto"/>
        <w:tabs>
          <w:tab w:leader="none" w:pos="11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480" w:hanging="419"/>
        <w:spacing w:after="0" w:line="238" w:lineRule="auto"/>
        <w:tabs>
          <w:tab w:leader="none" w:pos="14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800" w:hanging="317"/>
        <w:spacing w:after="0" w:line="238" w:lineRule="auto"/>
        <w:tabs>
          <w:tab w:leader="none" w:pos="180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4" w:lineRule="exact"/>
        <w:rPr>
          <w:rFonts w:ascii="Courier New" w:cs="Courier New" w:eastAsia="Courier New" w:hAnsi="Courier New"/>
          <w:sz w:val="18"/>
          <w:szCs w:val="18"/>
          <w:color w:val="auto"/>
        </w:rPr>
      </w:pPr>
    </w:p>
    <w:p>
      <w:pPr>
        <w:ind w:left="1480" w:right="4099" w:hanging="419"/>
        <w:spacing w:after="0" w:line="235" w:lineRule="auto"/>
        <w:tabs>
          <w:tab w:leader="none" w:pos="1585"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38,073,855</w:t>
      </w:r>
    </w:p>
    <w:p>
      <w:pPr>
        <w:spacing w:after="0" w:line="1" w:lineRule="exact"/>
        <w:rPr>
          <w:rFonts w:ascii="Courier New" w:cs="Courier New" w:eastAsia="Courier New" w:hAnsi="Courier New"/>
          <w:sz w:val="18"/>
          <w:szCs w:val="18"/>
          <w:color w:val="auto"/>
        </w:rPr>
      </w:pPr>
    </w:p>
    <w:p>
      <w:pPr>
        <w:ind w:left="1700" w:hanging="639"/>
        <w:spacing w:after="0" w:line="238" w:lineRule="auto"/>
        <w:tabs>
          <w:tab w:leader="none" w:pos="17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800" w:hanging="212"/>
        <w:spacing w:after="0" w:line="238" w:lineRule="auto"/>
        <w:tabs>
          <w:tab w:leader="none" w:pos="1800" w:val="left"/>
        </w:tabs>
        <w:numPr>
          <w:ilvl w:val="3"/>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4" w:lineRule="exact"/>
        <w:rPr>
          <w:rFonts w:ascii="Courier New" w:cs="Courier New" w:eastAsia="Courier New" w:hAnsi="Courier New"/>
          <w:sz w:val="18"/>
          <w:szCs w:val="18"/>
          <w:color w:val="auto"/>
        </w:rPr>
      </w:pPr>
    </w:p>
    <w:p>
      <w:pPr>
        <w:ind w:left="1480" w:right="2739" w:hanging="419"/>
        <w:spacing w:after="0" w:line="235" w:lineRule="auto"/>
        <w:tabs>
          <w:tab w:leader="none" w:pos="1585"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38,073,855</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106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0" w:lineRule="exact"/>
        <w:rPr>
          <w:sz w:val="20"/>
          <w:szCs w:val="20"/>
          <w:color w:val="auto"/>
        </w:rPr>
      </w:pPr>
    </w:p>
    <w:p>
      <w:pPr>
        <w:spacing w:after="0" w:line="209" w:lineRule="exact"/>
        <w:rPr>
          <w:sz w:val="20"/>
          <w:szCs w:val="20"/>
          <w:color w:val="auto"/>
        </w:rPr>
      </w:pPr>
    </w:p>
    <w:p>
      <w:pPr>
        <w:ind w:left="1060" w:right="315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w:t>
      </w:r>
    </w:p>
    <w:p>
      <w:pPr>
        <w:sectPr>
          <w:pgSz w:w="11900" w:h="16838" w:orient="portrait"/>
          <w:cols w:equalWidth="0" w:num="1">
            <w:col w:w="10219"/>
          </w:cols>
          <w:pgMar w:left="240" w:top="142" w:right="1440" w:bottom="0" w:gutter="0" w:footer="0" w:header="0"/>
        </w:sectPr>
      </w:pPr>
    </w:p>
    <w:bookmarkStart w:id="2" w:name="page3"/>
    <w:bookmarkEnd w:id="2"/>
    <w:p>
      <w:pPr>
        <w:ind w:left="1060"/>
        <w:spacing w:after="0"/>
        <w:rPr>
          <w:sz w:val="20"/>
          <w:szCs w:val="20"/>
          <w:color w:val="auto"/>
        </w:rPr>
      </w:pPr>
      <w:r>
        <w:rPr>
          <w:rFonts w:ascii="Courier New" w:cs="Courier New" w:eastAsia="Courier New" w:hAnsi="Courier New"/>
          <w:sz w:val="18"/>
          <w:szCs w:val="18"/>
          <w:color w:val="auto"/>
        </w:rPr>
        <w:t>holding company:</w:t>
      </w:r>
    </w:p>
    <w:p>
      <w:pPr>
        <w:ind w:left="106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1060"/>
        <w:spacing w:after="0" w:line="238" w:lineRule="auto"/>
        <w:rPr>
          <w:sz w:val="20"/>
          <w:szCs w:val="20"/>
          <w:color w:val="auto"/>
        </w:rPr>
      </w:pPr>
      <w:r>
        <w:rPr>
          <w:rFonts w:ascii="Courier New" w:cs="Courier New" w:eastAsia="Courier New" w:hAnsi="Courier New"/>
          <w:sz w:val="18"/>
          <w:szCs w:val="18"/>
          <w:color w:val="auto"/>
        </w:rPr>
        <w:t>ClearBridge Advisors, LLC</w:t>
      </w:r>
    </w:p>
    <w:p>
      <w:pPr>
        <w:ind w:left="1060"/>
        <w:spacing w:after="0"/>
        <w:rPr>
          <w:sz w:val="20"/>
          <w:szCs w:val="20"/>
          <w:color w:val="auto"/>
        </w:rPr>
      </w:pPr>
      <w:r>
        <w:rPr>
          <w:rFonts w:ascii="Courier New" w:cs="Courier New" w:eastAsia="Courier New" w:hAnsi="Courier New"/>
          <w:sz w:val="18"/>
          <w:szCs w:val="18"/>
          <w:color w:val="auto"/>
        </w:rPr>
        <w:t>Smith Barney Fund Management LLC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06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Signature</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740" w:right="23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t>
      </w:r>
    </w:p>
    <w:p>
      <w:pPr>
        <w:ind w:left="740"/>
        <w:spacing w:after="0" w:line="238" w:lineRule="auto"/>
        <w:rPr>
          <w:sz w:val="20"/>
          <w:szCs w:val="20"/>
          <w:color w:val="auto"/>
        </w:rPr>
      </w:pPr>
      <w:r>
        <w:rPr>
          <w:rFonts w:ascii="Courier New" w:cs="Courier New" w:eastAsia="Courier New" w:hAnsi="Courier New"/>
          <w:sz w:val="18"/>
          <w:szCs w:val="18"/>
          <w:color w:val="auto"/>
        </w:rPr>
        <w:t>Date February 14, 2008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ClearBridge Advisors, LLC</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Terrence J. Murphy</w:t>
      </w:r>
    </w:p>
    <w:p>
      <w:pPr>
        <w:ind w:left="740"/>
        <w:spacing w:after="0" w:line="238" w:lineRule="auto"/>
        <w:rPr>
          <w:sz w:val="20"/>
          <w:szCs w:val="20"/>
          <w:color w:val="auto"/>
        </w:rPr>
      </w:pPr>
      <w:r>
        <w:rPr>
          <w:rFonts w:ascii="Courier New" w:cs="Courier New" w:eastAsia="Courier New" w:hAnsi="Courier New"/>
          <w:sz w:val="18"/>
          <w:szCs w:val="18"/>
          <w:color w:val="auto"/>
        </w:rPr>
        <w:t>Terrence J. Murphy, Chief Operating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Smith Barney Fund Management LLC</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Terrence J. Murphy</w:t>
      </w:r>
    </w:p>
    <w:p>
      <w:pPr>
        <w:ind w:left="740"/>
        <w:spacing w:after="0" w:line="238" w:lineRule="auto"/>
        <w:rPr>
          <w:sz w:val="20"/>
          <w:szCs w:val="20"/>
          <w:color w:val="auto"/>
        </w:rPr>
      </w:pPr>
      <w:r>
        <w:rPr>
          <w:rFonts w:ascii="Courier New" w:cs="Courier New" w:eastAsia="Courier New" w:hAnsi="Courier New"/>
          <w:sz w:val="18"/>
          <w:szCs w:val="18"/>
          <w:color w:val="auto"/>
        </w:rPr>
        <w:t>Terrence J. Murphy,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38" w:lineRule="auto"/>
        <w:rPr>
          <w:sz w:val="20"/>
          <w:szCs w:val="20"/>
          <w:color w:val="auto"/>
        </w:rPr>
      </w:pPr>
      <w:r>
        <w:rPr>
          <w:rFonts w:ascii="Courier New" w:cs="Courier New" w:eastAsia="Courier New" w:hAnsi="Courier New"/>
          <w:sz w:val="18"/>
          <w:szCs w:val="18"/>
          <w:color w:val="auto"/>
        </w:rPr>
        <w:t>Joint Filing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2419" w:firstLine="737"/>
        <w:spacing w:after="0" w:line="237" w:lineRule="auto"/>
        <w:rPr>
          <w:sz w:val="20"/>
          <w:szCs w:val="20"/>
          <w:color w:val="auto"/>
        </w:rPr>
      </w:pPr>
      <w:r>
        <w:rPr>
          <w:rFonts w:ascii="Courier New" w:cs="Courier New" w:eastAsia="Courier New" w:hAnsi="Courier New"/>
          <w:sz w:val="18"/>
          <w:szCs w:val="18"/>
          <w:color w:val="auto"/>
        </w:rPr>
        <w:t>This Joint Filing Agreement confirms the agreement by and among the undersigned that the Schedule 13G is filed on behalf of (i) each member of the group identified in Item 8 and (ii) the other reporting person(s) identified in Item 6 that may be deemed to beneficially own more than five percent of the issuers outstanding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ClearBridge Advisors, LLC</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Terrence J. Murphy</w:t>
      </w:r>
    </w:p>
    <w:p>
      <w:pPr>
        <w:ind w:left="740"/>
        <w:spacing w:after="0" w:line="238" w:lineRule="auto"/>
        <w:rPr>
          <w:sz w:val="20"/>
          <w:szCs w:val="20"/>
          <w:color w:val="auto"/>
        </w:rPr>
      </w:pPr>
      <w:r>
        <w:rPr>
          <w:rFonts w:ascii="Courier New" w:cs="Courier New" w:eastAsia="Courier New" w:hAnsi="Courier New"/>
          <w:sz w:val="18"/>
          <w:szCs w:val="18"/>
          <w:color w:val="auto"/>
        </w:rPr>
        <w:t>Terrence J. Murphy, Chief Operating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Smith Barney Fund Management LLC</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Terrence J. Murphy</w:t>
      </w:r>
    </w:p>
    <w:p>
      <w:pPr>
        <w:ind w:left="740"/>
        <w:spacing w:after="0" w:line="238" w:lineRule="auto"/>
        <w:rPr>
          <w:sz w:val="20"/>
          <w:szCs w:val="20"/>
          <w:color w:val="auto"/>
        </w:rPr>
      </w:pPr>
      <w:r>
        <w:rPr>
          <w:rFonts w:ascii="Courier New" w:cs="Courier New" w:eastAsia="Courier New" w:hAnsi="Courier New"/>
          <w:sz w:val="18"/>
          <w:szCs w:val="18"/>
          <w:color w:val="auto"/>
        </w:rPr>
        <w:t>Terrence J. Murphy, Chief Operating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lvl w:ilvl="1">
      <w:lvlJc w:val="left"/>
      <w:lvlText w:val="%2)"/>
      <w:numFmt w:val="lowerLetter"/>
      <w:start w:val="1"/>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1"/>
    </w:lvl>
    <w:lvl w:ilvl="1">
      <w:lvlJc w:val="left"/>
      <w:lvlText w:val="%2)"/>
      <w:numFmt w:val="lowerLetter"/>
      <w:start w:val="1"/>
    </w:lvl>
  </w:abstractNum>
  <w:abstractNum w:abstractNumId="4">
    <w:nsid w:val="79E2A9E3"/>
    <w:multiLevelType w:val="hybridMultilevel"/>
    <w:lvl w:ilvl="0">
      <w:lvlJc w:val="left"/>
      <w:lvlText w:val="%1)"/>
      <w:numFmt w:val="decimal"/>
      <w:start w:val="5"/>
    </w:lvl>
  </w:abstractNum>
  <w:abstractNum w:abstractNumId="5">
    <w:nsid w:val="7545E146"/>
    <w:multiLevelType w:val="hybridMultilevel"/>
    <w:lvl w:ilvl="0">
      <w:lvlJc w:val="left"/>
      <w:lvlText w:val="%1)"/>
      <w:numFmt w:val="decimal"/>
      <w:start w:val="10"/>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5"/>
    </w:lvl>
  </w:abstractNum>
  <w:abstractNum w:abstractNumId="8">
    <w:nsid w:val="12200854"/>
    <w:multiLevelType w:val="hybridMultilevel"/>
    <w:lvl w:ilvl="0">
      <w:lvlJc w:val="left"/>
      <w:lvlText w:val="(%1)"/>
      <w:numFmt w:val="lowerLetter"/>
      <w:start w:val="7"/>
    </w:lvl>
  </w:abstractNum>
  <w:abstractNum w:abstractNumId="9">
    <w:nsid w:val="4DB127F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lvl w:ilvl="3">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2019-12-13T13:15:34Z</dcterms:created>
  <dcterms:modified xsi:type="dcterms:W3CDTF">2019-12-13T13:15:34Z</dcterms:modified>
</cp:coreProperties>
</file>