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80"/>
        <w:spacing w:after="0"/>
        <w:rPr>
          <w:sz w:val="20"/>
          <w:szCs w:val="20"/>
          <w:color w:val="auto"/>
        </w:rPr>
      </w:pPr>
      <w:r>
        <w:rPr>
          <w:rFonts w:ascii="Courier New" w:cs="Courier New" w:eastAsia="Courier New" w:hAnsi="Courier New"/>
          <w:sz w:val="18"/>
          <w:szCs w:val="18"/>
          <w:color w:val="auto"/>
        </w:rPr>
        <w:t>Page 1 of 12</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jc w:val="center"/>
        <w:ind w:left="2080"/>
        <w:spacing w:after="0" w:line="238" w:lineRule="auto"/>
        <w:rPr>
          <w:sz w:val="20"/>
          <w:szCs w:val="20"/>
          <w:color w:val="auto"/>
        </w:rPr>
      </w:pPr>
      <w:r>
        <w:rPr>
          <w:rFonts w:ascii="Courier New" w:cs="Courier New" w:eastAsia="Courier New" w:hAnsi="Courier New"/>
          <w:sz w:val="18"/>
          <w:szCs w:val="18"/>
          <w:color w:val="auto"/>
        </w:rPr>
        <w:t>OMB APPROVAL</w:t>
      </w:r>
    </w:p>
    <w:p>
      <w:pPr>
        <w:ind w:left="5160"/>
        <w:spacing w:after="0"/>
        <w:rPr>
          <w:sz w:val="20"/>
          <w:szCs w:val="20"/>
          <w:color w:val="auto"/>
        </w:rPr>
      </w:pPr>
      <w:r>
        <w:rPr>
          <w:rFonts w:ascii="Courier New" w:cs="Courier New" w:eastAsia="Courier New" w:hAnsi="Courier New"/>
          <w:sz w:val="18"/>
          <w:szCs w:val="18"/>
          <w:color w:val="auto"/>
        </w:rPr>
        <w:t>------------------------------</w:t>
      </w:r>
    </w:p>
    <w:tbl>
      <w:tblPr>
        <w:tblLayout w:type="fixed"/>
        <w:tblInd w:w="5160" w:type="dxa"/>
        <w:tblCellMar>
          <w:top w:w="0" w:type="dxa"/>
          <w:left w:w="0" w:type="dxa"/>
          <w:bottom w:w="0" w:type="dxa"/>
          <w:right w:w="0" w:type="dxa"/>
        </w:tblCellMar>
      </w:tblPr>
      <w:tr>
        <w:trPr>
          <w:trHeight w:val="202"/>
        </w:trPr>
        <w:tc>
          <w:tcPr>
            <w:tcW w:w="190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12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6"/>
              </w:rPr>
              <w:t>August 31,1999</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average burden</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14.90</w:t>
            </w:r>
          </w:p>
        </w:tc>
      </w:tr>
    </w:tbl>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5) *</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(3-98)</w:t>
      </w:r>
    </w:p>
    <w:p>
      <w:pPr>
        <w:spacing w:after="0" w:line="377"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Page 2 of 12</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33-0704072</w:t>
      </w:r>
    </w:p>
    <w:p>
      <w:pPr>
        <w:spacing w:after="0" w:line="3"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300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w:t>
            </w:r>
          </w:p>
        </w:tc>
        <w:tc>
          <w:tcPr>
            <w:tcW w:w="6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0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64,018,458</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by Each</w:t>
            </w:r>
          </w:p>
        </w:tc>
        <w:tc>
          <w:tcPr>
            <w:tcW w:w="3900" w:type="dxa"/>
            <w:vAlign w:val="bottom"/>
            <w:gridSpan w:val="2"/>
          </w:tcPr>
          <w:p>
            <w:pPr>
              <w:jc w:val="center"/>
              <w:ind w:left="443"/>
              <w:spacing w:after="0"/>
              <w:rPr>
                <w:sz w:val="20"/>
                <w:szCs w:val="20"/>
                <w:color w:val="auto"/>
              </w:rPr>
            </w:pPr>
            <w:r>
              <w:rPr>
                <w:rFonts w:ascii="Courier New" w:cs="Courier New" w:eastAsia="Courier New" w:hAnsi="Courier New"/>
                <w:sz w:val="13"/>
                <w:szCs w:val="13"/>
                <w:color w:val="auto"/>
                <w:w w:val="74"/>
              </w:rPr>
              <w:t>----------------------------------------------------------</w:t>
            </w:r>
          </w:p>
        </w:tc>
        <w:tc>
          <w:tcPr>
            <w:tcW w:w="13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jc w:val="right"/>
              <w:ind w:right="143"/>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13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900" w:type="dxa"/>
            <w:vAlign w:val="bottom"/>
            <w:gridSpan w:val="2"/>
          </w:tcPr>
          <w:p>
            <w:pPr>
              <w:jc w:val="center"/>
              <w:ind w:left="443"/>
              <w:spacing w:after="0"/>
              <w:rPr>
                <w:sz w:val="20"/>
                <w:szCs w:val="20"/>
                <w:color w:val="auto"/>
              </w:rPr>
            </w:pPr>
            <w:r>
              <w:rPr>
                <w:rFonts w:ascii="Courier New" w:cs="Courier New" w:eastAsia="Courier New" w:hAnsi="Courier New"/>
                <w:sz w:val="13"/>
                <w:szCs w:val="13"/>
                <w:color w:val="auto"/>
                <w:w w:val="74"/>
              </w:rPr>
              <w:t>----------------------------------------------------------</w:t>
            </w:r>
          </w:p>
        </w:tc>
        <w:tc>
          <w:tcPr>
            <w:tcW w:w="1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060" w:type="dxa"/>
            <w:vAlign w:val="bottom"/>
          </w:tcPr>
          <w:p>
            <w:pPr>
              <w:jc w:val="right"/>
              <w:ind w:right="143"/>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81,349,316</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6020"/>
        <w:spacing w:after="0"/>
        <w:rPr>
          <w:sz w:val="20"/>
          <w:szCs w:val="20"/>
          <w:color w:val="auto"/>
        </w:rPr>
      </w:pPr>
      <w:r>
        <w:rPr>
          <w:rFonts w:ascii="Courier New" w:cs="Courier New" w:eastAsia="Courier New" w:hAnsi="Courier New"/>
          <w:sz w:val="18"/>
          <w:szCs w:val="18"/>
          <w:color w:val="auto"/>
        </w:rPr>
        <w:t>81,349,316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6"/>
          <w:szCs w:val="16"/>
          <w:color w:val="auto"/>
        </w:rPr>
        <w:t>10.70%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IA, 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Page 3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Inc.</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33-0090873</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64,018,458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81,349,316</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81,349,316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Investment Partners, Inc.,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Investment Partners, Inc.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 this</w:t>
      </w:r>
    </w:p>
    <w:p>
      <w:pPr>
        <w:ind w:left="1700"/>
        <w:spacing w:after="0"/>
        <w:rPr>
          <w:sz w:val="20"/>
          <w:szCs w:val="20"/>
          <w:color w:val="auto"/>
        </w:rPr>
      </w:pPr>
      <w:r>
        <w:rPr>
          <w:rFonts w:ascii="Courier New" w:cs="Courier New" w:eastAsia="Courier New" w:hAnsi="Courier New"/>
          <w:sz w:val="18"/>
          <w:szCs w:val="18"/>
          <w:color w:val="auto"/>
        </w:rPr>
        <w:t>Schedule 13G, except for an amount that is</w:t>
      </w:r>
    </w:p>
    <w:p>
      <w:pPr>
        <w:ind w:left="1700"/>
        <w:spacing w:after="0" w:line="237" w:lineRule="auto"/>
        <w:rPr>
          <w:sz w:val="20"/>
          <w:szCs w:val="20"/>
          <w:color w:val="auto"/>
        </w:rPr>
      </w:pPr>
      <w:r>
        <w:rPr>
          <w:rFonts w:ascii="Courier New" w:cs="Courier New" w:eastAsia="Courier New" w:hAnsi="Courier New"/>
          <w:sz w:val="18"/>
          <w:szCs w:val="18"/>
          <w:color w:val="auto"/>
        </w:rPr>
        <w:t>substantially less than one per cent of the</w:t>
      </w:r>
    </w:p>
    <w:p>
      <w:pPr>
        <w:ind w:left="1700"/>
        <w:spacing w:after="0"/>
        <w:rPr>
          <w:sz w:val="20"/>
          <w:szCs w:val="20"/>
          <w:color w:val="auto"/>
        </w:rPr>
      </w:pPr>
      <w:r>
        <w:rPr>
          <w:rFonts w:ascii="Courier New" w:cs="Courier New" w:eastAsia="Courier New" w:hAnsi="Courier New"/>
          <w:sz w:val="18"/>
          <w:szCs w:val="18"/>
          <w:color w:val="auto"/>
        </w:rPr>
        <w:t>number of shares reported herein.</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ind w:right="1579" w:firstLine="632"/>
        <w:spacing w:after="0" w:line="237" w:lineRule="auto"/>
        <w:rPr>
          <w:sz w:val="20"/>
          <w:szCs w:val="20"/>
          <w:color w:val="auto"/>
        </w:rPr>
      </w:pPr>
      <w:r>
        <w:rPr>
          <w:rFonts w:ascii="Courier New" w:cs="Courier New" w:eastAsia="Courier New" w:hAnsi="Courier New"/>
          <w:sz w:val="18"/>
          <w:szCs w:val="18"/>
          <w:color w:val="auto"/>
        </w:rPr>
        <w:t>11. Percent of Class Represented by Amount in Row (9) 10.70% - -------------------------------------------------------------------------------- 12. Type of Reporting Person (See Instructions) CO, OO (Control Person) - --------------------------------------------------------------------------------</w:t>
      </w:r>
    </w:p>
    <w:p>
      <w:pPr>
        <w:sectPr>
          <w:pgSz w:w="11900" w:h="16838" w:orient="portrait"/>
          <w:cols w:equalWidth="0" w:num="1">
            <w:col w:w="10219"/>
          </w:cols>
          <w:pgMar w:left="240" w:top="514"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Page 4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Worldwide Holdings,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33-0836630</w:t>
      </w:r>
    </w:p>
    <w:p>
      <w:pPr>
        <w:spacing w:after="0" w:line="20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64,018,458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81,349,316</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81,349,316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Worldwide Holdings, L.P.,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Worldwide Holdings, L.P.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w:t>
      </w:r>
    </w:p>
    <w:p>
      <w:pPr>
        <w:ind w:left="1700"/>
        <w:spacing w:after="0"/>
        <w:rPr>
          <w:sz w:val="20"/>
          <w:szCs w:val="20"/>
          <w:color w:val="auto"/>
        </w:rPr>
      </w:pPr>
      <w:r>
        <w:rPr>
          <w:rFonts w:ascii="Courier New" w:cs="Courier New" w:eastAsia="Courier New" w:hAnsi="Courier New"/>
          <w:sz w:val="18"/>
          <w:szCs w:val="18"/>
          <w:color w:val="auto"/>
        </w:rPr>
        <w:t>this 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6"/>
          <w:szCs w:val="16"/>
          <w:color w:val="auto"/>
        </w:rPr>
        <w:t>10.70%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PN,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Page 5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2839" w:hanging="315"/>
        <w:spacing w:after="0" w:line="235" w:lineRule="auto"/>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 xml:space="preserve"> </w:t>
      </w:r>
      <w:r>
        <w:rPr>
          <w:rFonts w:ascii="Courier New" w:cs="Courier New" w:eastAsia="Courier New" w:hAnsi="Courier New"/>
          <w:sz w:val="18"/>
          <w:szCs w:val="18"/>
          <w:color w:val="auto"/>
        </w:rPr>
        <w:t>Charles H. Brandes I.R.S. Identification Nos. of above persons (entities only).</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64,018,458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81,349,316</w:t>
            </w:r>
          </w:p>
        </w:tc>
      </w:tr>
    </w:tbl>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81,349,316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Charles H. Brandes, a control person</w:t>
      </w:r>
    </w:p>
    <w:p>
      <w:pPr>
        <w:ind w:left="1700"/>
        <w:spacing w:after="0"/>
        <w:tabs>
          <w:tab w:leader="none" w:pos="4620" w:val="left"/>
        </w:tabs>
        <w:rPr>
          <w:sz w:val="20"/>
          <w:szCs w:val="20"/>
          <w:color w:val="auto"/>
        </w:rPr>
      </w:pPr>
      <w:r>
        <w:rPr>
          <w:rFonts w:ascii="Courier New" w:cs="Courier New" w:eastAsia="Courier New" w:hAnsi="Courier New"/>
          <w:sz w:val="18"/>
          <w:szCs w:val="18"/>
          <w:color w:val="auto"/>
        </w:rPr>
        <w:t>of the investment adviser.</w:t>
      </w:r>
      <w:r>
        <w:rPr>
          <w:sz w:val="20"/>
          <w:szCs w:val="20"/>
          <w:color w:val="auto"/>
        </w:rPr>
        <w:tab/>
      </w:r>
      <w:r>
        <w:rPr>
          <w:rFonts w:ascii="Courier New" w:cs="Courier New" w:eastAsia="Courier New" w:hAnsi="Courier New"/>
          <w:sz w:val="16"/>
          <w:szCs w:val="16"/>
          <w:color w:val="auto"/>
        </w:rPr>
        <w:t>Mr. Brandes</w:t>
      </w:r>
    </w:p>
    <w:p>
      <w:pPr>
        <w:ind w:left="1700"/>
        <w:spacing w:after="0" w:line="237" w:lineRule="auto"/>
        <w:rPr>
          <w:sz w:val="20"/>
          <w:szCs w:val="20"/>
          <w:color w:val="auto"/>
        </w:rPr>
      </w:pPr>
      <w:r>
        <w:rPr>
          <w:rFonts w:ascii="Courier New" w:cs="Courier New" w:eastAsia="Courier New" w:hAnsi="Courier New"/>
          <w:sz w:val="18"/>
          <w:szCs w:val="18"/>
          <w:color w:val="auto"/>
        </w:rPr>
        <w:t>disclaims any direct ownership of the shares</w:t>
      </w:r>
    </w:p>
    <w:p>
      <w:pPr>
        <w:ind w:left="1700"/>
        <w:spacing w:after="0" w:line="238" w:lineRule="auto"/>
        <w:rPr>
          <w:sz w:val="20"/>
          <w:szCs w:val="20"/>
          <w:color w:val="auto"/>
        </w:rPr>
      </w:pPr>
      <w:r>
        <w:rPr>
          <w:rFonts w:ascii="Courier New" w:cs="Courier New" w:eastAsia="Courier New" w:hAnsi="Courier New"/>
          <w:sz w:val="18"/>
          <w:szCs w:val="18"/>
          <w:color w:val="auto"/>
        </w:rPr>
        <w:t>reported in this Schedule 13G, except for an</w:t>
      </w:r>
    </w:p>
    <w:p>
      <w:pPr>
        <w:ind w:left="1700"/>
        <w:spacing w:after="0"/>
        <w:rPr>
          <w:sz w:val="20"/>
          <w:szCs w:val="20"/>
          <w:color w:val="auto"/>
        </w:rPr>
      </w:pPr>
      <w:r>
        <w:rPr>
          <w:rFonts w:ascii="Courier New" w:cs="Courier New" w:eastAsia="Courier New" w:hAnsi="Courier New"/>
          <w:sz w:val="18"/>
          <w:szCs w:val="18"/>
          <w:color w:val="auto"/>
        </w:rPr>
        <w:t>amount that is substantially less than one per</w:t>
      </w:r>
    </w:p>
    <w:p>
      <w:pPr>
        <w:ind w:left="1700"/>
        <w:spacing w:after="0" w:line="237" w:lineRule="auto"/>
        <w:rPr>
          <w:sz w:val="20"/>
          <w:szCs w:val="20"/>
          <w:color w:val="auto"/>
        </w:rPr>
      </w:pPr>
      <w:r>
        <w:rPr>
          <w:rFonts w:ascii="Courier New" w:cs="Courier New" w:eastAsia="Courier New" w:hAnsi="Courier New"/>
          <w:sz w:val="18"/>
          <w:szCs w:val="18"/>
          <w:color w:val="auto"/>
        </w:rPr>
        <w:t>cent of the number of shares reported</w:t>
      </w:r>
    </w:p>
    <w:p>
      <w:pPr>
        <w:ind w:left="1700"/>
        <w:spacing w:after="0"/>
        <w:rPr>
          <w:sz w:val="20"/>
          <w:szCs w:val="20"/>
          <w:color w:val="auto"/>
        </w:rPr>
      </w:pPr>
      <w:r>
        <w:rPr>
          <w:rFonts w:ascii="Courier New" w:cs="Courier New" w:eastAsia="Courier New" w:hAnsi="Courier New"/>
          <w:sz w:val="18"/>
          <w:szCs w:val="18"/>
          <w:color w:val="auto"/>
        </w:rPr>
        <w:t>herein.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ind w:right="1579" w:firstLine="632"/>
        <w:spacing w:after="0" w:line="237" w:lineRule="auto"/>
        <w:rPr>
          <w:sz w:val="20"/>
          <w:szCs w:val="20"/>
          <w:color w:val="auto"/>
        </w:rPr>
      </w:pPr>
      <w:r>
        <w:rPr>
          <w:rFonts w:ascii="Courier New" w:cs="Courier New" w:eastAsia="Courier New" w:hAnsi="Courier New"/>
          <w:sz w:val="18"/>
          <w:szCs w:val="18"/>
          <w:color w:val="auto"/>
        </w:rPr>
        <w:t>11. Percent of Class Represented by Amount in Row (9) 10.70% - -------------------------------------------------------------------------------- 12. Type of Reporting Person (See Instructions) IN, OO (Control Person) - --------------------------------------------------------------------------------</w:t>
      </w:r>
    </w:p>
    <w:p>
      <w:pPr>
        <w:sectPr>
          <w:pgSz w:w="11900" w:h="16838" w:orient="portrait"/>
          <w:cols w:equalWidth="0" w:num="1">
            <w:col w:w="10219"/>
          </w:cols>
          <w:pgMar w:left="240" w:top="514" w:right="1440" w:bottom="1440" w:gutter="0" w:footer="0" w:header="0"/>
        </w:sectPr>
      </w:pPr>
    </w:p>
    <w:bookmarkStart w:id="5" w:name="page6"/>
    <w:bookmarkEnd w:id="5"/>
    <w:p>
      <w:pPr>
        <w:ind w:left="7180"/>
        <w:spacing w:after="0"/>
        <w:rPr>
          <w:sz w:val="20"/>
          <w:szCs w:val="20"/>
          <w:color w:val="auto"/>
        </w:rPr>
      </w:pPr>
      <w:r>
        <w:rPr>
          <w:rFonts w:ascii="Courier New" w:cs="Courier New" w:eastAsia="Courier New" w:hAnsi="Courier New"/>
          <w:sz w:val="18"/>
          <w:szCs w:val="18"/>
          <w:color w:val="auto"/>
        </w:rPr>
        <w:t>Page 6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Glenn R. Carlson</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64,018,458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81,349,316</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81,349,316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Glenn R. Carlson,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Carlson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6"/>
          <w:szCs w:val="16"/>
          <w:color w:val="auto"/>
        </w:rPr>
        <w:t>10.70%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8"/>
          <w:szCs w:val="18"/>
          <w:color w:val="auto"/>
        </w:rPr>
        <w:t>Page 7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Jeffrey A. Busby</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64,018,458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81,349,316</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81,349,316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Jeffrey A. Busby,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Busby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6"/>
          <w:szCs w:val="16"/>
          <w:color w:val="auto"/>
        </w:rPr>
        <w:t>10.70%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80" w:type="dxa"/>
            <w:vAlign w:val="bottom"/>
          </w:tcPr>
          <w:p>
            <w:pPr>
              <w:ind w:left="4120"/>
              <w:spacing w:after="0"/>
              <w:rPr>
                <w:sz w:val="20"/>
                <w:szCs w:val="20"/>
                <w:color w:val="auto"/>
              </w:rPr>
            </w:pPr>
            <w:r>
              <w:rPr>
                <w:rFonts w:ascii="Courier New" w:cs="Courier New" w:eastAsia="Courier New" w:hAnsi="Courier New"/>
                <w:sz w:val="18"/>
                <w:szCs w:val="18"/>
                <w:color w:val="auto"/>
                <w:w w:val="95"/>
              </w:rPr>
              <w:t>Page 8 of 12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Name of Issuer:</w:t>
            </w:r>
          </w:p>
        </w:tc>
        <w:tc>
          <w:tcPr>
            <w:tcW w:w="538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Micron</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Technology, Inc.</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8000 South Federal Way, P.O. Box 6, Boise, ID 83707-0006</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Filing:</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Inc.</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Worldwide Holdings,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(iv)</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Charles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H. Brandes</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Glenn R. Carlson</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Jeffrey</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A. Busby</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514" w:right="1440" w:bottom="1440" w:gutter="0" w:footer="0" w:header="0"/>
        </w:sectPr>
      </w:pPr>
    </w:p>
    <w:bookmarkStart w:id="8" w:name="page9"/>
    <w:bookmarkEnd w:id="8"/>
    <w:p>
      <w:pPr>
        <w:ind w:left="7180"/>
        <w:spacing w:after="0"/>
        <w:rPr>
          <w:sz w:val="20"/>
          <w:szCs w:val="20"/>
          <w:color w:val="auto"/>
        </w:rPr>
      </w:pPr>
      <w:r>
        <w:rPr>
          <w:rFonts w:ascii="Courier New" w:cs="Courier New" w:eastAsia="Courier New" w:hAnsi="Courier New"/>
          <w:sz w:val="16"/>
          <w:szCs w:val="16"/>
          <w:color w:val="auto"/>
        </w:rPr>
        <w:t>Page 9 of 12</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Securities:</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Common</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595112103</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If this statement is filed pursuant to ss.ss. 240.13d-1(b), or 240.13d-2(b) or (c), check whether the person filing is a:</w:t>
      </w:r>
    </w:p>
    <w:p>
      <w:pPr>
        <w:spacing w:after="0" w:line="170" w:lineRule="exact"/>
        <w:rPr>
          <w:sz w:val="20"/>
          <w:szCs w:val="20"/>
          <w:color w:val="auto"/>
        </w:rPr>
      </w:pPr>
    </w:p>
    <w:p>
      <w:pPr>
        <w:sectPr>
          <w:pgSz w:w="11900" w:h="16838" w:orient="portrait"/>
          <w:cols w:equalWidth="0" w:num="2">
            <w:col w:w="760" w:space="720"/>
            <w:col w:w="8739"/>
          </w:cols>
          <w:pgMar w:left="240" w:top="520" w:right="1440" w:bottom="1440" w:gutter="0" w:footer="0" w:header="0"/>
          <w:type w:val="continuous"/>
        </w:sectPr>
      </w:pPr>
    </w:p>
    <w:p>
      <w:pPr>
        <w:ind w:left="2540" w:right="1879" w:hanging="1057"/>
        <w:spacing w:after="0" w:line="235"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7" w:lineRule="exact"/>
        <w:rPr>
          <w:sz w:val="20"/>
          <w:szCs w:val="20"/>
          <w:color w:val="auto"/>
        </w:rPr>
      </w:pPr>
    </w:p>
    <w:p>
      <w:pPr>
        <w:ind w:left="2540" w:right="18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5" w:lineRule="exact"/>
        <w:rPr>
          <w:rFonts w:ascii="Courier New" w:cs="Courier New" w:eastAsia="Courier New" w:hAnsi="Courier New"/>
          <w:sz w:val="18"/>
          <w:szCs w:val="18"/>
          <w:color w:val="auto"/>
        </w:rPr>
      </w:pPr>
    </w:p>
    <w:p>
      <w:pPr>
        <w:ind w:left="2540" w:right="219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(15 U.S.C. 80a-8).</w:t>
      </w:r>
    </w:p>
    <w:p>
      <w:pPr>
        <w:spacing w:after="0" w:line="5" w:lineRule="exact"/>
        <w:rPr>
          <w:rFonts w:ascii="Courier New" w:cs="Courier New" w:eastAsia="Courier New" w:hAnsi="Courier New"/>
          <w:sz w:val="18"/>
          <w:szCs w:val="18"/>
          <w:color w:val="auto"/>
        </w:rPr>
      </w:pPr>
    </w:p>
    <w:p>
      <w:pPr>
        <w:ind w:left="2540" w:right="34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 240.13d-1(b)(ii)(F).</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 240.13d-1(b)(1)(ii)(G).</w:t>
      </w:r>
    </w:p>
    <w:p>
      <w:pPr>
        <w:spacing w:after="0" w:line="5" w:lineRule="exact"/>
        <w:rPr>
          <w:rFonts w:ascii="Courier New" w:cs="Courier New" w:eastAsia="Courier New" w:hAnsi="Courier New"/>
          <w:sz w:val="18"/>
          <w:szCs w:val="18"/>
          <w:color w:val="auto"/>
        </w:rPr>
      </w:pPr>
    </w:p>
    <w:p>
      <w:pPr>
        <w:ind w:left="2540" w:right="18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2540" w:right="1779" w:hanging="1057"/>
        <w:spacing w:after="0" w:line="236"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This statement is filed by Brandes Investment Partners, L.P., an investment adviser registered under the Investment Advisers Act of 1940, its control persons and its holding company. (See, also, Exhibit A.)</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Amount Beneficially</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Owned:</w:t>
            </w: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w w:val="96"/>
              </w:rPr>
              <w:t>81,349,316</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Class:</w:t>
            </w:r>
          </w:p>
        </w:tc>
        <w:tc>
          <w:tcPr>
            <w:tcW w:w="278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10.70%</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Number of shares as</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which the joint filers have:</w:t>
            </w: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vote or to direct the vote: 0</w:t>
            </w: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(ii)</w:t>
            </w:r>
          </w:p>
        </w:tc>
        <w:tc>
          <w:tcPr>
            <w:tcW w:w="43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shared power to vote or to direct the</w:t>
            </w:r>
          </w:p>
        </w:tc>
        <w:tc>
          <w:tcPr>
            <w:tcW w:w="128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vote:</w:t>
            </w: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64,018,458</w:t>
            </w:r>
          </w:p>
        </w:tc>
      </w:tr>
      <w:tr>
        <w:trPr>
          <w:trHeight w:val="405"/>
        </w:trPr>
        <w:tc>
          <w:tcPr>
            <w:tcW w:w="5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(iii) 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dispose or to direct the</w:t>
            </w:r>
          </w:p>
        </w:tc>
        <w:tc>
          <w:tcPr>
            <w:tcW w:w="128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860" w:hanging="640"/>
        <w:spacing w:after="0"/>
        <w:tabs>
          <w:tab w:leader="none" w:pos="2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286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81,349,316</w:t>
            </w:r>
          </w:p>
        </w:tc>
      </w:tr>
    </w:tbl>
    <w:p>
      <w:pPr>
        <w:sectPr>
          <w:pgSz w:w="11900" w:h="16838" w:orient="portrait"/>
          <w:cols w:equalWidth="0" w:num="1">
            <w:col w:w="10219"/>
          </w:cols>
          <w:pgMar w:left="240" w:top="520"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|_|. N/A</w:t>
      </w:r>
    </w:p>
    <w:p>
      <w:pPr>
        <w:spacing w:after="0" w:line="200" w:lineRule="exact"/>
        <w:rPr>
          <w:sz w:val="20"/>
          <w:szCs w:val="20"/>
          <w:color w:val="auto"/>
        </w:rPr>
      </w:pPr>
    </w:p>
    <w:p>
      <w:pPr>
        <w:spacing w:after="0" w:line="210" w:lineRule="exact"/>
        <w:rPr>
          <w:sz w:val="20"/>
          <w:szCs w:val="20"/>
          <w:color w:val="auto"/>
        </w:rPr>
      </w:pPr>
    </w:p>
    <w:p>
      <w:pPr>
        <w:ind w:left="1480" w:right="1999" w:hanging="3265"/>
        <w:spacing w:after="0" w:line="235" w:lineRule="auto"/>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N/A</w:t>
      </w:r>
    </w:p>
    <w:p>
      <w:pPr>
        <w:spacing w:after="0" w:line="208" w:lineRule="exact"/>
        <w:rPr>
          <w:sz w:val="20"/>
          <w:szCs w:val="20"/>
          <w:color w:val="auto"/>
        </w:rPr>
      </w:pPr>
    </w:p>
    <w:p>
      <w:pPr>
        <w:ind w:left="1480" w:right="1779" w:hanging="1474"/>
        <w:spacing w:after="0" w:line="268"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3280"/>
        <w:spacing w:after="0" w:line="233"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jc w:val="center"/>
        <w:ind w:right="2619"/>
        <w:spacing w:after="0"/>
        <w:tabs>
          <w:tab w:leader="none" w:pos="7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jc w:val="center"/>
        <w:ind w:right="2319"/>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328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2220" w:right="2519" w:hanging="737"/>
        <w:spacing w:after="0" w:line="290" w:lineRule="auto"/>
        <w:tabs>
          <w:tab w:leader="none" w:pos="2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certification shall be included if the statement is filed pursuant to ss. 240.13d-1(b):</w:t>
      </w:r>
    </w:p>
    <w:p>
      <w:pPr>
        <w:spacing w:after="0" w:line="169" w:lineRule="exact"/>
        <w:rPr>
          <w:rFonts w:ascii="Courier New" w:cs="Courier New" w:eastAsia="Courier New" w:hAnsi="Courier New"/>
          <w:sz w:val="16"/>
          <w:szCs w:val="16"/>
          <w:color w:val="auto"/>
        </w:rPr>
      </w:pPr>
    </w:p>
    <w:p>
      <w:pPr>
        <w:jc w:val="both"/>
        <w:ind w:left="222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2008</w:t>
      </w:r>
    </w:p>
    <w:p>
      <w:pPr>
        <w:ind w:left="3800"/>
        <w:spacing w:after="0" w:line="238" w:lineRule="auto"/>
        <w:rPr>
          <w:sz w:val="20"/>
          <w:szCs w:val="20"/>
          <w:color w:val="auto"/>
        </w:rPr>
      </w:pPr>
      <w:r>
        <w:rPr>
          <w:rFonts w:ascii="Courier New" w:cs="Courier New" w:eastAsia="Courier New" w:hAnsi="Courier New"/>
          <w:sz w:val="18"/>
          <w:szCs w:val="18"/>
          <w:color w:val="auto"/>
        </w:rPr>
        <w:t>BRANDES INVESTMENT PARTNERS, L.P.</w:t>
      </w: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 /s/ Adelaide Pund</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Adelaide Pund as Attorney-In-Fact for</w:t>
      </w:r>
    </w:p>
    <w:p>
      <w:pPr>
        <w:ind w:left="422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ind w:left="4220"/>
        <w:spacing w:after="0" w:line="238" w:lineRule="auto"/>
        <w:rPr>
          <w:sz w:val="20"/>
          <w:szCs w:val="20"/>
          <w:color w:val="auto"/>
        </w:rPr>
      </w:pPr>
      <w:r>
        <w:rPr>
          <w:rFonts w:ascii="Courier New" w:cs="Courier New" w:eastAsia="Courier New" w:hAnsi="Courier New"/>
          <w:sz w:val="18"/>
          <w:szCs w:val="18"/>
          <w:color w:val="auto"/>
        </w:rPr>
        <w:t>Brandes Investment Partners, Inc., its</w:t>
      </w:r>
    </w:p>
    <w:p>
      <w:pPr>
        <w:ind w:left="4220"/>
        <w:spacing w:after="0"/>
        <w:rPr>
          <w:sz w:val="20"/>
          <w:szCs w:val="20"/>
          <w:color w:val="auto"/>
        </w:rPr>
      </w:pPr>
      <w:r>
        <w:rPr>
          <w:rFonts w:ascii="Courier New" w:cs="Courier New" w:eastAsia="Courier New" w:hAnsi="Courier New"/>
          <w:sz w:val="18"/>
          <w:szCs w:val="18"/>
          <w:color w:val="auto"/>
        </w:rPr>
        <w:t>General Partner</w:t>
      </w:r>
    </w:p>
    <w:p>
      <w:pPr>
        <w:sectPr>
          <w:pgSz w:w="11900" w:h="16838" w:orient="portrait"/>
          <w:cols w:equalWidth="0" w:num="1">
            <w:col w:w="10219"/>
          </w:cols>
          <w:pgMar w:left="240" w:top="514"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Page 11 of 12</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INVESTMENT PARTNERS, INC.</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WORLDWIDE HOLDINGS, L.P.</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Brandes Investment Partners, Inc., its General Partner</w:t>
      </w:r>
    </w:p>
    <w:p>
      <w:pPr>
        <w:spacing w:after="0" w:line="200" w:lineRule="exact"/>
        <w:rPr>
          <w:sz w:val="20"/>
          <w:szCs w:val="20"/>
          <w:color w:val="auto"/>
        </w:rPr>
      </w:pPr>
    </w:p>
    <w:p>
      <w:pPr>
        <w:spacing w:after="0" w:line="221"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Glenn R. Carlson,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Jeffrey A. Busby, Control Person</w:t>
      </w:r>
    </w:p>
    <w:p>
      <w:pPr>
        <w:sectPr>
          <w:pgSz w:w="11900" w:h="16838" w:orient="portrait"/>
          <w:cols w:equalWidth="0" w:num="1">
            <w:col w:w="9019"/>
          </w:cols>
          <w:pgMar w:left="1440" w:top="514"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Page 12 of 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A is incorporated by reference to Exhibit A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B is incorporated by reference to Exhibit B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C is incorporated by reference to Exhibit C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D is incorporated by reference to Exhibit D of Schedule 13G for 3Com Corporation filed February 14, 2005.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3F2DBA3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7C83E458"/>
    <w:multiLevelType w:val="hybridMultilevel"/>
    <w:lvl w:ilvl="0">
      <w:lvlJc w:val="left"/>
      <w:lvlText w:val="-"/>
      <w:numFmt w:val="bullet"/>
      <w:start w:val="1"/>
    </w:lvl>
    <w:lvl w:ilvl="1">
      <w:lvlJc w:val="left"/>
      <w:lvlText w:val="%2."/>
      <w:numFmt w:val="decimal"/>
      <w:start w:val="9"/>
    </w:lvl>
  </w:abstractNum>
  <w:abstractNum w:abstractNumId="7">
    <w:nsid w:val="257130A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62BBD95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436C6125"/>
    <w:multiLevelType w:val="hybridMultilevel"/>
    <w:lvl w:ilvl="0">
      <w:lvlJc w:val="left"/>
      <w:lvlText w:val="-"/>
      <w:numFmt w:val="bullet"/>
      <w:start w:val="1"/>
    </w:lvl>
    <w:lvl w:ilvl="1">
      <w:lvlJc w:val="left"/>
      <w:lvlText w:val="%2."/>
      <w:numFmt w:val="decimal"/>
      <w:start w:val="9"/>
    </w:lvl>
  </w:abstractNum>
  <w:abstractNum w:abstractNumId="10">
    <w:nsid w:val="628C895D"/>
    <w:multiLevelType w:val="hybridMultilevel"/>
    <w:lvl w:ilvl="0">
      <w:lvlJc w:val="left"/>
      <w:lvlText w:val="-"/>
      <w:numFmt w:val="bullet"/>
      <w:start w:val="1"/>
    </w:lvl>
    <w:lvl w:ilvl="1">
      <w:lvlJc w:val="left"/>
      <w:lvlText w:val="%2."/>
      <w:numFmt w:val="decimal"/>
      <w:start w:val="10"/>
    </w:lvl>
  </w:abstractNum>
  <w:abstractNum w:abstractNumId="11">
    <w:nsid w:val="333AB10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721DA31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2443A858"/>
    <w:multiLevelType w:val="hybridMultilevel"/>
    <w:lvl w:ilvl="0">
      <w:lvlJc w:val="left"/>
      <w:lvlText w:val="-"/>
      <w:numFmt w:val="bullet"/>
      <w:start w:val="1"/>
    </w:lvl>
    <w:lvl w:ilvl="1">
      <w:lvlJc w:val="left"/>
      <w:lvlText w:val="%2."/>
      <w:numFmt w:val="decimal"/>
      <w:start w:val="9"/>
    </w:lvl>
  </w:abstractNum>
  <w:abstractNum w:abstractNumId="14">
    <w:nsid w:val="2D1D5AE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5">
    <w:nsid w:val="6763845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6">
    <w:nsid w:val="75A2A8D4"/>
    <w:multiLevelType w:val="hybridMultilevel"/>
    <w:lvl w:ilvl="0">
      <w:lvlJc w:val="left"/>
      <w:lvlText w:val="-"/>
      <w:numFmt w:val="bullet"/>
      <w:start w:val="1"/>
    </w:lvl>
    <w:lvl w:ilvl="1">
      <w:lvlJc w:val="left"/>
      <w:lvlText w:val="%2."/>
      <w:numFmt w:val="decimal"/>
      <w:start w:val="9"/>
    </w:lvl>
  </w:abstractNum>
  <w:abstractNum w:abstractNumId="17">
    <w:nsid w:val="8EDBDA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8">
    <w:nsid w:val="79838CB2"/>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9">
    <w:nsid w:val="4353D0CD"/>
    <w:multiLevelType w:val="hybridMultilevel"/>
    <w:lvl w:ilvl="0">
      <w:lvlJc w:val="left"/>
      <w:lvlText w:val="-"/>
      <w:numFmt w:val="bullet"/>
      <w:start w:val="1"/>
    </w:lvl>
    <w:lvl w:ilvl="1">
      <w:lvlJc w:val="left"/>
      <w:lvlText w:val="%2."/>
      <w:numFmt w:val="decimal"/>
      <w:start w:val="9"/>
    </w:lvl>
  </w:abstractNum>
  <w:abstractNum w:abstractNumId="20">
    <w:nsid w:val="B03E0C6"/>
    <w:multiLevelType w:val="hybridMultilevel"/>
    <w:lvl w:ilvl="0">
      <w:lvlJc w:val="left"/>
      <w:lvlText w:val="-"/>
      <w:numFmt w:val="bullet"/>
      <w:start w:val="1"/>
    </w:lvl>
    <w:lvl w:ilvl="1">
      <w:lvlJc w:val="left"/>
      <w:lvlText w:val="%2."/>
      <w:numFmt w:val="decimal"/>
      <w:start w:val="10"/>
    </w:lvl>
  </w:abstractNum>
  <w:abstractNum w:abstractNumId="21">
    <w:nsid w:val="189A769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2">
    <w:nsid w:val="54E49EB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3">
    <w:nsid w:val="71F32454"/>
    <w:multiLevelType w:val="hybridMultilevel"/>
    <w:lvl w:ilvl="0">
      <w:lvlJc w:val="left"/>
      <w:lvlText w:val="-"/>
      <w:numFmt w:val="bullet"/>
      <w:start w:val="1"/>
    </w:lvl>
    <w:lvl w:ilvl="1">
      <w:lvlJc w:val="left"/>
      <w:lvlText w:val="%2."/>
      <w:numFmt w:val="decimal"/>
      <w:start w:val="9"/>
    </w:lvl>
  </w:abstractNum>
  <w:abstractNum w:abstractNumId="24">
    <w:nsid w:val="2CA88611"/>
    <w:multiLevelType w:val="hybridMultilevel"/>
    <w:lvl w:ilvl="0">
      <w:lvlJc w:val="left"/>
      <w:lvlText w:val="-"/>
      <w:numFmt w:val="bullet"/>
      <w:start w:val="1"/>
    </w:lvl>
    <w:lvl w:ilvl="1">
      <w:lvlJc w:val="left"/>
      <w:lvlText w:val="%2."/>
      <w:numFmt w:val="decimal"/>
      <w:start w:val="10"/>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lowerRoman"/>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3"/>
    </w:lvl>
    <w:lvl w:ilvl="1">
      <w:lvlJc w:val="left"/>
      <w:lvlText w:val="%2"/>
      <w:numFmt w:val="lowerLetter"/>
      <w:start w:val="1"/>
    </w:lvl>
  </w:abstractNum>
  <w:abstractNum w:abstractNumId="29">
    <w:nsid w:val="1E7FF521"/>
    <w:multiLevelType w:val="hybridMultilevel"/>
    <w:lvl w:ilvl="0">
      <w:lvlJc w:val="left"/>
      <w:lvlText w:val="(%1)"/>
      <w:numFmt w:val="lowerRoman"/>
      <w:start w:val="4"/>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2019-12-13T13:07:26Z</dcterms:created>
  <dcterms:modified xsi:type="dcterms:W3CDTF">2019-12-13T13:07:26Z</dcterms:modified>
</cp:coreProperties>
</file>