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line="233" w:lineRule="auto"/>
        <w:rPr>
          <w:sz w:val="20"/>
          <w:szCs w:val="20"/>
          <w:color w:val="auto"/>
        </w:rPr>
      </w:pPr>
      <w:r>
        <w:rPr>
          <w:rFonts w:ascii="Arial" w:cs="Arial" w:eastAsia="Arial" w:hAnsi="Arial"/>
          <w:sz w:val="20"/>
          <w:szCs w:val="20"/>
          <w:b w:val="1"/>
          <w:bCs w:val="1"/>
          <w:color w:val="auto"/>
        </w:rPr>
        <w:t>Washington, D.C. 20549</w:t>
      </w: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S-8</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line="233" w:lineRule="auto"/>
        <w:rPr>
          <w:sz w:val="20"/>
          <w:szCs w:val="20"/>
          <w:color w:val="auto"/>
        </w:rPr>
      </w:pPr>
      <w:r>
        <w:rPr>
          <w:rFonts w:ascii="Arial" w:cs="Arial" w:eastAsia="Arial" w:hAnsi="Arial"/>
          <w:sz w:val="20"/>
          <w:szCs w:val="20"/>
          <w:b w:val="1"/>
          <w:bCs w:val="1"/>
          <w:i w:val="1"/>
          <w:iCs w:val="1"/>
          <w:color w:val="auto"/>
        </w:rPr>
        <w:t>The Securities Act of 1933</w:t>
      </w: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5080</wp:posOffset>
            </wp:positionV>
            <wp:extent cx="209232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MICRON TECHNOLOGY,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147" w:lineRule="exact"/>
        <w:rPr>
          <w:sz w:val="24"/>
          <w:szCs w:val="24"/>
          <w:color w:val="auto"/>
        </w:rPr>
      </w:pPr>
    </w:p>
    <w:tbl>
      <w:tblPr>
        <w:tblLayout w:type="fixed"/>
        <w:tblInd w:w="1820" w:type="dxa"/>
        <w:tblCellMar>
          <w:top w:w="0" w:type="dxa"/>
          <w:left w:w="0" w:type="dxa"/>
          <w:bottom w:w="0" w:type="dxa"/>
          <w:right w:w="0" w:type="dxa"/>
        </w:tblCellMar>
      </w:tblPr>
      <w:tr>
        <w:trPr>
          <w:trHeight w:val="256"/>
        </w:trPr>
        <w:tc>
          <w:tcPr>
            <w:tcW w:w="1940" w:type="dxa"/>
            <w:vAlign w:val="bottom"/>
          </w:tcPr>
          <w:p>
            <w:pPr>
              <w:jc w:val="center"/>
              <w:spacing w:after="0"/>
              <w:rPr>
                <w:sz w:val="20"/>
                <w:szCs w:val="20"/>
                <w:color w:val="auto"/>
              </w:rPr>
            </w:pPr>
            <w:r>
              <w:rPr>
                <w:rFonts w:ascii="Arial" w:cs="Arial" w:eastAsia="Arial" w:hAnsi="Arial"/>
                <w:sz w:val="20"/>
                <w:szCs w:val="20"/>
                <w:b w:val="1"/>
                <w:bCs w:val="1"/>
                <w:color w:val="auto"/>
                <w:w w:val="91"/>
              </w:rPr>
              <w:t>Delaware</w:t>
            </w:r>
          </w:p>
        </w:tc>
        <w:tc>
          <w:tcPr>
            <w:tcW w:w="5620" w:type="dxa"/>
            <w:vAlign w:val="bottom"/>
            <w:gridSpan w:val="3"/>
          </w:tcPr>
          <w:p>
            <w:pPr>
              <w:jc w:val="center"/>
              <w:ind w:left="4070"/>
              <w:spacing w:after="0"/>
              <w:rPr>
                <w:sz w:val="20"/>
                <w:szCs w:val="20"/>
                <w:color w:val="auto"/>
              </w:rPr>
            </w:pPr>
            <w:r>
              <w:rPr>
                <w:rFonts w:ascii="Arial" w:cs="Arial" w:eastAsia="Arial" w:hAnsi="Arial"/>
                <w:sz w:val="20"/>
                <w:szCs w:val="20"/>
                <w:b w:val="1"/>
                <w:bCs w:val="1"/>
                <w:color w:val="auto"/>
                <w:w w:val="89"/>
              </w:rPr>
              <w:t>75-1618004</w:t>
            </w:r>
          </w:p>
        </w:tc>
      </w:tr>
      <w:tr>
        <w:trPr>
          <w:trHeight w:val="214"/>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80" w:type="dxa"/>
            <w:vAlign w:val="bottom"/>
          </w:tcPr>
          <w:p>
            <w:pPr>
              <w:jc w:val="center"/>
              <w:ind w:left="868"/>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380" w:type="dxa"/>
            <w:vAlign w:val="bottom"/>
          </w:tcPr>
          <w:p>
            <w:pPr>
              <w:jc w:val="center"/>
              <w:ind w:left="888"/>
              <w:spacing w:after="0"/>
              <w:rPr>
                <w:sz w:val="20"/>
                <w:szCs w:val="20"/>
                <w:color w:val="auto"/>
              </w:rPr>
            </w:pPr>
            <w:r>
              <w:rPr>
                <w:rFonts w:ascii="Arial" w:cs="Arial" w:eastAsia="Arial" w:hAnsi="Arial"/>
                <w:sz w:val="14"/>
                <w:szCs w:val="14"/>
                <w:b w:val="1"/>
                <w:bCs w:val="1"/>
                <w:color w:val="auto"/>
                <w:w w:val="95"/>
              </w:rPr>
              <w:t>Identification Number)</w:t>
            </w:r>
          </w:p>
        </w:tc>
      </w:tr>
      <w:tr>
        <w:trPr>
          <w:trHeight w:val="273"/>
        </w:trPr>
        <w:tc>
          <w:tcPr>
            <w:tcW w:w="1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960" w:type="dxa"/>
            <w:vAlign w:val="bottom"/>
            <w:gridSpan w:val="2"/>
          </w:tcPr>
          <w:p>
            <w:pPr>
              <w:jc w:val="center"/>
              <w:ind w:right="2308"/>
              <w:spacing w:after="0"/>
              <w:rPr>
                <w:sz w:val="20"/>
                <w:szCs w:val="20"/>
                <w:color w:val="auto"/>
              </w:rPr>
            </w:pPr>
            <w:r>
              <w:rPr>
                <w:rFonts w:ascii="Arial" w:cs="Arial" w:eastAsia="Arial" w:hAnsi="Arial"/>
                <w:sz w:val="20"/>
                <w:szCs w:val="20"/>
                <w:b w:val="1"/>
                <w:bCs w:val="1"/>
                <w:color w:val="auto"/>
                <w:w w:val="90"/>
              </w:rPr>
              <w:t>8000 S. Federal Way</w:t>
            </w:r>
          </w:p>
        </w:tc>
      </w:tr>
      <w:tr>
        <w:trPr>
          <w:trHeight w:val="230"/>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60" w:type="dxa"/>
            <w:vAlign w:val="bottom"/>
            <w:gridSpan w:val="2"/>
          </w:tcPr>
          <w:p>
            <w:pPr>
              <w:jc w:val="center"/>
              <w:ind w:right="2308"/>
              <w:spacing w:after="0"/>
              <w:rPr>
                <w:sz w:val="20"/>
                <w:szCs w:val="20"/>
                <w:color w:val="auto"/>
              </w:rPr>
            </w:pPr>
            <w:r>
              <w:rPr>
                <w:rFonts w:ascii="Arial" w:cs="Arial" w:eastAsia="Arial" w:hAnsi="Arial"/>
                <w:sz w:val="20"/>
                <w:szCs w:val="20"/>
                <w:b w:val="1"/>
                <w:bCs w:val="1"/>
                <w:color w:val="auto"/>
                <w:w w:val="89"/>
              </w:rPr>
              <w:t>Boise, Idaho 83716-9632</w:t>
            </w:r>
          </w:p>
        </w:tc>
      </w:tr>
      <w:tr>
        <w:trPr>
          <w:trHeight w:val="162"/>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60" w:type="dxa"/>
            <w:vAlign w:val="bottom"/>
            <w:gridSpan w:val="2"/>
          </w:tcPr>
          <w:p>
            <w:pPr>
              <w:jc w:val="center"/>
              <w:ind w:right="230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58"/>
        </w:trPr>
        <w:tc>
          <w:tcPr>
            <w:tcW w:w="1940" w:type="dxa"/>
            <w:vAlign w:val="bottom"/>
          </w:tcPr>
          <w:p>
            <w:pPr>
              <w:spacing w:after="0"/>
              <w:rPr>
                <w:sz w:val="13"/>
                <w:szCs w:val="13"/>
                <w:color w:val="auto"/>
              </w:rPr>
            </w:pPr>
          </w:p>
        </w:tc>
        <w:tc>
          <w:tcPr>
            <w:tcW w:w="3240" w:type="dxa"/>
            <w:vAlign w:val="bottom"/>
            <w:gridSpan w:val="2"/>
          </w:tcPr>
          <w:p>
            <w:pPr>
              <w:jc w:val="center"/>
              <w:ind w:left="550"/>
              <w:spacing w:after="0" w:line="158" w:lineRule="exact"/>
              <w:rPr>
                <w:sz w:val="20"/>
                <w:szCs w:val="20"/>
                <w:color w:val="auto"/>
              </w:rPr>
            </w:pPr>
            <w:r>
              <w:rPr>
                <w:rFonts w:ascii="Arial" w:cs="Arial" w:eastAsia="Arial" w:hAnsi="Arial"/>
                <w:sz w:val="14"/>
                <w:szCs w:val="14"/>
                <w:b w:val="1"/>
                <w:bCs w:val="1"/>
                <w:color w:val="auto"/>
                <w:w w:val="92"/>
              </w:rPr>
              <w:t>____________________________________</w:t>
            </w:r>
          </w:p>
        </w:tc>
        <w:tc>
          <w:tcPr>
            <w:tcW w:w="2380" w:type="dxa"/>
            <w:vAlign w:val="bottom"/>
          </w:tcPr>
          <w:p>
            <w:pPr>
              <w:spacing w:after="0"/>
              <w:rPr>
                <w:sz w:val="13"/>
                <w:szCs w:val="13"/>
                <w:color w:val="auto"/>
              </w:rPr>
            </w:pPr>
          </w:p>
        </w:tc>
      </w:tr>
      <w:tr>
        <w:trPr>
          <w:trHeight w:val="20"/>
        </w:trPr>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49"/>
        </w:trPr>
        <w:tc>
          <w:tcPr>
            <w:tcW w:w="1940" w:type="dxa"/>
            <w:vAlign w:val="bottom"/>
          </w:tcPr>
          <w:p>
            <w:pPr>
              <w:spacing w:after="0"/>
              <w:rPr>
                <w:sz w:val="24"/>
                <w:szCs w:val="24"/>
                <w:color w:val="auto"/>
              </w:rPr>
            </w:pPr>
          </w:p>
        </w:tc>
        <w:tc>
          <w:tcPr>
            <w:tcW w:w="5620" w:type="dxa"/>
            <w:vAlign w:val="bottom"/>
            <w:gridSpan w:val="3"/>
          </w:tcPr>
          <w:p>
            <w:pPr>
              <w:jc w:val="center"/>
              <w:ind w:right="1628"/>
              <w:spacing w:after="0" w:line="348" w:lineRule="exact"/>
              <w:rPr>
                <w:sz w:val="20"/>
                <w:szCs w:val="20"/>
                <w:color w:val="auto"/>
              </w:rPr>
            </w:pPr>
            <w:r>
              <w:rPr>
                <w:rFonts w:ascii="Arial" w:cs="Arial" w:eastAsia="Arial" w:hAnsi="Arial"/>
                <w:sz w:val="31"/>
                <w:szCs w:val="31"/>
                <w:b w:val="1"/>
                <w:bCs w:val="1"/>
                <w:color w:val="auto"/>
                <w:w w:val="89"/>
              </w:rPr>
              <w:t>Micron Technology, Inc.</w:t>
            </w:r>
          </w:p>
        </w:tc>
      </w:tr>
      <w:tr>
        <w:trPr>
          <w:trHeight w:val="365"/>
        </w:trPr>
        <w:tc>
          <w:tcPr>
            <w:tcW w:w="1940" w:type="dxa"/>
            <w:vAlign w:val="bottom"/>
          </w:tcPr>
          <w:p>
            <w:pPr>
              <w:spacing w:after="0"/>
              <w:rPr>
                <w:sz w:val="24"/>
                <w:szCs w:val="24"/>
                <w:color w:val="auto"/>
              </w:rPr>
            </w:pPr>
          </w:p>
        </w:tc>
        <w:tc>
          <w:tcPr>
            <w:tcW w:w="5620" w:type="dxa"/>
            <w:vAlign w:val="bottom"/>
            <w:gridSpan w:val="3"/>
          </w:tcPr>
          <w:p>
            <w:pPr>
              <w:jc w:val="center"/>
              <w:ind w:right="1628"/>
              <w:spacing w:after="0"/>
              <w:rPr>
                <w:sz w:val="20"/>
                <w:szCs w:val="20"/>
                <w:color w:val="auto"/>
              </w:rPr>
            </w:pPr>
            <w:r>
              <w:rPr>
                <w:rFonts w:ascii="Arial" w:cs="Arial" w:eastAsia="Arial" w:hAnsi="Arial"/>
                <w:sz w:val="31"/>
                <w:szCs w:val="31"/>
                <w:b w:val="1"/>
                <w:bCs w:val="1"/>
                <w:color w:val="auto"/>
                <w:w w:val="89"/>
              </w:rPr>
              <w:t>Deferred Compensation Plan</w:t>
            </w:r>
          </w:p>
        </w:tc>
      </w:tr>
      <w:tr>
        <w:trPr>
          <w:trHeight w:val="158"/>
        </w:trPr>
        <w:tc>
          <w:tcPr>
            <w:tcW w:w="1940" w:type="dxa"/>
            <w:vAlign w:val="bottom"/>
          </w:tcPr>
          <w:p>
            <w:pPr>
              <w:spacing w:after="0"/>
              <w:rPr>
                <w:sz w:val="13"/>
                <w:szCs w:val="13"/>
                <w:color w:val="auto"/>
              </w:rPr>
            </w:pPr>
          </w:p>
        </w:tc>
        <w:tc>
          <w:tcPr>
            <w:tcW w:w="3240" w:type="dxa"/>
            <w:vAlign w:val="bottom"/>
            <w:gridSpan w:val="2"/>
          </w:tcPr>
          <w:p>
            <w:pPr>
              <w:jc w:val="center"/>
              <w:ind w:left="550"/>
              <w:spacing w:after="0" w:line="158" w:lineRule="exact"/>
              <w:rPr>
                <w:sz w:val="20"/>
                <w:szCs w:val="20"/>
                <w:color w:val="auto"/>
              </w:rPr>
            </w:pPr>
            <w:r>
              <w:rPr>
                <w:rFonts w:ascii="Arial" w:cs="Arial" w:eastAsia="Arial" w:hAnsi="Arial"/>
                <w:sz w:val="14"/>
                <w:szCs w:val="14"/>
                <w:b w:val="1"/>
                <w:bCs w:val="1"/>
                <w:color w:val="auto"/>
                <w:w w:val="92"/>
              </w:rPr>
              <w:t>____________________________________</w:t>
            </w:r>
          </w:p>
        </w:tc>
        <w:tc>
          <w:tcPr>
            <w:tcW w:w="2380" w:type="dxa"/>
            <w:vAlign w:val="bottom"/>
          </w:tcPr>
          <w:p>
            <w:pPr>
              <w:spacing w:after="0"/>
              <w:rPr>
                <w:sz w:val="13"/>
                <w:szCs w:val="13"/>
                <w:color w:val="auto"/>
              </w:rPr>
            </w:pP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(Full title of the plan)</w:t>
            </w:r>
          </w:p>
        </w:tc>
        <w:tc>
          <w:tcPr>
            <w:tcW w:w="2380" w:type="dxa"/>
            <w:vAlign w:val="bottom"/>
          </w:tcPr>
          <w:p>
            <w:pPr>
              <w:spacing w:after="0"/>
              <w:rPr>
                <w:sz w:val="19"/>
                <w:szCs w:val="19"/>
                <w:color w:val="auto"/>
              </w:rPr>
            </w:pP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Sanjay Mehrotra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 and Director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ind w:right="3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19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Large accelerated filer</w:t>
            </w:r>
          </w:p>
        </w:tc>
        <w:tc>
          <w:tcPr>
            <w:tcW w:w="2880" w:type="dxa"/>
            <w:vAlign w:val="bottom"/>
          </w:tcPr>
          <w:p>
            <w:pPr>
              <w:spacing w:after="0"/>
              <w:rPr>
                <w:sz w:val="20"/>
                <w:szCs w:val="20"/>
                <w:color w:val="auto"/>
              </w:rPr>
            </w:pPr>
          </w:p>
        </w:tc>
        <w:tc>
          <w:tcPr>
            <w:tcW w:w="360" w:type="dxa"/>
            <w:vAlign w:val="bottom"/>
          </w:tcPr>
          <w:p>
            <w:pPr>
              <w:ind w:left="200"/>
              <w:spacing w:after="0"/>
              <w:rPr>
                <w:sz w:val="20"/>
                <w:szCs w:val="20"/>
                <w:color w:val="auto"/>
              </w:rPr>
            </w:pPr>
            <w:r>
              <w:rPr>
                <w:rFonts w:ascii="Arial" w:cs="Arial" w:eastAsia="Arial" w:hAnsi="Arial"/>
                <w:sz w:val="18"/>
                <w:szCs w:val="18"/>
                <w:color w:val="auto"/>
              </w:rPr>
              <w:t>o</w:t>
            </w:r>
          </w:p>
        </w:tc>
        <w:tc>
          <w:tcPr>
            <w:tcW w:w="134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1"/>
        </w:trPr>
        <w:tc>
          <w:tcPr>
            <w:tcW w:w="6680" w:type="dxa"/>
            <w:vAlign w:val="bottom"/>
            <w:gridSpan w:val="2"/>
          </w:tcPr>
          <w:p>
            <w:pPr>
              <w:ind w:left="1920"/>
              <w:spacing w:after="0"/>
              <w:rPr>
                <w:sz w:val="20"/>
                <w:szCs w:val="20"/>
                <w:color w:val="auto"/>
              </w:rPr>
            </w:pPr>
            <w:r>
              <w:rPr>
                <w:rFonts w:ascii="Arial" w:cs="Arial" w:eastAsia="Arial" w:hAnsi="Arial"/>
                <w:sz w:val="18"/>
                <w:szCs w:val="18"/>
                <w:color w:val="auto"/>
                <w:w w:val="95"/>
              </w:rPr>
              <w:t xml:space="preserve">o  </w:t>
            </w:r>
            <w:r>
              <w:rPr>
                <w:rFonts w:ascii="Arial" w:cs="Arial" w:eastAsia="Arial" w:hAnsi="Arial"/>
                <w:sz w:val="16"/>
                <w:szCs w:val="16"/>
                <w:color w:val="auto"/>
                <w:w w:val="95"/>
              </w:rPr>
              <w:t>Non-accelerated filer (Do not check if a smaller reporting company)</w:t>
            </w:r>
          </w:p>
        </w:tc>
        <w:tc>
          <w:tcPr>
            <w:tcW w:w="360" w:type="dxa"/>
            <w:vAlign w:val="bottom"/>
          </w:tcPr>
          <w:p>
            <w:pPr>
              <w:ind w:left="200"/>
              <w:spacing w:after="0"/>
              <w:rPr>
                <w:sz w:val="20"/>
                <w:szCs w:val="20"/>
                <w:color w:val="auto"/>
              </w:rPr>
            </w:pPr>
            <w:r>
              <w:rPr>
                <w:rFonts w:ascii="Arial" w:cs="Arial" w:eastAsia="Arial" w:hAnsi="Arial"/>
                <w:sz w:val="18"/>
                <w:szCs w:val="18"/>
                <w:color w:val="auto"/>
              </w:rPr>
              <w:t>o</w:t>
            </w:r>
          </w:p>
        </w:tc>
        <w:tc>
          <w:tcPr>
            <w:tcW w:w="3040" w:type="dxa"/>
            <w:vAlign w:val="bottom"/>
            <w:gridSpan w:val="2"/>
          </w:tcPr>
          <w:p>
            <w:pPr>
              <w:ind w:left="80"/>
              <w:spacing w:after="0"/>
              <w:rPr>
                <w:sz w:val="20"/>
                <w:szCs w:val="20"/>
                <w:color w:val="auto"/>
              </w:rPr>
            </w:pPr>
            <w:r>
              <w:rPr>
                <w:rFonts w:ascii="Arial" w:cs="Arial" w:eastAsia="Arial" w:hAnsi="Arial"/>
                <w:sz w:val="16"/>
                <w:szCs w:val="16"/>
                <w:color w:val="auto"/>
              </w:rPr>
              <w:t>Smaller reporting company</w:t>
            </w:r>
          </w:p>
        </w:tc>
        <w:tc>
          <w:tcPr>
            <w:tcW w:w="1340" w:type="dxa"/>
            <w:vAlign w:val="bottom"/>
          </w:tcPr>
          <w:p>
            <w:pPr>
              <w:spacing w:after="0"/>
              <w:rPr>
                <w:sz w:val="24"/>
                <w:szCs w:val="24"/>
                <w:color w:val="auto"/>
              </w:rPr>
            </w:pPr>
          </w:p>
        </w:tc>
      </w:tr>
      <w:tr>
        <w:trPr>
          <w:trHeight w:val="188"/>
        </w:trPr>
        <w:tc>
          <w:tcPr>
            <w:tcW w:w="10080" w:type="dxa"/>
            <w:vAlign w:val="bottom"/>
            <w:gridSpan w:val="5"/>
          </w:tcPr>
          <w:p>
            <w:pPr>
              <w:ind w:left="182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w:t>
            </w:r>
          </w:p>
        </w:tc>
        <w:tc>
          <w:tcPr>
            <w:tcW w:w="1340" w:type="dxa"/>
            <w:vAlign w:val="bottom"/>
          </w:tcPr>
          <w:p>
            <w:pPr>
              <w:spacing w:after="0"/>
              <w:rPr>
                <w:sz w:val="16"/>
                <w:szCs w:val="16"/>
                <w:color w:val="auto"/>
              </w:rPr>
            </w:pPr>
          </w:p>
        </w:tc>
      </w:tr>
      <w:tr>
        <w:trPr>
          <w:trHeight w:val="230"/>
        </w:trPr>
        <w:tc>
          <w:tcPr>
            <w:tcW w:w="10080" w:type="dxa"/>
            <w:vAlign w:val="bottom"/>
            <w:gridSpan w:val="5"/>
          </w:tcPr>
          <w:p>
            <w:pPr>
              <w:ind w:left="1820"/>
              <w:spacing w:after="0"/>
              <w:rPr>
                <w:sz w:val="20"/>
                <w:szCs w:val="20"/>
                <w:color w:val="auto"/>
              </w:rPr>
            </w:pPr>
            <w:r>
              <w:rPr>
                <w:rFonts w:ascii="Arial" w:cs="Arial" w:eastAsia="Arial" w:hAnsi="Arial"/>
                <w:sz w:val="14"/>
                <w:szCs w:val="14"/>
                <w:color w:val="auto"/>
              </w:rPr>
              <w:t xml:space="preserve">complying with any new or revised financial accounting standards provided pursuant to Section 7(a)(2)(B) of the Securities Act. </w:t>
            </w:r>
            <w:r>
              <w:rPr>
                <w:rFonts w:ascii="Arial" w:cs="Arial" w:eastAsia="Arial" w:hAnsi="Arial"/>
                <w:sz w:val="18"/>
                <w:szCs w:val="18"/>
                <w:color w:val="auto"/>
              </w:rPr>
              <w:t>o</w:t>
            </w:r>
          </w:p>
        </w:tc>
        <w:tc>
          <w:tcPr>
            <w:tcW w:w="1340" w:type="dxa"/>
            <w:vAlign w:val="bottom"/>
          </w:tcPr>
          <w:p>
            <w:pPr>
              <w:spacing w:after="0"/>
              <w:rPr>
                <w:sz w:val="20"/>
                <w:szCs w:val="20"/>
                <w:color w:val="auto"/>
              </w:rPr>
            </w:pPr>
          </w:p>
        </w:tc>
      </w:tr>
      <w:tr>
        <w:trPr>
          <w:trHeight w:val="405"/>
        </w:trPr>
        <w:tc>
          <w:tcPr>
            <w:tcW w:w="3800" w:type="dxa"/>
            <w:vAlign w:val="bottom"/>
          </w:tcPr>
          <w:p>
            <w:pPr>
              <w:spacing w:after="0"/>
              <w:rPr>
                <w:sz w:val="24"/>
                <w:szCs w:val="24"/>
                <w:color w:val="auto"/>
              </w:rPr>
            </w:pPr>
          </w:p>
        </w:tc>
        <w:tc>
          <w:tcPr>
            <w:tcW w:w="4580" w:type="dxa"/>
            <w:vAlign w:val="bottom"/>
            <w:gridSpan w:val="3"/>
          </w:tcPr>
          <w:p>
            <w:pPr>
              <w:ind w:left="180"/>
              <w:spacing w:after="0"/>
              <w:rPr>
                <w:sz w:val="20"/>
                <w:szCs w:val="20"/>
                <w:color w:val="auto"/>
              </w:rPr>
            </w:pPr>
            <w:r>
              <w:rPr>
                <w:rFonts w:ascii="Arial" w:cs="Arial" w:eastAsia="Arial" w:hAnsi="Arial"/>
                <w:sz w:val="18"/>
                <w:szCs w:val="18"/>
                <w:b w:val="1"/>
                <w:bCs w:val="1"/>
                <w:color w:val="auto"/>
              </w:rPr>
              <w:t>CALCULATION OF REGISTRATION FEE</w:t>
            </w: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3800" w:type="dxa"/>
            <w:vAlign w:val="bottom"/>
          </w:tcPr>
          <w:p>
            <w:pPr>
              <w:ind w:left="2100"/>
              <w:spacing w:after="0"/>
              <w:rPr>
                <w:sz w:val="20"/>
                <w:szCs w:val="20"/>
                <w:color w:val="auto"/>
              </w:rPr>
            </w:pPr>
            <w:r>
              <w:rPr>
                <w:rFonts w:ascii="Arial" w:cs="Arial" w:eastAsia="Arial" w:hAnsi="Arial"/>
                <w:sz w:val="16"/>
                <w:szCs w:val="16"/>
                <w:b w:val="1"/>
                <w:bCs w:val="1"/>
                <w:color w:val="auto"/>
              </w:rPr>
              <w:t>Title of</w:t>
            </w:r>
          </w:p>
        </w:tc>
        <w:tc>
          <w:tcPr>
            <w:tcW w:w="2880" w:type="dxa"/>
            <w:vAlign w:val="bottom"/>
          </w:tcPr>
          <w:p>
            <w:pPr>
              <w:jc w:val="center"/>
              <w:ind w:left="537"/>
              <w:spacing w:after="0"/>
              <w:rPr>
                <w:sz w:val="20"/>
                <w:szCs w:val="20"/>
                <w:color w:val="auto"/>
              </w:rPr>
            </w:pPr>
            <w:r>
              <w:rPr>
                <w:rFonts w:ascii="Arial" w:cs="Arial" w:eastAsia="Arial" w:hAnsi="Arial"/>
                <w:sz w:val="16"/>
                <w:szCs w:val="16"/>
                <w:b w:val="1"/>
                <w:bCs w:val="1"/>
                <w:color w:val="auto"/>
                <w:w w:val="91"/>
              </w:rPr>
              <w:t>Amount to be</w:t>
            </w:r>
          </w:p>
        </w:tc>
        <w:tc>
          <w:tcPr>
            <w:tcW w:w="170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0"/>
              </w:rPr>
              <w:t>Proposed maximum</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Proposed maximum</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Amount of</w:t>
            </w:r>
          </w:p>
        </w:tc>
      </w:tr>
      <w:tr>
        <w:trPr>
          <w:trHeight w:val="237"/>
        </w:trPr>
        <w:tc>
          <w:tcPr>
            <w:tcW w:w="3800" w:type="dxa"/>
            <w:vAlign w:val="bottom"/>
          </w:tcPr>
          <w:p>
            <w:pPr>
              <w:ind w:left="1480"/>
              <w:spacing w:after="0"/>
              <w:rPr>
                <w:sz w:val="20"/>
                <w:szCs w:val="20"/>
                <w:color w:val="auto"/>
              </w:rPr>
            </w:pPr>
            <w:r>
              <w:rPr>
                <w:rFonts w:ascii="Arial" w:cs="Arial" w:eastAsia="Arial" w:hAnsi="Arial"/>
                <w:sz w:val="16"/>
                <w:szCs w:val="16"/>
                <w:b w:val="1"/>
                <w:bCs w:val="1"/>
                <w:color w:val="auto"/>
              </w:rPr>
              <w:t>securities to be registered</w:t>
            </w:r>
          </w:p>
        </w:tc>
        <w:tc>
          <w:tcPr>
            <w:tcW w:w="2880" w:type="dxa"/>
            <w:vAlign w:val="bottom"/>
          </w:tcPr>
          <w:p>
            <w:pPr>
              <w:jc w:val="center"/>
              <w:ind w:left="537"/>
              <w:spacing w:after="0"/>
              <w:rPr>
                <w:sz w:val="20"/>
                <w:szCs w:val="20"/>
                <w:color w:val="auto"/>
              </w:rPr>
            </w:pPr>
            <w:r>
              <w:rPr>
                <w:rFonts w:ascii="Arial" w:cs="Arial" w:eastAsia="Arial" w:hAnsi="Arial"/>
                <w:sz w:val="16"/>
                <w:szCs w:val="16"/>
                <w:b w:val="1"/>
                <w:bCs w:val="1"/>
                <w:color w:val="auto"/>
                <w:w w:val="90"/>
              </w:rPr>
              <w:t>registered</w:t>
            </w:r>
          </w:p>
        </w:tc>
        <w:tc>
          <w:tcPr>
            <w:tcW w:w="36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aggregate</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registration fee</w:t>
            </w:r>
          </w:p>
        </w:tc>
      </w:tr>
      <w:tr>
        <w:trPr>
          <w:trHeight w:val="33"/>
        </w:trPr>
        <w:tc>
          <w:tcPr>
            <w:tcW w:w="38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38"/>
        </w:trPr>
        <w:tc>
          <w:tcPr>
            <w:tcW w:w="3800" w:type="dxa"/>
            <w:vAlign w:val="bottom"/>
          </w:tcPr>
          <w:p>
            <w:pPr>
              <w:ind w:left="40"/>
              <w:spacing w:after="0"/>
              <w:rPr>
                <w:sz w:val="20"/>
                <w:szCs w:val="20"/>
                <w:color w:val="auto"/>
              </w:rPr>
            </w:pPr>
            <w:r>
              <w:rPr>
                <w:rFonts w:ascii="Arial" w:cs="Arial" w:eastAsia="Arial" w:hAnsi="Arial"/>
                <w:sz w:val="16"/>
                <w:szCs w:val="16"/>
                <w:color w:val="auto"/>
              </w:rPr>
              <w:t>Deferred Compensation Obligations</w:t>
            </w:r>
          </w:p>
        </w:tc>
        <w:tc>
          <w:tcPr>
            <w:tcW w:w="2880" w:type="dxa"/>
            <w:vAlign w:val="bottom"/>
          </w:tcPr>
          <w:p>
            <w:pPr>
              <w:jc w:val="right"/>
              <w:ind w:right="217"/>
              <w:spacing w:after="0"/>
              <w:rPr>
                <w:sz w:val="20"/>
                <w:szCs w:val="20"/>
                <w:color w:val="auto"/>
              </w:rPr>
            </w:pPr>
            <w:r>
              <w:rPr>
                <w:rFonts w:ascii="Arial" w:cs="Arial" w:eastAsia="Arial" w:hAnsi="Arial"/>
                <w:sz w:val="16"/>
                <w:szCs w:val="16"/>
                <w:color w:val="auto"/>
              </w:rPr>
              <w:t>$60,000,000</w:t>
            </w:r>
            <w:r>
              <w:rPr>
                <w:rFonts w:ascii="Arial" w:cs="Arial" w:eastAsia="Arial" w:hAnsi="Arial"/>
                <w:sz w:val="21"/>
                <w:szCs w:val="21"/>
                <w:b w:val="1"/>
                <w:bCs w:val="1"/>
                <w:color w:val="auto"/>
                <w:vertAlign w:val="superscript"/>
              </w:rPr>
              <w:t>(1)</w:t>
            </w:r>
          </w:p>
        </w:tc>
        <w:tc>
          <w:tcPr>
            <w:tcW w:w="360" w:type="dxa"/>
            <w:vAlign w:val="bottom"/>
          </w:tcPr>
          <w:p>
            <w:pPr>
              <w:spacing w:after="0"/>
              <w:rPr>
                <w:sz w:val="24"/>
                <w:szCs w:val="24"/>
                <w:color w:val="auto"/>
              </w:rPr>
            </w:pPr>
          </w:p>
        </w:tc>
        <w:tc>
          <w:tcPr>
            <w:tcW w:w="1340" w:type="dxa"/>
            <w:vAlign w:val="bottom"/>
          </w:tcPr>
          <w:p>
            <w:pPr>
              <w:jc w:val="right"/>
              <w:ind w:right="679"/>
              <w:spacing w:after="0"/>
              <w:rPr>
                <w:sz w:val="20"/>
                <w:szCs w:val="20"/>
                <w:color w:val="auto"/>
              </w:rPr>
            </w:pPr>
            <w:r>
              <w:rPr>
                <w:rFonts w:ascii="Arial" w:cs="Arial" w:eastAsia="Arial" w:hAnsi="Arial"/>
                <w:sz w:val="16"/>
                <w:szCs w:val="16"/>
                <w:color w:val="auto"/>
              </w:rPr>
              <w:t>100%</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$60,000,000</w:t>
            </w:r>
          </w:p>
        </w:tc>
        <w:tc>
          <w:tcPr>
            <w:tcW w:w="1340" w:type="dxa"/>
            <w:vAlign w:val="bottom"/>
          </w:tcPr>
          <w:p>
            <w:pPr>
              <w:jc w:val="center"/>
              <w:spacing w:after="0"/>
              <w:rPr>
                <w:sz w:val="20"/>
                <w:szCs w:val="20"/>
                <w:color w:val="auto"/>
              </w:rPr>
            </w:pPr>
            <w:r>
              <w:rPr>
                <w:rFonts w:ascii="Arial" w:cs="Arial" w:eastAsia="Arial" w:hAnsi="Arial"/>
                <w:sz w:val="16"/>
                <w:szCs w:val="16"/>
                <w:color w:val="auto"/>
                <w:w w:val="84"/>
              </w:rPr>
              <w:t>$7,788</w:t>
            </w:r>
            <w:r>
              <w:rPr>
                <w:rFonts w:ascii="Arial" w:cs="Arial" w:eastAsia="Arial" w:hAnsi="Arial"/>
                <w:sz w:val="21"/>
                <w:szCs w:val="21"/>
                <w:color w:val="auto"/>
                <w:w w:val="84"/>
                <w:vertAlign w:val="superscript"/>
              </w:rPr>
              <w:t>(2)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340" w:hanging="332"/>
        <w:spacing w:after="0" w:line="24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deferred compensation obligations are unsecured obligations of the Registrant to pay deferred compensation in the future in accordance with the terms of the Micron Technology, Inc. Deferred Compensation Plan (the "Deferred Compensation Plan").</w:t>
      </w:r>
    </w:p>
    <w:p>
      <w:pPr>
        <w:ind w:left="340" w:right="220" w:hanging="332"/>
        <w:spacing w:after="0" w:line="255"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457(h) under the Securities Act, solely for the purpose of calculating the registration fee based on an estimate of the amount of compensation participants may defer under the Deferred Compensation Plan.</w:t>
      </w:r>
    </w:p>
    <w:p>
      <w:pPr>
        <w:sectPr>
          <w:pgSz w:w="11900" w:h="16838" w:orient="portrait"/>
          <w:cols w:equalWidth="0" w:num="1">
            <w:col w:w="11420"/>
          </w:cols>
          <w:pgMar w:left="240" w:top="68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PART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REQUIRED IN THE SECTION 10(a) PROSPECTUS</w:t>
      </w:r>
    </w:p>
    <w:p>
      <w:pPr>
        <w:spacing w:after="0" w:line="222" w:lineRule="exact"/>
        <w:rPr>
          <w:sz w:val="20"/>
          <w:szCs w:val="20"/>
          <w:color w:val="auto"/>
        </w:rPr>
      </w:pPr>
    </w:p>
    <w:p>
      <w:pPr>
        <w:ind w:right="20" w:firstLine="324"/>
        <w:spacing w:after="0" w:line="250" w:lineRule="auto"/>
        <w:rPr>
          <w:sz w:val="20"/>
          <w:szCs w:val="20"/>
          <w:color w:val="auto"/>
        </w:rPr>
      </w:pPr>
      <w:r>
        <w:rPr>
          <w:rFonts w:ascii="Arial" w:cs="Arial" w:eastAsia="Arial" w:hAnsi="Arial"/>
          <w:sz w:val="20"/>
          <w:szCs w:val="20"/>
          <w:color w:val="auto"/>
        </w:rPr>
        <w:t>The documents containing the information specified in Part I of Form S-8 are not required to be filed with the Securities and Exchange Commission (the "Commission") either as part of this Registration Statement or as a prospectus or prospectus supplements pursuant to the Note to Part I of Form S-8 and Rule 424 under the Securities Act.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INFORMATION REQUIRED IN THE REGISTRATION STATEMENT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Incorporation of Documents by Reference.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filed by Micron Technology, Inc. (the "Company") with the Commission are incorporated by reference in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Registration Statement:</w:t>
      </w:r>
    </w:p>
    <w:p>
      <w:pPr>
        <w:spacing w:after="0" w:line="200" w:lineRule="exact"/>
        <w:rPr>
          <w:sz w:val="20"/>
          <w:szCs w:val="20"/>
          <w:color w:val="auto"/>
        </w:rPr>
      </w:pPr>
    </w:p>
    <w:p>
      <w:pPr>
        <w:jc w:val="both"/>
        <w:ind w:right="160" w:firstLine="332"/>
        <w:spacing w:after="0" w:line="386" w:lineRule="auto"/>
        <w:tabs>
          <w:tab w:leader="none" w:pos="7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August 29, 2019 (the “Annual Report”) filed with the Commission pursuant to Section 13(a) of the Securities Exchange Act of 1934, as amended (the "Exchange Act") (File No. 1-10658), on October 17, 2019.</w:t>
      </w:r>
    </w:p>
    <w:p>
      <w:pPr>
        <w:spacing w:after="0" w:line="83" w:lineRule="exact"/>
        <w:rPr>
          <w:rFonts w:ascii="Arial" w:cs="Arial" w:eastAsia="Arial" w:hAnsi="Arial"/>
          <w:sz w:val="16"/>
          <w:szCs w:val="16"/>
          <w:color w:val="auto"/>
        </w:rPr>
      </w:pPr>
    </w:p>
    <w:p>
      <w:pPr>
        <w:ind w:left="740" w:hanging="40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Annual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Report.</w:t>
      </w:r>
    </w:p>
    <w:p>
      <w:pPr>
        <w:spacing w:after="0" w:line="200" w:lineRule="exact"/>
        <w:rPr>
          <w:sz w:val="20"/>
          <w:szCs w:val="20"/>
          <w:color w:val="auto"/>
        </w:rPr>
      </w:pPr>
    </w:p>
    <w:p>
      <w:pPr>
        <w:ind w:firstLine="324"/>
        <w:spacing w:after="0" w:line="246" w:lineRule="auto"/>
        <w:rPr>
          <w:sz w:val="20"/>
          <w:szCs w:val="20"/>
          <w:color w:val="auto"/>
        </w:rPr>
      </w:pPr>
      <w:r>
        <w:rPr>
          <w:rFonts w:ascii="Arial" w:cs="Arial" w:eastAsia="Arial" w:hAnsi="Arial"/>
          <w:sz w:val="20"/>
          <w:szCs w:val="20"/>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Description of Securities.</w:t>
      </w:r>
    </w:p>
    <w:p>
      <w:pPr>
        <w:spacing w:after="0" w:line="222" w:lineRule="exact"/>
        <w:rPr>
          <w:sz w:val="20"/>
          <w:szCs w:val="20"/>
          <w:color w:val="auto"/>
        </w:rPr>
      </w:pPr>
    </w:p>
    <w:p>
      <w:pPr>
        <w:ind w:right="600" w:firstLine="324"/>
        <w:spacing w:after="0" w:line="260" w:lineRule="auto"/>
        <w:rPr>
          <w:sz w:val="20"/>
          <w:szCs w:val="20"/>
          <w:color w:val="auto"/>
        </w:rPr>
      </w:pPr>
      <w:r>
        <w:rPr>
          <w:rFonts w:ascii="Arial" w:cs="Arial" w:eastAsia="Arial" w:hAnsi="Arial"/>
          <w:sz w:val="20"/>
          <w:szCs w:val="20"/>
          <w:color w:val="auto"/>
        </w:rPr>
        <w:t>The description under the heading “Micron Technology, Inc. Deferred Compensation Plan Obligations” in Item 4 of the Registration Statement on Form S-8 (Registration No. 333-217314) is incorporated by reference in this Item 4.</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Interests of Named Experts and Counsel.</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Indemnification of Directors and Officers.</w:t>
      </w:r>
    </w:p>
    <w:p>
      <w:pPr>
        <w:spacing w:after="0" w:line="222" w:lineRule="exact"/>
        <w:rPr>
          <w:sz w:val="20"/>
          <w:szCs w:val="20"/>
          <w:color w:val="auto"/>
        </w:rPr>
      </w:pPr>
    </w:p>
    <w:p>
      <w:pPr>
        <w:ind w:right="140" w:firstLine="324"/>
        <w:spacing w:after="0" w:line="243" w:lineRule="auto"/>
        <w:rPr>
          <w:sz w:val="20"/>
          <w:szCs w:val="20"/>
          <w:color w:val="auto"/>
        </w:rPr>
      </w:pPr>
      <w:r>
        <w:rPr>
          <w:rFonts w:ascii="Arial" w:cs="Arial" w:eastAsia="Arial" w:hAnsi="Arial"/>
          <w:sz w:val="20"/>
          <w:szCs w:val="20"/>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Exemption from Registration Claimed.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57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6"/>
        </w:trPr>
        <w:tc>
          <w:tcPr>
            <w:tcW w:w="1400" w:type="dxa"/>
            <w:vAlign w:val="bottom"/>
            <w:gridSpan w:val="3"/>
          </w:tcPr>
          <w:p>
            <w:pPr>
              <w:spacing w:after="0"/>
              <w:rPr>
                <w:sz w:val="20"/>
                <w:szCs w:val="20"/>
                <w:color w:val="auto"/>
              </w:rPr>
            </w:pPr>
            <w:r>
              <w:rPr>
                <w:rFonts w:ascii="Arial" w:cs="Arial" w:eastAsia="Arial" w:hAnsi="Arial"/>
                <w:sz w:val="20"/>
                <w:szCs w:val="20"/>
                <w:b w:val="1"/>
                <w:bCs w:val="1"/>
                <w:color w:val="auto"/>
                <w:w w:val="90"/>
              </w:rPr>
              <w:t>Item 8. Exhibits.</w:t>
            </w:r>
          </w:p>
        </w:tc>
        <w:tc>
          <w:tcPr>
            <w:tcW w:w="10020" w:type="dxa"/>
            <w:vAlign w:val="bottom"/>
          </w:tcPr>
          <w:p>
            <w:pPr>
              <w:spacing w:after="0"/>
              <w:rPr>
                <w:sz w:val="22"/>
                <w:szCs w:val="22"/>
                <w:color w:val="auto"/>
              </w:rPr>
            </w:pPr>
          </w:p>
        </w:tc>
      </w:tr>
      <w:tr>
        <w:trPr>
          <w:trHeight w:val="608"/>
        </w:trPr>
        <w:tc>
          <w:tcPr>
            <w:tcW w:w="1400" w:type="dxa"/>
            <w:vAlign w:val="bottom"/>
            <w:gridSpan w:val="3"/>
          </w:tcPr>
          <w:p>
            <w:pPr>
              <w:ind w:left="40"/>
              <w:spacing w:after="0"/>
              <w:rPr>
                <w:sz w:val="20"/>
                <w:szCs w:val="20"/>
                <w:color w:val="auto"/>
              </w:rPr>
            </w:pPr>
            <w:r>
              <w:rPr>
                <w:rFonts w:ascii="Arial" w:cs="Arial" w:eastAsia="Arial" w:hAnsi="Arial"/>
                <w:sz w:val="20"/>
                <w:szCs w:val="20"/>
                <w:b w:val="1"/>
                <w:bCs w:val="1"/>
                <w:color w:val="auto"/>
              </w:rPr>
              <w:t>Exhibit</w:t>
            </w:r>
          </w:p>
        </w:tc>
        <w:tc>
          <w:tcPr>
            <w:tcW w:w="10020" w:type="dxa"/>
            <w:vAlign w:val="bottom"/>
          </w:tcPr>
          <w:p>
            <w:pPr>
              <w:spacing w:after="0"/>
              <w:rPr>
                <w:sz w:val="24"/>
                <w:szCs w:val="24"/>
                <w:color w:val="auto"/>
              </w:rPr>
            </w:pPr>
          </w:p>
        </w:tc>
      </w:tr>
      <w:tr>
        <w:trPr>
          <w:trHeight w:val="283"/>
        </w:trPr>
        <w:tc>
          <w:tcPr>
            <w:tcW w:w="1400" w:type="dxa"/>
            <w:vAlign w:val="bottom"/>
            <w:gridSpan w:val="3"/>
          </w:tcPr>
          <w:p>
            <w:pPr>
              <w:ind w:left="40"/>
              <w:spacing w:after="0"/>
              <w:rPr>
                <w:sz w:val="20"/>
                <w:szCs w:val="20"/>
                <w:color w:val="auto"/>
              </w:rPr>
            </w:pPr>
            <w:r>
              <w:rPr>
                <w:rFonts w:ascii="Arial" w:cs="Arial" w:eastAsia="Arial" w:hAnsi="Arial"/>
                <w:sz w:val="20"/>
                <w:szCs w:val="20"/>
                <w:b w:val="1"/>
                <w:bCs w:val="1"/>
                <w:color w:val="auto"/>
              </w:rPr>
              <w:t>Number</w:t>
            </w:r>
          </w:p>
        </w:tc>
        <w:tc>
          <w:tcPr>
            <w:tcW w:w="10020" w:type="dxa"/>
            <w:vAlign w:val="bottom"/>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20" w:type="dxa"/>
            <w:vAlign w:val="bottom"/>
            <w:tcBorders>
              <w:bottom w:val="single" w:sz="8" w:color="auto"/>
            </w:tcBorders>
          </w:tcPr>
          <w:p>
            <w:pPr>
              <w:spacing w:after="0"/>
              <w:rPr>
                <w:sz w:val="2"/>
                <w:szCs w:val="2"/>
                <w:color w:val="auto"/>
              </w:rPr>
            </w:pPr>
          </w:p>
        </w:tc>
      </w:tr>
      <w:tr>
        <w:trPr>
          <w:trHeight w:val="254"/>
        </w:trPr>
        <w:tc>
          <w:tcPr>
            <w:tcW w:w="1260" w:type="dxa"/>
            <w:vAlign w:val="bottom"/>
          </w:tcPr>
          <w:p>
            <w:pPr>
              <w:ind w:left="40"/>
              <w:spacing w:after="0"/>
              <w:rPr>
                <w:sz w:val="20"/>
                <w:szCs w:val="20"/>
                <w:color w:val="auto"/>
              </w:rPr>
            </w:pPr>
            <w:r>
              <w:rPr>
                <w:rFonts w:ascii="Arial" w:cs="Arial" w:eastAsia="Arial" w:hAnsi="Arial"/>
                <w:sz w:val="20"/>
                <w:szCs w:val="20"/>
                <w:color w:val="auto"/>
              </w:rPr>
              <w:t>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tcPr>
          <w:p>
            <w:pPr>
              <w:ind w:left="20"/>
              <w:spacing w:after="0"/>
              <w:rPr>
                <w:sz w:val="20"/>
                <w:szCs w:val="20"/>
                <w:color w:val="auto"/>
              </w:rPr>
            </w:pPr>
            <w:r>
              <w:rPr>
                <w:rFonts w:ascii="Arial" w:cs="Arial" w:eastAsia="Arial" w:hAnsi="Arial"/>
                <w:sz w:val="20"/>
                <w:szCs w:val="20"/>
                <w:color w:val="auto"/>
              </w:rPr>
              <w:t>Deferred Compensation Plan</w:t>
            </w:r>
          </w:p>
        </w:tc>
      </w:tr>
      <w:tr>
        <w:trPr>
          <w:trHeight w:val="284"/>
        </w:trPr>
        <w:tc>
          <w:tcPr>
            <w:tcW w:w="1260" w:type="dxa"/>
            <w:vAlign w:val="bottom"/>
          </w:tcPr>
          <w:p>
            <w:pPr>
              <w:ind w:left="40"/>
              <w:spacing w:after="0"/>
              <w:rPr>
                <w:sz w:val="20"/>
                <w:szCs w:val="20"/>
                <w:color w:val="auto"/>
              </w:rPr>
            </w:pPr>
            <w:r>
              <w:rPr>
                <w:rFonts w:ascii="Arial" w:cs="Arial" w:eastAsia="Arial" w:hAnsi="Arial"/>
                <w:sz w:val="20"/>
                <w:szCs w:val="20"/>
                <w:color w:val="auto"/>
              </w:rPr>
              <w:t>5.1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Pr>
          <w:p>
            <w:pPr>
              <w:ind w:left="20"/>
              <w:spacing w:after="0"/>
              <w:rPr>
                <w:sz w:val="20"/>
                <w:szCs w:val="20"/>
                <w:color w:val="auto"/>
              </w:rPr>
            </w:pPr>
            <w:r>
              <w:rPr>
                <w:rFonts w:ascii="Arial" w:cs="Arial" w:eastAsia="Arial" w:hAnsi="Arial"/>
                <w:sz w:val="20"/>
                <w:szCs w:val="20"/>
                <w:color w:val="auto"/>
              </w:rPr>
              <w:t>Opinion of Counsel</w:t>
            </w:r>
          </w:p>
        </w:tc>
      </w:tr>
      <w:tr>
        <w:trPr>
          <w:trHeight w:val="284"/>
        </w:trPr>
        <w:tc>
          <w:tcPr>
            <w:tcW w:w="1260" w:type="dxa"/>
            <w:vAlign w:val="bottom"/>
          </w:tcPr>
          <w:p>
            <w:pPr>
              <w:ind w:left="40"/>
              <w:spacing w:after="0"/>
              <w:rPr>
                <w:sz w:val="20"/>
                <w:szCs w:val="20"/>
                <w:color w:val="auto"/>
              </w:rPr>
            </w:pPr>
            <w:r>
              <w:rPr>
                <w:rFonts w:ascii="Arial" w:cs="Arial" w:eastAsia="Arial" w:hAnsi="Arial"/>
                <w:sz w:val="20"/>
                <w:szCs w:val="20"/>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Pr>
          <w:p>
            <w:pPr>
              <w:ind w:left="20"/>
              <w:spacing w:after="0"/>
              <w:rPr>
                <w:sz w:val="20"/>
                <w:szCs w:val="20"/>
                <w:color w:val="auto"/>
              </w:rPr>
            </w:pPr>
            <w:r>
              <w:rPr>
                <w:rFonts w:ascii="Arial" w:cs="Arial" w:eastAsia="Arial" w:hAnsi="Arial"/>
                <w:sz w:val="20"/>
                <w:szCs w:val="20"/>
                <w:color w:val="auto"/>
              </w:rPr>
              <w:t>Consent of Independent Registered Public Accounting Firm</w:t>
            </w:r>
          </w:p>
        </w:tc>
      </w:tr>
      <w:tr>
        <w:trPr>
          <w:trHeight w:val="284"/>
        </w:trPr>
        <w:tc>
          <w:tcPr>
            <w:tcW w:w="1260" w:type="dxa"/>
            <w:vAlign w:val="bottom"/>
          </w:tcPr>
          <w:p>
            <w:pPr>
              <w:ind w:left="40"/>
              <w:spacing w:after="0"/>
              <w:rPr>
                <w:sz w:val="20"/>
                <w:szCs w:val="20"/>
                <w:color w:val="auto"/>
              </w:rPr>
            </w:pPr>
            <w:r>
              <w:rPr>
                <w:rFonts w:ascii="Arial" w:cs="Arial" w:eastAsia="Arial" w:hAnsi="Arial"/>
                <w:sz w:val="20"/>
                <w:szCs w:val="20"/>
                <w:color w:val="auto"/>
              </w:rPr>
              <w:t>23.2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Pr>
          <w:p>
            <w:pPr>
              <w:ind w:left="20"/>
              <w:spacing w:after="0"/>
              <w:rPr>
                <w:sz w:val="20"/>
                <w:szCs w:val="20"/>
                <w:color w:val="auto"/>
              </w:rPr>
            </w:pPr>
            <w:r>
              <w:rPr>
                <w:rFonts w:ascii="Arial" w:cs="Arial" w:eastAsia="Arial" w:hAnsi="Arial"/>
                <w:sz w:val="20"/>
                <w:szCs w:val="20"/>
                <w:color w:val="auto"/>
              </w:rPr>
              <w:t>Consent of Counsel (contained in Exhibit 5.1)</w:t>
            </w:r>
          </w:p>
        </w:tc>
      </w:tr>
      <w:tr>
        <w:trPr>
          <w:trHeight w:val="284"/>
        </w:trPr>
        <w:tc>
          <w:tcPr>
            <w:tcW w:w="1260" w:type="dxa"/>
            <w:vAlign w:val="bottom"/>
          </w:tcPr>
          <w:p>
            <w:pPr>
              <w:ind w:left="40"/>
              <w:spacing w:after="0"/>
              <w:rPr>
                <w:sz w:val="20"/>
                <w:szCs w:val="20"/>
                <w:color w:val="auto"/>
              </w:rPr>
            </w:pPr>
            <w:r>
              <w:rPr>
                <w:rFonts w:ascii="Arial" w:cs="Arial" w:eastAsia="Arial" w:hAnsi="Arial"/>
                <w:sz w:val="20"/>
                <w:szCs w:val="20"/>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Pr>
          <w:p>
            <w:pPr>
              <w:ind w:left="20"/>
              <w:spacing w:after="0"/>
              <w:rPr>
                <w:sz w:val="20"/>
                <w:szCs w:val="20"/>
                <w:color w:val="auto"/>
              </w:rPr>
            </w:pPr>
            <w:r>
              <w:rPr>
                <w:rFonts w:ascii="Arial" w:cs="Arial" w:eastAsia="Arial" w:hAnsi="Arial"/>
                <w:sz w:val="20"/>
                <w:szCs w:val="20"/>
                <w:color w:val="auto"/>
              </w:rPr>
              <w:t>Power of Attorney (included on signature page)</w:t>
            </w:r>
          </w:p>
        </w:tc>
      </w:tr>
    </w:tbl>
    <w:p>
      <w:pPr>
        <w:spacing w:after="0" w:line="6" w:lineRule="exact"/>
        <w:rPr>
          <w:sz w:val="20"/>
          <w:szCs w:val="20"/>
          <w:color w:val="auto"/>
        </w:rPr>
      </w:pPr>
    </w:p>
    <w:p>
      <w:pPr>
        <w:ind w:left="500" w:right="200" w:hanging="168"/>
        <w:spacing w:after="0" w:line="260" w:lineRule="auto"/>
        <w:tabs>
          <w:tab w:leader="none" w:pos="486" w:val="left"/>
        </w:tabs>
        <w:numPr>
          <w:ilvl w:val="0"/>
          <w:numId w:val="3"/>
        </w:numPr>
        <w:rPr>
          <w:rFonts w:ascii="Arial" w:cs="Arial" w:eastAsia="Arial" w:hAnsi="Arial"/>
          <w:sz w:val="20"/>
          <w:szCs w:val="20"/>
          <w:color w:val="auto"/>
        </w:rPr>
      </w:pPr>
      <w:r>
        <w:rPr>
          <w:rFonts w:ascii="Arial" w:cs="Arial" w:eastAsia="Arial" w:hAnsi="Arial"/>
          <w:sz w:val="20"/>
          <w:szCs w:val="20"/>
          <w:color w:val="auto"/>
        </w:rPr>
        <w:t>Incorporated by reference to Exhibit 10.64 to the Company’s Quarterly Report on Form 10-Q for quarterly period ended March 2, 2017 filed with the Commission on March 28, 2017.</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Undertakings.</w:t>
      </w:r>
    </w:p>
    <w:p>
      <w:pPr>
        <w:spacing w:after="0" w:line="222" w:lineRule="exact"/>
        <w:rPr>
          <w:sz w:val="20"/>
          <w:szCs w:val="20"/>
          <w:color w:val="auto"/>
        </w:rPr>
      </w:pPr>
    </w:p>
    <w:p>
      <w:pPr>
        <w:ind w:left="740" w:hanging="408"/>
        <w:spacing w:after="0"/>
        <w:tabs>
          <w:tab w:leader="none" w:pos="7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undersigned Company hereby undertakes:</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38" w:lineRule="exact"/>
        <w:rPr>
          <w:rFonts w:ascii="Arial" w:cs="Arial" w:eastAsia="Arial" w:hAnsi="Arial"/>
          <w:sz w:val="18"/>
          <w:szCs w:val="18"/>
          <w:color w:val="auto"/>
        </w:rPr>
      </w:pPr>
    </w:p>
    <w:p>
      <w:pPr>
        <w:ind w:left="1340" w:hanging="360"/>
        <w:spacing w:after="0"/>
        <w:tabs>
          <w:tab w:leader="none" w:pos="1340" w:val="left"/>
        </w:tabs>
        <w:numPr>
          <w:ilvl w:val="2"/>
          <w:numId w:val="4"/>
        </w:numPr>
        <w:rPr>
          <w:rFonts w:ascii="Arial" w:cs="Arial" w:eastAsia="Arial" w:hAnsi="Arial"/>
          <w:sz w:val="20"/>
          <w:szCs w:val="20"/>
          <w:color w:val="auto"/>
        </w:rPr>
      </w:pPr>
      <w:r>
        <w:rPr>
          <w:rFonts w:ascii="Arial" w:cs="Arial" w:eastAsia="Arial" w:hAnsi="Arial"/>
          <w:sz w:val="20"/>
          <w:szCs w:val="20"/>
          <w:color w:val="auto"/>
        </w:rPr>
        <w:t>to include any prospectus required by section 10(a)(3) of the Securities Act;</w:t>
      </w:r>
    </w:p>
    <w:p>
      <w:pPr>
        <w:spacing w:after="0" w:line="215" w:lineRule="exact"/>
        <w:rPr>
          <w:rFonts w:ascii="Arial" w:cs="Arial" w:eastAsia="Arial" w:hAnsi="Arial"/>
          <w:sz w:val="20"/>
          <w:szCs w:val="20"/>
          <w:color w:val="auto"/>
        </w:rPr>
      </w:pPr>
    </w:p>
    <w:p>
      <w:pPr>
        <w:ind w:firstLine="980"/>
        <w:spacing w:after="0" w:line="258" w:lineRule="auto"/>
        <w:tabs>
          <w:tab w:leader="none" w:pos="1394" w:val="left"/>
        </w:tabs>
        <w:numPr>
          <w:ilvl w:val="2"/>
          <w:numId w:val="4"/>
        </w:numPr>
        <w:rPr>
          <w:rFonts w:ascii="Arial" w:cs="Arial" w:eastAsia="Arial" w:hAnsi="Arial"/>
          <w:sz w:val="19"/>
          <w:szCs w:val="19"/>
          <w:color w:val="auto"/>
        </w:rPr>
      </w:pPr>
      <w:r>
        <w:rPr>
          <w:rFonts w:ascii="Arial" w:cs="Arial" w:eastAsia="Arial" w:hAnsi="Arial"/>
          <w:sz w:val="19"/>
          <w:szCs w:val="19"/>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9" w:lineRule="exact"/>
        <w:rPr>
          <w:rFonts w:ascii="Arial" w:cs="Arial" w:eastAsia="Arial" w:hAnsi="Arial"/>
          <w:sz w:val="19"/>
          <w:szCs w:val="19"/>
          <w:color w:val="auto"/>
        </w:rPr>
      </w:pPr>
    </w:p>
    <w:p>
      <w:pPr>
        <w:ind w:right="740" w:firstLine="980"/>
        <w:spacing w:after="0" w:line="260" w:lineRule="auto"/>
        <w:tabs>
          <w:tab w:leader="none" w:pos="1319" w:val="left"/>
        </w:tabs>
        <w:numPr>
          <w:ilvl w:val="2"/>
          <w:numId w:val="4"/>
        </w:numPr>
        <w:rPr>
          <w:rFonts w:ascii="Arial" w:cs="Arial" w:eastAsia="Arial" w:hAnsi="Arial"/>
          <w:sz w:val="20"/>
          <w:szCs w:val="20"/>
          <w:color w:val="auto"/>
        </w:rPr>
      </w:pPr>
      <w:r>
        <w:rPr>
          <w:rFonts w:ascii="Arial" w:cs="Arial" w:eastAsia="Arial" w:hAnsi="Arial"/>
          <w:sz w:val="20"/>
          <w:szCs w:val="20"/>
          <w:color w:val="auto"/>
        </w:rPr>
        <w:t>to include any material information with respect to the plan of distribution not previously disclosed in the Registration Statement or any material change to such information in the Registration Statement;</w:t>
      </w:r>
    </w:p>
    <w:p>
      <w:pPr>
        <w:spacing w:after="0" w:line="177"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paragraphs (a)(1)(i) and (a)(1)(ii) do not apply if the information required to be included in a post-effective amendment by those paragraphs is contained in reports filed with or furnished to the Commission by the Company pursuant to Section 13 or Section 15(d) of the Exchange Act that are incorporated by reference in the Registration Statement.</w:t>
      </w:r>
    </w:p>
    <w:p>
      <w:pPr>
        <w:spacing w:after="0" w:line="170" w:lineRule="exact"/>
        <w:rPr>
          <w:sz w:val="20"/>
          <w:szCs w:val="20"/>
          <w:color w:val="auto"/>
        </w:rPr>
      </w:pPr>
    </w:p>
    <w:p>
      <w:pPr>
        <w:jc w:val="both"/>
        <w:ind w:firstLine="656"/>
        <w:spacing w:after="0" w:line="250" w:lineRule="auto"/>
        <w:tabs>
          <w:tab w:leader="none" w:pos="1059" w:val="left"/>
        </w:tabs>
        <w:numPr>
          <w:ilvl w:val="1"/>
          <w:numId w:val="5"/>
        </w:numPr>
        <w:rPr>
          <w:rFonts w:ascii="Arial" w:cs="Arial" w:eastAsia="Arial" w:hAnsi="Arial"/>
          <w:sz w:val="20"/>
          <w:szCs w:val="20"/>
          <w:color w:val="auto"/>
        </w:rPr>
      </w:pPr>
      <w:r>
        <w:rPr>
          <w:rFonts w:ascii="Arial" w:cs="Arial" w:eastAsia="Arial" w:hAnsi="Arial"/>
          <w:sz w:val="20"/>
          <w:szCs w:val="20"/>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20"/>
          <w:szCs w:val="20"/>
          <w:color w:val="auto"/>
        </w:rPr>
      </w:pPr>
    </w:p>
    <w:p>
      <w:pPr>
        <w:ind w:right="200" w:firstLine="656"/>
        <w:spacing w:after="0" w:line="260" w:lineRule="auto"/>
        <w:tabs>
          <w:tab w:leader="none" w:pos="1059" w:val="left"/>
        </w:tabs>
        <w:numPr>
          <w:ilvl w:val="1"/>
          <w:numId w:val="5"/>
        </w:numPr>
        <w:rPr>
          <w:rFonts w:ascii="Arial" w:cs="Arial" w:eastAsia="Arial" w:hAnsi="Arial"/>
          <w:sz w:val="20"/>
          <w:szCs w:val="20"/>
          <w:color w:val="auto"/>
        </w:rPr>
      </w:pPr>
      <w:r>
        <w:rPr>
          <w:rFonts w:ascii="Arial" w:cs="Arial" w:eastAsia="Arial" w:hAnsi="Arial"/>
          <w:sz w:val="20"/>
          <w:szCs w:val="20"/>
          <w:color w:val="auto"/>
        </w:rPr>
        <w:t>To remove from registration by means of a post-effective amendment any of the securities being registered which remain unsold at the termination of the offering.</w:t>
      </w:r>
    </w:p>
    <w:p>
      <w:pPr>
        <w:spacing w:after="0" w:line="176" w:lineRule="exact"/>
        <w:rPr>
          <w:rFonts w:ascii="Arial" w:cs="Arial" w:eastAsia="Arial" w:hAnsi="Arial"/>
          <w:sz w:val="20"/>
          <w:szCs w:val="20"/>
          <w:color w:val="auto"/>
        </w:rPr>
      </w:pPr>
    </w:p>
    <w:p>
      <w:pPr>
        <w:ind w:right="20" w:firstLine="332"/>
        <w:spacing w:after="0" w:line="260" w:lineRule="auto"/>
        <w:tabs>
          <w:tab w:leader="none" w:pos="735"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420"/>
          </w:cols>
          <w:pgMar w:left="240" w:top="792" w:right="239" w:bottom="1440" w:gutter="0" w:footer="0" w:header="0"/>
        </w:sectPr>
      </w:pPr>
    </w:p>
    <w:bookmarkStart w:id="3" w:name="page4"/>
    <w:bookmarkEnd w:id="3"/>
    <w:p>
      <w:pPr>
        <w:ind w:left="-332" w:firstLine="332"/>
        <w:spacing w:after="0" w:line="273" w:lineRule="auto"/>
        <w:tabs>
          <w:tab w:leader="none" w:pos="39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68"/>
          </w:cols>
          <w:pgMar w:left="572" w:top="798" w:right="25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20"/>
          <w:szCs w:val="20"/>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October 2019.</w:t>
      </w:r>
    </w:p>
    <w:p>
      <w:pPr>
        <w:spacing w:after="0" w:line="274"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MICRON TECHNOLOGY, INC.</w:t>
      </w:r>
    </w:p>
    <w:p>
      <w:pPr>
        <w:spacing w:after="0" w:line="351" w:lineRule="exact"/>
        <w:rPr>
          <w:sz w:val="20"/>
          <w:szCs w:val="20"/>
          <w:color w:val="auto"/>
        </w:rPr>
      </w:pPr>
    </w:p>
    <w:p>
      <w:pPr>
        <w:ind w:left="6500"/>
        <w:spacing w:after="0"/>
        <w:rPr>
          <w:sz w:val="20"/>
          <w:szCs w:val="20"/>
          <w:color w:val="auto"/>
        </w:rPr>
      </w:pPr>
      <w:r>
        <w:rPr>
          <w:rFonts w:ascii="Arial" w:cs="Arial" w:eastAsia="Arial" w:hAnsi="Arial"/>
          <w:sz w:val="20"/>
          <w:szCs w:val="20"/>
          <w:i w:val="1"/>
          <w:iCs w:val="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27305</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47"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By: Sanjay Mehrotra</w:t>
      </w:r>
    </w:p>
    <w:p>
      <w:pPr>
        <w:spacing w:after="0" w:line="5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 and Director</w:t>
      </w:r>
    </w:p>
    <w:p>
      <w:pPr>
        <w:spacing w:after="0" w:line="200" w:lineRule="exact"/>
        <w:rPr>
          <w:sz w:val="20"/>
          <w:szCs w:val="20"/>
          <w:color w:val="auto"/>
        </w:rPr>
      </w:pPr>
    </w:p>
    <w:p>
      <w:pPr>
        <w:spacing w:after="0" w:line="241" w:lineRule="exact"/>
        <w:rPr>
          <w:sz w:val="20"/>
          <w:szCs w:val="20"/>
          <w:color w:val="auto"/>
        </w:rPr>
      </w:pPr>
    </w:p>
    <w:p>
      <w:pPr>
        <w:ind w:left="6500"/>
        <w:spacing w:after="0"/>
        <w:rPr>
          <w:sz w:val="20"/>
          <w:szCs w:val="20"/>
          <w:color w:val="auto"/>
        </w:rPr>
      </w:pPr>
      <w:r>
        <w:rPr>
          <w:rFonts w:ascii="Arial" w:cs="Arial" w:eastAsia="Arial" w:hAnsi="Arial"/>
          <w:sz w:val="20"/>
          <w:szCs w:val="20"/>
          <w:i w:val="1"/>
          <w:iCs w:val="1"/>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27305</wp:posOffset>
            </wp:positionV>
            <wp:extent cx="3147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47"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By: David A. Zinsner</w:t>
      </w:r>
    </w:p>
    <w:p>
      <w:pPr>
        <w:spacing w:after="0" w:line="54" w:lineRule="exact"/>
        <w:rPr>
          <w:sz w:val="20"/>
          <w:szCs w:val="20"/>
          <w:color w:val="auto"/>
        </w:rPr>
      </w:pPr>
    </w:p>
    <w:p>
      <w:pPr>
        <w:ind w:left="6900"/>
        <w:spacing w:after="0"/>
        <w:rPr>
          <w:sz w:val="20"/>
          <w:szCs w:val="20"/>
          <w:color w:val="auto"/>
        </w:rPr>
      </w:pPr>
      <w:r>
        <w:rPr>
          <w:rFonts w:ascii="Arial" w:cs="Arial" w:eastAsia="Arial" w:hAnsi="Arial"/>
          <w:sz w:val="19"/>
          <w:szCs w:val="19"/>
          <w:color w:val="auto"/>
        </w:rPr>
        <w:t>Senior Vice President and Chief Financial Officer</w:t>
      </w:r>
    </w:p>
    <w:p>
      <w:pPr>
        <w:sectPr>
          <w:pgSz w:w="11900" w:h="16838" w:orient="portrait"/>
          <w:cols w:equalWidth="0" w:num="1">
            <w:col w:w="11120"/>
          </w:cols>
          <w:pgMar w:left="240" w:top="576" w:right="5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35" w:lineRule="exact"/>
        <w:rPr>
          <w:sz w:val="20"/>
          <w:szCs w:val="20"/>
          <w:color w:val="auto"/>
        </w:rPr>
      </w:pPr>
    </w:p>
    <w:p>
      <w:pPr>
        <w:ind w:right="480" w:firstLine="324"/>
        <w:spacing w:after="0" w:line="260" w:lineRule="auto"/>
        <w:rPr>
          <w:sz w:val="20"/>
          <w:szCs w:val="20"/>
          <w:color w:val="auto"/>
        </w:rPr>
      </w:pPr>
      <w:r>
        <w:rPr>
          <w:rFonts w:ascii="Arial" w:cs="Arial" w:eastAsia="Arial" w:hAnsi="Arial"/>
          <w:sz w:val="19"/>
          <w:szCs w:val="19"/>
          <w:color w:val="auto"/>
        </w:rPr>
        <w:t>Each person whose signature appears below constitutes and appoints Sanjay Mehrotra and David A. Zinsner, jointly and severally, his attorneys-in-fact, each with the power of substitution, for him in any and all capacities, to sign any amendments (including post-effective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94" w:lineRule="exact"/>
        <w:rPr>
          <w:sz w:val="20"/>
          <w:szCs w:val="20"/>
          <w:color w:val="auto"/>
        </w:rPr>
      </w:pPr>
    </w:p>
    <w:p>
      <w:pPr>
        <w:ind w:right="560" w:firstLine="324"/>
        <w:spacing w:after="0" w:line="260" w:lineRule="auto"/>
        <w:rPr>
          <w:sz w:val="20"/>
          <w:szCs w:val="20"/>
          <w:color w:val="auto"/>
        </w:rPr>
      </w:pPr>
      <w:r>
        <w:rPr>
          <w:rFonts w:ascii="Arial" w:cs="Arial" w:eastAsia="Arial" w:hAnsi="Arial"/>
          <w:sz w:val="20"/>
          <w:szCs w:val="20"/>
          <w:color w:val="auto"/>
        </w:rPr>
        <w:t>Pursuant to the requirements of the Securities Act of 1933, as amended, this Registration Statement has been signed by the following persons in the capacities and on the date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340" w:type="dxa"/>
            <w:vAlign w:val="bottom"/>
          </w:tcPr>
          <w:p>
            <w:pPr>
              <w:jc w:val="center"/>
              <w:spacing w:after="0"/>
              <w:rPr>
                <w:sz w:val="20"/>
                <w:szCs w:val="20"/>
                <w:color w:val="auto"/>
              </w:rPr>
            </w:pPr>
            <w:r>
              <w:rPr>
                <w:rFonts w:ascii="Arial" w:cs="Arial" w:eastAsia="Arial" w:hAnsi="Arial"/>
                <w:sz w:val="20"/>
                <w:szCs w:val="20"/>
                <w:b w:val="1"/>
                <w:bCs w:val="1"/>
                <w:color w:val="auto"/>
                <w:w w:val="88"/>
              </w:rPr>
              <w:t>Signature</w:t>
            </w:r>
          </w:p>
        </w:tc>
        <w:tc>
          <w:tcPr>
            <w:tcW w:w="120" w:type="dxa"/>
            <w:vAlign w:val="bottom"/>
          </w:tcPr>
          <w:p>
            <w:pPr>
              <w:spacing w:after="0"/>
              <w:rPr>
                <w:sz w:val="22"/>
                <w:szCs w:val="22"/>
                <w:color w:val="auto"/>
              </w:rPr>
            </w:pPr>
          </w:p>
        </w:tc>
        <w:tc>
          <w:tcPr>
            <w:tcW w:w="5800" w:type="dxa"/>
            <w:vAlign w:val="bottom"/>
            <w:gridSpan w:val="2"/>
          </w:tcPr>
          <w:p>
            <w:pPr>
              <w:ind w:left="2640"/>
              <w:spacing w:after="0"/>
              <w:rPr>
                <w:sz w:val="20"/>
                <w:szCs w:val="20"/>
                <w:color w:val="auto"/>
              </w:rPr>
            </w:pPr>
            <w:r>
              <w:rPr>
                <w:rFonts w:ascii="Arial" w:cs="Arial" w:eastAsia="Arial" w:hAnsi="Arial"/>
                <w:sz w:val="20"/>
                <w:szCs w:val="20"/>
                <w:b w:val="1"/>
                <w:bCs w:val="1"/>
                <w:color w:val="auto"/>
              </w:rPr>
              <w:t>Title</w:t>
            </w:r>
          </w:p>
        </w:tc>
        <w:tc>
          <w:tcPr>
            <w:tcW w:w="2160" w:type="dxa"/>
            <w:vAlign w:val="bottom"/>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4"/>
        </w:trPr>
        <w:tc>
          <w:tcPr>
            <w:tcW w:w="3340" w:type="dxa"/>
            <w:vAlign w:val="bottom"/>
          </w:tcPr>
          <w:p>
            <w:pPr>
              <w:ind w:left="40"/>
              <w:spacing w:after="0"/>
              <w:rPr>
                <w:sz w:val="20"/>
                <w:szCs w:val="20"/>
                <w:color w:val="auto"/>
              </w:rPr>
            </w:pPr>
            <w:r>
              <w:rPr>
                <w:rFonts w:ascii="Arial" w:cs="Arial" w:eastAsia="Arial" w:hAnsi="Arial"/>
                <w:sz w:val="20"/>
                <w:szCs w:val="20"/>
                <w:i w:val="1"/>
                <w:iCs w:val="1"/>
                <w:color w:val="auto"/>
              </w:rPr>
              <w:t>/s/ Sanjay Mehrotra</w:t>
            </w:r>
          </w:p>
        </w:tc>
        <w:tc>
          <w:tcPr>
            <w:tcW w:w="12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October 28, 2019</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4"/>
        </w:trPr>
        <w:tc>
          <w:tcPr>
            <w:tcW w:w="3340" w:type="dxa"/>
            <w:vAlign w:val="bottom"/>
          </w:tcPr>
          <w:p>
            <w:pPr>
              <w:jc w:val="center"/>
              <w:spacing w:after="0"/>
              <w:rPr>
                <w:sz w:val="20"/>
                <w:szCs w:val="20"/>
                <w:color w:val="auto"/>
              </w:rPr>
            </w:pPr>
            <w:r>
              <w:rPr>
                <w:rFonts w:ascii="Arial" w:cs="Arial" w:eastAsia="Arial" w:hAnsi="Arial"/>
                <w:sz w:val="20"/>
                <w:szCs w:val="20"/>
                <w:color w:val="auto"/>
                <w:w w:val="91"/>
              </w:rPr>
              <w:t>Sanjay Mehrotra</w:t>
            </w:r>
          </w:p>
        </w:tc>
        <w:tc>
          <w:tcPr>
            <w:tcW w:w="120" w:type="dxa"/>
            <w:vAlign w:val="bottom"/>
          </w:tcPr>
          <w:p>
            <w:pPr>
              <w:spacing w:after="0"/>
              <w:rPr>
                <w:sz w:val="22"/>
                <w:szCs w:val="22"/>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President and Chief Executive Officer and Director</w:t>
            </w:r>
          </w:p>
        </w:tc>
        <w:tc>
          <w:tcPr>
            <w:tcW w:w="2160" w:type="dxa"/>
            <w:vAlign w:val="bottom"/>
          </w:tcPr>
          <w:p>
            <w:pPr>
              <w:spacing w:after="0"/>
              <w:rPr>
                <w:sz w:val="22"/>
                <w:szCs w:val="22"/>
                <w:color w:val="auto"/>
              </w:rPr>
            </w:pPr>
          </w:p>
        </w:tc>
      </w:tr>
      <w:tr>
        <w:trPr>
          <w:trHeight w:val="28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(Principal Executive Officer)</w:t>
            </w:r>
          </w:p>
        </w:tc>
        <w:tc>
          <w:tcPr>
            <w:tcW w:w="2160" w:type="dxa"/>
            <w:vAlign w:val="bottom"/>
          </w:tcPr>
          <w:p>
            <w:pPr>
              <w:spacing w:after="0"/>
              <w:rPr>
                <w:sz w:val="24"/>
                <w:szCs w:val="24"/>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20"/>
                <w:szCs w:val="20"/>
                <w:i w:val="1"/>
                <w:iCs w:val="1"/>
                <w:color w:val="auto"/>
              </w:rPr>
              <w:t>/s/ David A. Zinsner</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October 28, 2019</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4"/>
        </w:trPr>
        <w:tc>
          <w:tcPr>
            <w:tcW w:w="3340" w:type="dxa"/>
            <w:vAlign w:val="bottom"/>
          </w:tcPr>
          <w:p>
            <w:pPr>
              <w:jc w:val="center"/>
              <w:spacing w:after="0"/>
              <w:rPr>
                <w:sz w:val="20"/>
                <w:szCs w:val="20"/>
                <w:color w:val="auto"/>
              </w:rPr>
            </w:pPr>
            <w:r>
              <w:rPr>
                <w:rFonts w:ascii="Arial" w:cs="Arial" w:eastAsia="Arial" w:hAnsi="Arial"/>
                <w:sz w:val="20"/>
                <w:szCs w:val="20"/>
                <w:color w:val="auto"/>
                <w:w w:val="93"/>
              </w:rPr>
              <w:t>David A. Zinsner</w:t>
            </w:r>
          </w:p>
        </w:tc>
        <w:tc>
          <w:tcPr>
            <w:tcW w:w="120" w:type="dxa"/>
            <w:vAlign w:val="bottom"/>
          </w:tcPr>
          <w:p>
            <w:pPr>
              <w:spacing w:after="0"/>
              <w:rPr>
                <w:sz w:val="22"/>
                <w:szCs w:val="22"/>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Senior Vice President and Chief Financial Officer</w:t>
            </w:r>
          </w:p>
        </w:tc>
        <w:tc>
          <w:tcPr>
            <w:tcW w:w="2160" w:type="dxa"/>
            <w:vAlign w:val="bottom"/>
          </w:tcPr>
          <w:p>
            <w:pPr>
              <w:spacing w:after="0"/>
              <w:rPr>
                <w:sz w:val="22"/>
                <w:szCs w:val="22"/>
                <w:color w:val="auto"/>
              </w:rPr>
            </w:pPr>
          </w:p>
        </w:tc>
      </w:tr>
      <w:tr>
        <w:trPr>
          <w:trHeight w:val="28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(Principal Financial Officer)</w:t>
            </w:r>
          </w:p>
        </w:tc>
        <w:tc>
          <w:tcPr>
            <w:tcW w:w="2160" w:type="dxa"/>
            <w:vAlign w:val="bottom"/>
          </w:tcPr>
          <w:p>
            <w:pPr>
              <w:spacing w:after="0"/>
              <w:rPr>
                <w:sz w:val="24"/>
                <w:szCs w:val="24"/>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20"/>
                <w:szCs w:val="20"/>
                <w:i w:val="1"/>
                <w:iCs w:val="1"/>
                <w:color w:val="auto"/>
              </w:rPr>
              <w:t>/s/ Paul Marosvari</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October 28, 2019</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4"/>
        </w:trPr>
        <w:tc>
          <w:tcPr>
            <w:tcW w:w="3340" w:type="dxa"/>
            <w:vAlign w:val="bottom"/>
          </w:tcPr>
          <w:p>
            <w:pPr>
              <w:jc w:val="center"/>
              <w:spacing w:after="0"/>
              <w:rPr>
                <w:sz w:val="20"/>
                <w:szCs w:val="20"/>
                <w:color w:val="auto"/>
              </w:rPr>
            </w:pPr>
            <w:r>
              <w:rPr>
                <w:rFonts w:ascii="Arial" w:cs="Arial" w:eastAsia="Arial" w:hAnsi="Arial"/>
                <w:sz w:val="20"/>
                <w:szCs w:val="20"/>
                <w:color w:val="auto"/>
                <w:w w:val="91"/>
              </w:rPr>
              <w:t>Paul Marosvari</w:t>
            </w:r>
          </w:p>
        </w:tc>
        <w:tc>
          <w:tcPr>
            <w:tcW w:w="120" w:type="dxa"/>
            <w:vAlign w:val="bottom"/>
          </w:tcPr>
          <w:p>
            <w:pPr>
              <w:spacing w:after="0"/>
              <w:rPr>
                <w:sz w:val="22"/>
                <w:szCs w:val="22"/>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Vice President and Chief Accounting Officer</w:t>
            </w:r>
          </w:p>
        </w:tc>
        <w:tc>
          <w:tcPr>
            <w:tcW w:w="2160" w:type="dxa"/>
            <w:vAlign w:val="bottom"/>
          </w:tcPr>
          <w:p>
            <w:pPr>
              <w:spacing w:after="0"/>
              <w:rPr>
                <w:sz w:val="22"/>
                <w:szCs w:val="22"/>
                <w:color w:val="auto"/>
              </w:rPr>
            </w:pPr>
          </w:p>
        </w:tc>
      </w:tr>
      <w:tr>
        <w:trPr>
          <w:trHeight w:val="28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(Principal Accounting Officer)</w:t>
            </w:r>
          </w:p>
        </w:tc>
        <w:tc>
          <w:tcPr>
            <w:tcW w:w="2160" w:type="dxa"/>
            <w:vAlign w:val="bottom"/>
          </w:tcPr>
          <w:p>
            <w:pPr>
              <w:spacing w:after="0"/>
              <w:rPr>
                <w:sz w:val="24"/>
                <w:szCs w:val="24"/>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20"/>
                <w:szCs w:val="20"/>
                <w:i w:val="1"/>
                <w:iCs w:val="1"/>
                <w:color w:val="auto"/>
              </w:rPr>
              <w:t>/s/ Robert E. Switz</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October 28, 2019</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4"/>
        </w:trPr>
        <w:tc>
          <w:tcPr>
            <w:tcW w:w="3340" w:type="dxa"/>
            <w:vAlign w:val="bottom"/>
          </w:tcPr>
          <w:p>
            <w:pPr>
              <w:jc w:val="center"/>
              <w:spacing w:after="0"/>
              <w:rPr>
                <w:sz w:val="20"/>
                <w:szCs w:val="20"/>
                <w:color w:val="auto"/>
              </w:rPr>
            </w:pPr>
            <w:r>
              <w:rPr>
                <w:rFonts w:ascii="Arial" w:cs="Arial" w:eastAsia="Arial" w:hAnsi="Arial"/>
                <w:sz w:val="20"/>
                <w:szCs w:val="20"/>
                <w:color w:val="auto"/>
                <w:w w:val="91"/>
              </w:rPr>
              <w:t>Robert E. Switz</w:t>
            </w:r>
          </w:p>
        </w:tc>
        <w:tc>
          <w:tcPr>
            <w:tcW w:w="120" w:type="dxa"/>
            <w:vAlign w:val="bottom"/>
          </w:tcPr>
          <w:p>
            <w:pPr>
              <w:spacing w:after="0"/>
              <w:rPr>
                <w:sz w:val="22"/>
                <w:szCs w:val="22"/>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Chairman of the Board</w:t>
            </w:r>
          </w:p>
        </w:tc>
        <w:tc>
          <w:tcPr>
            <w:tcW w:w="2160" w:type="dxa"/>
            <w:vAlign w:val="bottom"/>
          </w:tcPr>
          <w:p>
            <w:pPr>
              <w:spacing w:after="0"/>
              <w:rPr>
                <w:sz w:val="22"/>
                <w:szCs w:val="22"/>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20"/>
                <w:szCs w:val="20"/>
                <w:i w:val="1"/>
                <w:iCs w:val="1"/>
                <w:color w:val="auto"/>
              </w:rPr>
              <w:t>/s/ Robert L. Bailey</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October 28, 2019</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4"/>
        </w:trPr>
        <w:tc>
          <w:tcPr>
            <w:tcW w:w="3340" w:type="dxa"/>
            <w:vAlign w:val="bottom"/>
          </w:tcPr>
          <w:p>
            <w:pPr>
              <w:jc w:val="center"/>
              <w:spacing w:after="0"/>
              <w:rPr>
                <w:sz w:val="20"/>
                <w:szCs w:val="20"/>
                <w:color w:val="auto"/>
              </w:rPr>
            </w:pPr>
            <w:r>
              <w:rPr>
                <w:rFonts w:ascii="Arial" w:cs="Arial" w:eastAsia="Arial" w:hAnsi="Arial"/>
                <w:sz w:val="20"/>
                <w:szCs w:val="20"/>
                <w:color w:val="auto"/>
                <w:w w:val="94"/>
              </w:rPr>
              <w:t>Robert L. Bailey</w:t>
            </w:r>
          </w:p>
        </w:tc>
        <w:tc>
          <w:tcPr>
            <w:tcW w:w="120" w:type="dxa"/>
            <w:vAlign w:val="bottom"/>
          </w:tcPr>
          <w:p>
            <w:pPr>
              <w:spacing w:after="0"/>
              <w:rPr>
                <w:sz w:val="22"/>
                <w:szCs w:val="22"/>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160" w:type="dxa"/>
            <w:vAlign w:val="bottom"/>
          </w:tcPr>
          <w:p>
            <w:pPr>
              <w:spacing w:after="0"/>
              <w:rPr>
                <w:sz w:val="22"/>
                <w:szCs w:val="22"/>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20"/>
                <w:szCs w:val="20"/>
                <w:i w:val="1"/>
                <w:iCs w:val="1"/>
                <w:color w:val="auto"/>
              </w:rPr>
              <w:t>/s/ Richard M. Beyer</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October 28, 2019</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4"/>
        </w:trPr>
        <w:tc>
          <w:tcPr>
            <w:tcW w:w="3340" w:type="dxa"/>
            <w:vAlign w:val="bottom"/>
          </w:tcPr>
          <w:p>
            <w:pPr>
              <w:jc w:val="center"/>
              <w:spacing w:after="0"/>
              <w:rPr>
                <w:sz w:val="20"/>
                <w:szCs w:val="20"/>
                <w:color w:val="auto"/>
              </w:rPr>
            </w:pPr>
            <w:r>
              <w:rPr>
                <w:rFonts w:ascii="Arial" w:cs="Arial" w:eastAsia="Arial" w:hAnsi="Arial"/>
                <w:sz w:val="20"/>
                <w:szCs w:val="20"/>
                <w:color w:val="auto"/>
                <w:w w:val="91"/>
              </w:rPr>
              <w:t>Richard M. Beyer</w:t>
            </w:r>
          </w:p>
        </w:tc>
        <w:tc>
          <w:tcPr>
            <w:tcW w:w="120" w:type="dxa"/>
            <w:vAlign w:val="bottom"/>
          </w:tcPr>
          <w:p>
            <w:pPr>
              <w:spacing w:after="0"/>
              <w:rPr>
                <w:sz w:val="22"/>
                <w:szCs w:val="22"/>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160" w:type="dxa"/>
            <w:vAlign w:val="bottom"/>
          </w:tcPr>
          <w:p>
            <w:pPr>
              <w:spacing w:after="0"/>
              <w:rPr>
                <w:sz w:val="22"/>
                <w:szCs w:val="22"/>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20"/>
                <w:szCs w:val="20"/>
                <w:i w:val="1"/>
                <w:iCs w:val="1"/>
                <w:color w:val="auto"/>
              </w:rPr>
              <w:t>/s/ Patrick J. Byrne</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October 28, 2019</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4"/>
        </w:trPr>
        <w:tc>
          <w:tcPr>
            <w:tcW w:w="3340" w:type="dxa"/>
            <w:vAlign w:val="bottom"/>
          </w:tcPr>
          <w:p>
            <w:pPr>
              <w:jc w:val="center"/>
              <w:spacing w:after="0"/>
              <w:rPr>
                <w:sz w:val="20"/>
                <w:szCs w:val="20"/>
                <w:color w:val="auto"/>
              </w:rPr>
            </w:pPr>
            <w:r>
              <w:rPr>
                <w:rFonts w:ascii="Arial" w:cs="Arial" w:eastAsia="Arial" w:hAnsi="Arial"/>
                <w:sz w:val="20"/>
                <w:szCs w:val="20"/>
                <w:color w:val="auto"/>
                <w:w w:val="89"/>
              </w:rPr>
              <w:t>Patrick J. Byrne</w:t>
            </w:r>
          </w:p>
        </w:tc>
        <w:tc>
          <w:tcPr>
            <w:tcW w:w="120" w:type="dxa"/>
            <w:vAlign w:val="bottom"/>
          </w:tcPr>
          <w:p>
            <w:pPr>
              <w:spacing w:after="0"/>
              <w:rPr>
                <w:sz w:val="22"/>
                <w:szCs w:val="22"/>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160" w:type="dxa"/>
            <w:vAlign w:val="bottom"/>
          </w:tcPr>
          <w:p>
            <w:pPr>
              <w:spacing w:after="0"/>
              <w:rPr>
                <w:sz w:val="22"/>
                <w:szCs w:val="22"/>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20"/>
                <w:szCs w:val="20"/>
                <w:i w:val="1"/>
                <w:iCs w:val="1"/>
                <w:color w:val="auto"/>
              </w:rPr>
              <w:t>/s/ Steven J. Gomo</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October 28, 2019</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4"/>
        </w:trPr>
        <w:tc>
          <w:tcPr>
            <w:tcW w:w="3340" w:type="dxa"/>
            <w:vAlign w:val="bottom"/>
          </w:tcPr>
          <w:p>
            <w:pPr>
              <w:jc w:val="center"/>
              <w:spacing w:after="0"/>
              <w:rPr>
                <w:sz w:val="20"/>
                <w:szCs w:val="20"/>
                <w:color w:val="auto"/>
              </w:rPr>
            </w:pPr>
            <w:r>
              <w:rPr>
                <w:rFonts w:ascii="Arial" w:cs="Arial" w:eastAsia="Arial" w:hAnsi="Arial"/>
                <w:sz w:val="20"/>
                <w:szCs w:val="20"/>
                <w:color w:val="auto"/>
                <w:w w:val="87"/>
              </w:rPr>
              <w:t>Steven J. Gomo</w:t>
            </w:r>
          </w:p>
        </w:tc>
        <w:tc>
          <w:tcPr>
            <w:tcW w:w="120" w:type="dxa"/>
            <w:vAlign w:val="bottom"/>
          </w:tcPr>
          <w:p>
            <w:pPr>
              <w:spacing w:after="0"/>
              <w:rPr>
                <w:sz w:val="22"/>
                <w:szCs w:val="22"/>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160" w:type="dxa"/>
            <w:vAlign w:val="bottom"/>
          </w:tcPr>
          <w:p>
            <w:pPr>
              <w:spacing w:after="0"/>
              <w:rPr>
                <w:sz w:val="22"/>
                <w:szCs w:val="22"/>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20"/>
                <w:szCs w:val="20"/>
                <w:i w:val="1"/>
                <w:iCs w:val="1"/>
                <w:color w:val="auto"/>
              </w:rPr>
              <w:t>/s/ Mary Pat McCarthy</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October 28, 2019</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4"/>
        </w:trPr>
        <w:tc>
          <w:tcPr>
            <w:tcW w:w="3340" w:type="dxa"/>
            <w:vAlign w:val="bottom"/>
          </w:tcPr>
          <w:p>
            <w:pPr>
              <w:jc w:val="center"/>
              <w:spacing w:after="0"/>
              <w:rPr>
                <w:sz w:val="20"/>
                <w:szCs w:val="20"/>
                <w:color w:val="auto"/>
              </w:rPr>
            </w:pPr>
            <w:r>
              <w:rPr>
                <w:rFonts w:ascii="Arial" w:cs="Arial" w:eastAsia="Arial" w:hAnsi="Arial"/>
                <w:sz w:val="20"/>
                <w:szCs w:val="20"/>
                <w:color w:val="auto"/>
                <w:w w:val="92"/>
              </w:rPr>
              <w:t>Mary Pat McCarthy</w:t>
            </w:r>
          </w:p>
        </w:tc>
        <w:tc>
          <w:tcPr>
            <w:tcW w:w="120" w:type="dxa"/>
            <w:vAlign w:val="bottom"/>
          </w:tcPr>
          <w:p>
            <w:pPr>
              <w:spacing w:after="0"/>
              <w:rPr>
                <w:sz w:val="22"/>
                <w:szCs w:val="22"/>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160" w:type="dxa"/>
            <w:vAlign w:val="bottom"/>
          </w:tcPr>
          <w:p>
            <w:pPr>
              <w:spacing w:after="0"/>
              <w:rPr>
                <w:sz w:val="22"/>
                <w:szCs w:val="22"/>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20"/>
                <w:szCs w:val="20"/>
                <w:i w:val="1"/>
                <w:iCs w:val="1"/>
                <w:color w:val="auto"/>
              </w:rPr>
              <w:t>/s/ MaryAnn Wright</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October 28, 2019</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4"/>
        </w:trPr>
        <w:tc>
          <w:tcPr>
            <w:tcW w:w="3340" w:type="dxa"/>
            <w:vAlign w:val="bottom"/>
          </w:tcPr>
          <w:p>
            <w:pPr>
              <w:jc w:val="center"/>
              <w:spacing w:after="0"/>
              <w:rPr>
                <w:sz w:val="20"/>
                <w:szCs w:val="20"/>
                <w:color w:val="auto"/>
              </w:rPr>
            </w:pPr>
            <w:r>
              <w:rPr>
                <w:rFonts w:ascii="Arial" w:cs="Arial" w:eastAsia="Arial" w:hAnsi="Arial"/>
                <w:sz w:val="20"/>
                <w:szCs w:val="20"/>
                <w:color w:val="auto"/>
                <w:w w:val="96"/>
              </w:rPr>
              <w:t>MaryAnn Wright</w:t>
            </w:r>
          </w:p>
        </w:tc>
        <w:tc>
          <w:tcPr>
            <w:tcW w:w="120" w:type="dxa"/>
            <w:vAlign w:val="bottom"/>
          </w:tcPr>
          <w:p>
            <w:pPr>
              <w:spacing w:after="0"/>
              <w:rPr>
                <w:sz w:val="22"/>
                <w:szCs w:val="22"/>
                <w:color w:val="auto"/>
              </w:rPr>
            </w:pPr>
          </w:p>
        </w:tc>
        <w:tc>
          <w:tcPr>
            <w:tcW w:w="580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160" w:type="dxa"/>
            <w:vAlign w:val="bottom"/>
          </w:tcPr>
          <w:p>
            <w:pPr>
              <w:spacing w:after="0"/>
              <w:rPr>
                <w:sz w:val="22"/>
                <w:szCs w:val="22"/>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jc w:val="center"/>
        <w:ind w:right="-319"/>
        <w:spacing w:after="0"/>
        <w:rPr>
          <w:sz w:val="20"/>
          <w:szCs w:val="20"/>
          <w:color w:val="auto"/>
        </w:rPr>
      </w:pPr>
      <w:r>
        <w:rPr>
          <w:rFonts w:ascii="Arial" w:cs="Arial" w:eastAsia="Arial" w:hAnsi="Arial"/>
          <w:sz w:val="22"/>
          <w:szCs w:val="22"/>
          <w:b w:val="1"/>
          <w:bCs w:val="1"/>
          <w:color w:val="auto"/>
        </w:rPr>
        <w:t>EXHIBIT INDEX</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ind w:left="40"/>
              <w:spacing w:after="0"/>
              <w:rPr>
                <w:sz w:val="20"/>
                <w:szCs w:val="20"/>
                <w:color w:val="auto"/>
              </w:rPr>
            </w:pPr>
            <w:r>
              <w:rPr>
                <w:rFonts w:ascii="Arial" w:cs="Arial" w:eastAsia="Arial" w:hAnsi="Arial"/>
                <w:sz w:val="16"/>
                <w:szCs w:val="16"/>
                <w:b w:val="1"/>
                <w:bCs w:val="1"/>
                <w:color w:val="auto"/>
              </w:rPr>
              <w:t>Exhibit</w:t>
            </w: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center"/>
              <w:ind w:left="333"/>
              <w:spacing w:after="0"/>
              <w:rPr>
                <w:sz w:val="20"/>
                <w:szCs w:val="20"/>
                <w:color w:val="auto"/>
              </w:rPr>
            </w:pPr>
            <w:r>
              <w:rPr>
                <w:rFonts w:ascii="Arial" w:cs="Arial" w:eastAsia="Arial" w:hAnsi="Arial"/>
                <w:sz w:val="16"/>
                <w:szCs w:val="16"/>
                <w:b w:val="1"/>
                <w:bCs w:val="1"/>
                <w:color w:val="auto"/>
                <w:w w:val="96"/>
              </w:rPr>
              <w:t>Filed</w:t>
            </w:r>
          </w:p>
        </w:tc>
        <w:tc>
          <w:tcPr>
            <w:tcW w:w="900" w:type="dxa"/>
            <w:vAlign w:val="bottom"/>
          </w:tcPr>
          <w:p>
            <w:pPr>
              <w:spacing w:after="0"/>
              <w:rPr>
                <w:sz w:val="17"/>
                <w:szCs w:val="17"/>
                <w:color w:val="auto"/>
              </w:rPr>
            </w:pPr>
          </w:p>
        </w:tc>
        <w:tc>
          <w:tcPr>
            <w:tcW w:w="940" w:type="dxa"/>
            <w:vAlign w:val="bottom"/>
          </w:tcPr>
          <w:p>
            <w:pPr>
              <w:jc w:val="center"/>
              <w:ind w:left="36"/>
              <w:spacing w:after="0"/>
              <w:rPr>
                <w:sz w:val="20"/>
                <w:szCs w:val="20"/>
                <w:color w:val="auto"/>
              </w:rPr>
            </w:pPr>
            <w:r>
              <w:rPr>
                <w:rFonts w:ascii="Arial" w:cs="Arial" w:eastAsia="Arial" w:hAnsi="Arial"/>
                <w:sz w:val="16"/>
                <w:szCs w:val="16"/>
                <w:b w:val="1"/>
                <w:bCs w:val="1"/>
                <w:color w:val="auto"/>
                <w:w w:val="92"/>
              </w:rPr>
              <w:t>Period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6"/>
              </w:rPr>
              <w:t>Exhibit/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Filing</w:t>
            </w:r>
          </w:p>
        </w:tc>
      </w:tr>
      <w:tr>
        <w:trPr>
          <w:trHeight w:val="210"/>
        </w:trPr>
        <w:tc>
          <w:tcPr>
            <w:tcW w:w="1260" w:type="dxa"/>
            <w:vAlign w:val="bottom"/>
          </w:tcPr>
          <w:p>
            <w:pPr>
              <w:ind w:left="40"/>
              <w:spacing w:after="0"/>
              <w:rPr>
                <w:sz w:val="20"/>
                <w:szCs w:val="20"/>
                <w:color w:val="auto"/>
              </w:rPr>
            </w:pPr>
            <w:r>
              <w:rPr>
                <w:rFonts w:ascii="Arial" w:cs="Arial" w:eastAsia="Arial" w:hAnsi="Arial"/>
                <w:sz w:val="16"/>
                <w:szCs w:val="16"/>
                <w:b w:val="1"/>
                <w:bCs w:val="1"/>
                <w:color w:val="auto"/>
              </w:rPr>
              <w:t>Number</w:t>
            </w:r>
          </w:p>
        </w:tc>
        <w:tc>
          <w:tcPr>
            <w:tcW w:w="4820" w:type="dxa"/>
            <w:vAlign w:val="bottom"/>
            <w:gridSpan w:val="6"/>
          </w:tcPr>
          <w:p>
            <w:pPr>
              <w:spacing w:after="0"/>
              <w:rPr>
                <w:sz w:val="20"/>
                <w:szCs w:val="20"/>
                <w:color w:val="auto"/>
              </w:rPr>
            </w:pPr>
            <w:r>
              <w:rPr>
                <w:rFonts w:ascii="Arial" w:cs="Arial" w:eastAsia="Arial" w:hAnsi="Arial"/>
                <w:sz w:val="16"/>
                <w:szCs w:val="16"/>
                <w:b w:val="1"/>
                <w:bCs w:val="1"/>
                <w:color w:val="auto"/>
              </w:rPr>
              <w:t>Description of Exhibit</w:t>
            </w:r>
          </w:p>
        </w:tc>
        <w:tc>
          <w:tcPr>
            <w:tcW w:w="1220" w:type="dxa"/>
            <w:vAlign w:val="bottom"/>
          </w:tcPr>
          <w:p>
            <w:pPr>
              <w:jc w:val="center"/>
              <w:ind w:left="333"/>
              <w:spacing w:after="0"/>
              <w:rPr>
                <w:sz w:val="20"/>
                <w:szCs w:val="20"/>
                <w:color w:val="auto"/>
              </w:rPr>
            </w:pPr>
            <w:r>
              <w:rPr>
                <w:rFonts w:ascii="Arial" w:cs="Arial" w:eastAsia="Arial" w:hAnsi="Arial"/>
                <w:sz w:val="16"/>
                <w:szCs w:val="16"/>
                <w:b w:val="1"/>
                <w:bCs w:val="1"/>
                <w:color w:val="auto"/>
                <w:w w:val="94"/>
              </w:rPr>
              <w:t>Herewith</w:t>
            </w:r>
          </w:p>
        </w:tc>
        <w:tc>
          <w:tcPr>
            <w:tcW w:w="900" w:type="dxa"/>
            <w:vAlign w:val="bottom"/>
          </w:tcPr>
          <w:p>
            <w:pPr>
              <w:ind w:left="340"/>
              <w:spacing w:after="0"/>
              <w:rPr>
                <w:sz w:val="20"/>
                <w:szCs w:val="20"/>
                <w:color w:val="auto"/>
              </w:rPr>
            </w:pPr>
            <w:r>
              <w:rPr>
                <w:rFonts w:ascii="Arial" w:cs="Arial" w:eastAsia="Arial" w:hAnsi="Arial"/>
                <w:sz w:val="16"/>
                <w:szCs w:val="16"/>
                <w:b w:val="1"/>
                <w:bCs w:val="1"/>
                <w:color w:val="auto"/>
              </w:rPr>
              <w:t>Form</w:t>
            </w:r>
          </w:p>
        </w:tc>
        <w:tc>
          <w:tcPr>
            <w:tcW w:w="940" w:type="dxa"/>
            <w:vAlign w:val="bottom"/>
          </w:tcPr>
          <w:p>
            <w:pPr>
              <w:jc w:val="center"/>
              <w:ind w:left="36"/>
              <w:spacing w:after="0"/>
              <w:rPr>
                <w:sz w:val="20"/>
                <w:szCs w:val="20"/>
                <w:color w:val="auto"/>
              </w:rPr>
            </w:pPr>
            <w:r>
              <w:rPr>
                <w:rFonts w:ascii="Arial" w:cs="Arial" w:eastAsia="Arial" w:hAnsi="Arial"/>
                <w:sz w:val="16"/>
                <w:szCs w:val="16"/>
                <w:b w:val="1"/>
                <w:bCs w:val="1"/>
                <w:color w:val="auto"/>
                <w:w w:val="92"/>
              </w:rPr>
              <w:t>Ending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Appendix</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33"/>
        </w:trPr>
        <w:tc>
          <w:tcPr>
            <w:tcW w:w="1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ind w:left="280"/>
              <w:spacing w:after="0" w:line="196" w:lineRule="exact"/>
              <w:rPr>
                <w:sz w:val="20"/>
                <w:szCs w:val="20"/>
                <w:color w:val="auto"/>
              </w:rPr>
            </w:pPr>
            <w:r>
              <w:rPr>
                <w:rFonts w:ascii="Arial" w:cs="Arial" w:eastAsia="Arial" w:hAnsi="Arial"/>
                <w:sz w:val="18"/>
                <w:szCs w:val="18"/>
                <w:color w:val="auto"/>
              </w:rPr>
              <w:t>4.1</w:t>
            </w:r>
          </w:p>
        </w:tc>
        <w:tc>
          <w:tcPr>
            <w:tcW w:w="21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Deferred Compensation Plan</w:t>
              </w:r>
            </w:hyperlink>
          </w:p>
        </w:tc>
        <w:tc>
          <w:tcPr>
            <w:tcW w:w="2720" w:type="dxa"/>
            <w:vAlign w:val="bottom"/>
            <w:gridSpan w:val="4"/>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10-Q</w:t>
            </w:r>
          </w:p>
        </w:tc>
        <w:tc>
          <w:tcPr>
            <w:tcW w:w="940" w:type="dxa"/>
            <w:vAlign w:val="bottom"/>
          </w:tcPr>
          <w:p>
            <w:pPr>
              <w:jc w:val="right"/>
              <w:ind w:right="236"/>
              <w:spacing w:after="0" w:line="196" w:lineRule="exact"/>
              <w:rPr>
                <w:sz w:val="20"/>
                <w:szCs w:val="20"/>
                <w:color w:val="auto"/>
              </w:rPr>
            </w:pPr>
            <w:r>
              <w:rPr>
                <w:rFonts w:ascii="Arial" w:cs="Arial" w:eastAsia="Arial" w:hAnsi="Arial"/>
                <w:sz w:val="18"/>
                <w:szCs w:val="18"/>
                <w:color w:val="auto"/>
              </w:rPr>
              <w:t>3/2/17</w:t>
            </w: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8"/>
              </w:rPr>
              <w:t>10.64</w:t>
            </w:r>
          </w:p>
        </w:tc>
        <w:tc>
          <w:tcPr>
            <w:tcW w:w="1060" w:type="dxa"/>
            <w:vAlign w:val="bottom"/>
          </w:tcPr>
          <w:p>
            <w:pPr>
              <w:jc w:val="right"/>
              <w:ind w:right="336"/>
              <w:spacing w:after="0" w:line="196" w:lineRule="exact"/>
              <w:rPr>
                <w:sz w:val="20"/>
                <w:szCs w:val="20"/>
                <w:color w:val="auto"/>
              </w:rPr>
            </w:pPr>
            <w:r>
              <w:rPr>
                <w:rFonts w:ascii="Arial" w:cs="Arial" w:eastAsia="Arial" w:hAnsi="Arial"/>
                <w:sz w:val="18"/>
                <w:szCs w:val="18"/>
                <w:color w:val="auto"/>
              </w:rPr>
              <w:t>3/28/17</w:t>
            </w:r>
          </w:p>
        </w:tc>
      </w:tr>
      <w:tr>
        <w:trPr>
          <w:trHeight w:val="250"/>
        </w:trPr>
        <w:tc>
          <w:tcPr>
            <w:tcW w:w="1260" w:type="dxa"/>
            <w:vAlign w:val="bottom"/>
          </w:tcPr>
          <w:p>
            <w:pPr>
              <w:ind w:left="280"/>
              <w:spacing w:after="0"/>
              <w:rPr>
                <w:sz w:val="20"/>
                <w:szCs w:val="20"/>
                <w:color w:val="auto"/>
              </w:rPr>
            </w:pPr>
            <w:r>
              <w:rPr>
                <w:rFonts w:ascii="Arial" w:cs="Arial" w:eastAsia="Arial" w:hAnsi="Arial"/>
                <w:sz w:val="18"/>
                <w:szCs w:val="18"/>
                <w:color w:val="auto"/>
              </w:rPr>
              <w:t>5.1</w:t>
            </w:r>
          </w:p>
        </w:tc>
        <w:tc>
          <w:tcPr>
            <w:tcW w:w="4820" w:type="dxa"/>
            <w:vAlign w:val="bottom"/>
            <w:gridSpan w:val="6"/>
          </w:tcPr>
          <w:p>
            <w:pPr>
              <w:spacing w:after="0"/>
              <w:rPr>
                <w:sz w:val="20"/>
                <w:szCs w:val="20"/>
                <w:color w:val="auto"/>
              </w:rPr>
            </w:pPr>
            <w:r>
              <w:rPr>
                <w:rFonts w:ascii="Arial" w:cs="Arial" w:eastAsia="Arial" w:hAnsi="Arial"/>
                <w:sz w:val="18"/>
                <w:szCs w:val="18"/>
                <w:color w:val="0000FF"/>
              </w:rPr>
              <w:t>Opinion of Counsel</w:t>
            </w:r>
          </w:p>
        </w:tc>
        <w:tc>
          <w:tcPr>
            <w:tcW w:w="1220" w:type="dxa"/>
            <w:vAlign w:val="bottom"/>
          </w:tcPr>
          <w:p>
            <w:pPr>
              <w:jc w:val="center"/>
              <w:ind w:left="333"/>
              <w:spacing w:after="0"/>
              <w:rPr>
                <w:sz w:val="20"/>
                <w:szCs w:val="20"/>
                <w:color w:val="auto"/>
              </w:rPr>
            </w:pPr>
            <w:r>
              <w:rPr>
                <w:rFonts w:ascii="Arial" w:cs="Arial" w:eastAsia="Arial" w:hAnsi="Arial"/>
                <w:sz w:val="18"/>
                <w:szCs w:val="18"/>
                <w:color w:val="auto"/>
                <w:w w:val="79"/>
              </w:rPr>
              <w:t>ü</w:t>
            </w: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260" w:type="dxa"/>
            <w:vAlign w:val="bottom"/>
          </w:tcPr>
          <w:p>
            <w:pPr>
              <w:ind w:left="280"/>
              <w:spacing w:after="0"/>
              <w:rPr>
                <w:sz w:val="20"/>
                <w:szCs w:val="20"/>
                <w:color w:val="auto"/>
              </w:rPr>
            </w:pPr>
            <w:r>
              <w:rPr>
                <w:rFonts w:ascii="Arial" w:cs="Arial" w:eastAsia="Arial" w:hAnsi="Arial"/>
                <w:sz w:val="18"/>
                <w:szCs w:val="18"/>
                <w:color w:val="auto"/>
              </w:rPr>
              <w:t>23.1</w:t>
            </w:r>
          </w:p>
        </w:tc>
        <w:tc>
          <w:tcPr>
            <w:tcW w:w="4820" w:type="dxa"/>
            <w:vAlign w:val="bottom"/>
            <w:gridSpan w:val="6"/>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1220" w:type="dxa"/>
            <w:vAlign w:val="bottom"/>
          </w:tcPr>
          <w:p>
            <w:pPr>
              <w:jc w:val="center"/>
              <w:ind w:left="333"/>
              <w:spacing w:after="0"/>
              <w:rPr>
                <w:sz w:val="20"/>
                <w:szCs w:val="20"/>
                <w:color w:val="auto"/>
              </w:rPr>
            </w:pPr>
            <w:r>
              <w:rPr>
                <w:rFonts w:ascii="Arial" w:cs="Arial" w:eastAsia="Arial" w:hAnsi="Arial"/>
                <w:sz w:val="18"/>
                <w:szCs w:val="18"/>
                <w:color w:val="auto"/>
                <w:w w:val="79"/>
              </w:rPr>
              <w:t>ü</w:t>
            </w: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1260" w:type="dxa"/>
            <w:vAlign w:val="bottom"/>
          </w:tcPr>
          <w:p>
            <w:pPr>
              <w:ind w:left="280"/>
              <w:spacing w:after="0"/>
              <w:rPr>
                <w:sz w:val="20"/>
                <w:szCs w:val="20"/>
                <w:color w:val="auto"/>
              </w:rPr>
            </w:pPr>
            <w:r>
              <w:rPr>
                <w:rFonts w:ascii="Arial" w:cs="Arial" w:eastAsia="Arial" w:hAnsi="Arial"/>
                <w:sz w:val="18"/>
                <w:szCs w:val="18"/>
                <w:color w:val="auto"/>
              </w:rPr>
              <w:t>23.2</w:t>
            </w:r>
          </w:p>
        </w:tc>
        <w:tc>
          <w:tcPr>
            <w:tcW w:w="3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Consent of Counsel (contained in Exhibit 5.1)</w:t>
            </w:r>
          </w:p>
        </w:tc>
        <w:tc>
          <w:tcPr>
            <w:tcW w:w="1000" w:type="dxa"/>
            <w:vAlign w:val="bottom"/>
            <w:tcBorders>
              <w:top w:val="single" w:sz="8" w:color="0000FF"/>
            </w:tcBorders>
            <w:gridSpan w:val="2"/>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center"/>
              <w:ind w:left="333"/>
              <w:spacing w:after="0"/>
              <w:rPr>
                <w:sz w:val="20"/>
                <w:szCs w:val="20"/>
                <w:color w:val="auto"/>
              </w:rPr>
            </w:pPr>
            <w:r>
              <w:rPr>
                <w:rFonts w:ascii="Arial" w:cs="Arial" w:eastAsia="Arial" w:hAnsi="Arial"/>
                <w:sz w:val="18"/>
                <w:szCs w:val="18"/>
                <w:color w:val="auto"/>
                <w:w w:val="79"/>
              </w:rPr>
              <w:t>ü</w:t>
            </w: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1260" w:type="dxa"/>
            <w:vAlign w:val="bottom"/>
          </w:tcPr>
          <w:p>
            <w:pPr>
              <w:ind w:left="280"/>
              <w:spacing w:after="0"/>
              <w:rPr>
                <w:sz w:val="20"/>
                <w:szCs w:val="20"/>
                <w:color w:val="auto"/>
              </w:rPr>
            </w:pPr>
            <w:r>
              <w:rPr>
                <w:rFonts w:ascii="Arial" w:cs="Arial" w:eastAsia="Arial" w:hAnsi="Arial"/>
                <w:sz w:val="18"/>
                <w:szCs w:val="18"/>
                <w:color w:val="auto"/>
              </w:rPr>
              <w:t>24.1</w:t>
            </w:r>
          </w:p>
        </w:tc>
        <w:tc>
          <w:tcPr>
            <w:tcW w:w="482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Power of Attorney (included on signature page)</w:t>
              </w:r>
            </w:hyperlink>
          </w:p>
        </w:tc>
        <w:tc>
          <w:tcPr>
            <w:tcW w:w="1220" w:type="dxa"/>
            <w:vAlign w:val="bottom"/>
          </w:tcPr>
          <w:p>
            <w:pPr>
              <w:jc w:val="center"/>
              <w:ind w:left="333"/>
              <w:spacing w:after="0"/>
              <w:rPr>
                <w:sz w:val="20"/>
                <w:szCs w:val="20"/>
                <w:color w:val="auto"/>
              </w:rPr>
            </w:pPr>
            <w:r>
              <w:rPr>
                <w:rFonts w:ascii="Arial" w:cs="Arial" w:eastAsia="Arial" w:hAnsi="Arial"/>
                <w:sz w:val="18"/>
                <w:szCs w:val="18"/>
                <w:color w:val="auto"/>
                <w:w w:val="79"/>
              </w:rPr>
              <w:t>ü</w:t>
            </w: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ectPr>
          <w:pgSz w:w="11900" w:h="16838" w:orient="portrait"/>
          <w:cols w:equalWidth="0" w:num="1">
            <w:col w:w="11100"/>
          </w:cols>
          <w:pgMar w:left="240" w:top="585" w:right="55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5.1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October 25, 2019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8000 S. Federal Way</w:t>
      </w:r>
    </w:p>
    <w:p>
      <w:pPr>
        <w:spacing w:after="0"/>
        <w:rPr>
          <w:sz w:val="20"/>
          <w:szCs w:val="20"/>
          <w:color w:val="auto"/>
        </w:rPr>
      </w:pPr>
      <w:r>
        <w:rPr>
          <w:rFonts w:ascii="Arial" w:cs="Arial" w:eastAsia="Arial" w:hAnsi="Arial"/>
          <w:sz w:val="20"/>
          <w:szCs w:val="20"/>
          <w:color w:val="auto"/>
        </w:rPr>
        <w:t>Boise, ID 83716-9632</w:t>
      </w:r>
    </w:p>
    <w:p>
      <w:pPr>
        <w:spacing w:after="0" w:line="14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color w:val="auto"/>
        </w:rPr>
        <w:t>Micron Technology, Inc.</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have examined the Registration Statement on Form S-8 to be filed by you with the Securities and Exchange Commission on or about October 28, 2019 (the “Registration Statement”) in connection with the registration under the Securities Act of 1933, as amended, of $60,000,000 of deferred compensation obligations (the “Obligations”) of Micron Technology, Inc. (the “Company”) to be issued pursuant to the Micron Technology, Inc. Deferred Compensation Plan (“Deferred Compensation Plan”). The Obligations will be issued from time to time to participants in the Deferred Compensation Plan (the “Participants”) in accordance with the terms of the Deferred Compensation Plan. As your legal counsel, we have examined the proceedings taken and are familiar with the proceedings proposed to be taken by you in connection with the issuance of the Obligations under the Deferred Compensation Plan.</w:t>
      </w:r>
    </w:p>
    <w:p>
      <w:pPr>
        <w:spacing w:after="0" w:line="1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It is our opinion that, upon completion of the proceedings to be taken, or contemplated by us as your counsel to be taken by you, prior to issuance of the Obligations pursuant to the Registration Statement and the Deferred Compensation Plan, and upon completion of the proceedings being taken in order to permit such transactions to be carried out in accordance with the securities laws of the various states where required, the Obligations, when incurred in the manner referred to in the Deferred Compensation Plan, will constitute valid and binding obligations of the Company, enforceable against the Company in accordance with their terms.</w:t>
      </w:r>
    </w:p>
    <w:p>
      <w:pPr>
        <w:spacing w:after="0" w:line="1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express no opinion as to any matter relating to laws of any jurisdiction other than the General Corporation Law of the State of Delaware, as such is in effect on the date hereof.</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limitations on rights of acceleration, whether considered in a proceeding in equity or at law.</w:t>
      </w:r>
    </w:p>
    <w:p>
      <w:pPr>
        <w:spacing w:after="0" w:line="14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With your consent, we have assumed (a) that each of the election forms to be delivered by the Participants pursuant to the Deferred Compensation Plan (the “Election Forms”) will be in the form examined by us, (b) that each of the Deferred Compensation Plan and the Election Forms constitutes or will constitute legally valid and binding obligations of the parties thereto other than the Company, enforceable against each of them in accordance with their respective terms, and (c) that the status of each of the Deferred Compensation Plan and the Election Forms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Very truly yours,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 Wilson Sonsini Goodrich &amp; Rosati</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WILSON SONSINI GOODRICH &amp; ROSATI,</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Professional Corporation</w:t>
      </w:r>
    </w:p>
    <w:p>
      <w:pPr>
        <w:sectPr>
          <w:pgSz w:w="11900" w:h="16838" w:orient="portrait"/>
          <w:cols w:equalWidth="0" w:num="1">
            <w:col w:w="11420"/>
          </w:cols>
          <w:pgMar w:left="240" w:top="346"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We hereby consent to the incorporation by reference in this Registration Statement on Form S-8 of Micron Technology, Inc. of our report dated October 17, 2019 relating to the financial statements, financial statement schedule and the effectiveness of internal control over financial reporting, which appears in Micron Technology, Inc.'s Annual Report on Form 10-K for the year ended August 29, 2019.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San Jose, California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October 28, 2019</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lowerLetter"/>
      <w:start w:val="1"/>
    </w:lvl>
    <w:lvl w:ilvl="1">
      <w:lvlJc w:val="left"/>
      <w:lvlText w:val="(%2)"/>
      <w:numFmt w:val="decimal"/>
      <w:start w:val="2"/>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Archives/edgar/data/723125/000072312517000037/a2017q2ex10-64deferredcom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2019-12-04T21:23:08Z</dcterms:created>
  <dcterms:modified xsi:type="dcterms:W3CDTF">2019-12-04T21:23:08Z</dcterms:modified>
</cp:coreProperties>
</file>