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11,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72" w:lineRule="exact"/>
        <w:rPr>
          <w:sz w:val="20"/>
          <w:szCs w:val="20"/>
          <w:color w:val="auto"/>
        </w:rPr>
      </w:pPr>
    </w:p>
    <w:p>
      <w:pPr>
        <w:ind w:left="500" w:right="180" w:firstLine="324"/>
        <w:spacing w:after="0" w:line="264" w:lineRule="auto"/>
        <w:rPr>
          <w:sz w:val="20"/>
          <w:szCs w:val="20"/>
          <w:color w:val="auto"/>
        </w:rPr>
      </w:pPr>
      <w:r>
        <w:rPr>
          <w:rFonts w:ascii="Arial" w:cs="Arial" w:eastAsia="Arial" w:hAnsi="Arial"/>
          <w:sz w:val="18"/>
          <w:szCs w:val="18"/>
          <w:color w:val="auto"/>
        </w:rPr>
        <w:t>On November 26, 2008, Micron Semiconductor, B.V. (“MNL”), a wholly-owned subsidiary of Micron, and Nanya Technology Corporation (“NTC”) entered into a Joint Venture Agreement (the ”Joint Venture Agreement”) that governs the rights and obligations of the parties in connection with their ownership of shares of Inotera Memories, Inc. (“Inotera”).</w:t>
      </w:r>
    </w:p>
    <w:p>
      <w:pPr>
        <w:spacing w:after="0" w:line="208" w:lineRule="exact"/>
        <w:rPr>
          <w:sz w:val="20"/>
          <w:szCs w:val="20"/>
          <w:color w:val="auto"/>
        </w:rPr>
      </w:pPr>
    </w:p>
    <w:p>
      <w:pPr>
        <w:ind w:left="500" w:right="220" w:firstLine="324"/>
        <w:spacing w:after="0" w:line="264" w:lineRule="auto"/>
        <w:rPr>
          <w:sz w:val="20"/>
          <w:szCs w:val="20"/>
          <w:color w:val="auto"/>
        </w:rPr>
      </w:pPr>
      <w:r>
        <w:rPr>
          <w:rFonts w:ascii="Arial" w:cs="Arial" w:eastAsia="Arial" w:hAnsi="Arial"/>
          <w:sz w:val="18"/>
          <w:szCs w:val="18"/>
          <w:color w:val="auto"/>
        </w:rPr>
        <w:t>Under the Joint Venture Agreement, each of MNL and NTC may initially designate five of the twelve members of the Board of Directors of Inotera and each is to vote its shares for such designated directors. The number of directors that may be designated by each party adjusts depending upon the parties’ ownership interests in Inotera.</w:t>
      </w:r>
    </w:p>
    <w:p>
      <w:pPr>
        <w:spacing w:after="0" w:line="208" w:lineRule="exact"/>
        <w:rPr>
          <w:sz w:val="20"/>
          <w:szCs w:val="20"/>
          <w:color w:val="auto"/>
        </w:rPr>
      </w:pPr>
    </w:p>
    <w:p>
      <w:pPr>
        <w:ind w:left="500" w:right="80" w:firstLine="324"/>
        <w:spacing w:after="0" w:line="277" w:lineRule="auto"/>
        <w:rPr>
          <w:sz w:val="20"/>
          <w:szCs w:val="20"/>
          <w:color w:val="auto"/>
        </w:rPr>
      </w:pPr>
      <w:r>
        <w:rPr>
          <w:rFonts w:ascii="Arial" w:cs="Arial" w:eastAsia="Arial" w:hAnsi="Arial"/>
          <w:sz w:val="18"/>
          <w:szCs w:val="18"/>
          <w:color w:val="auto"/>
        </w:rPr>
        <w:t>The Joint Venture Agreement also provides that Micron and NTC will purchase all of the output of Inotera, generally on a 50-50 basis. If MNL’s and NTC’s relative ownership in Inotera changes, the allocation of such output may be adjusted.</w:t>
      </w:r>
    </w:p>
    <w:p>
      <w:pPr>
        <w:spacing w:after="0" w:line="197" w:lineRule="exact"/>
        <w:rPr>
          <w:sz w:val="20"/>
          <w:szCs w:val="20"/>
          <w:color w:val="auto"/>
        </w:rPr>
      </w:pPr>
    </w:p>
    <w:p>
      <w:pPr>
        <w:ind w:left="500" w:firstLine="324"/>
        <w:spacing w:after="0" w:line="264" w:lineRule="auto"/>
        <w:rPr>
          <w:sz w:val="20"/>
          <w:szCs w:val="20"/>
          <w:color w:val="auto"/>
        </w:rPr>
      </w:pPr>
      <w:r>
        <w:rPr>
          <w:rFonts w:ascii="Arial" w:cs="Arial" w:eastAsia="Arial" w:hAnsi="Arial"/>
          <w:sz w:val="18"/>
          <w:szCs w:val="18"/>
          <w:color w:val="auto"/>
        </w:rPr>
        <w:t>The Joint Venture Agreement also contains buy/sell arrangements in the event of: (i) breach by a party of the terms of the Joint Venture Agreement, (ii) deadlock between the parties after following the procedures set forth in the Joint Venture Agreement, and (iii) one party’s ownership in Inotera falling below certain thresholds relative to the other party’s ownership.</w:t>
      </w:r>
    </w:p>
    <w:p>
      <w:pPr>
        <w:spacing w:after="0" w:line="208" w:lineRule="exact"/>
        <w:rPr>
          <w:sz w:val="20"/>
          <w:szCs w:val="20"/>
          <w:color w:val="auto"/>
        </w:rPr>
      </w:pPr>
    </w:p>
    <w:p>
      <w:pPr>
        <w:ind w:left="500" w:firstLine="324"/>
        <w:spacing w:after="0" w:line="264" w:lineRule="auto"/>
        <w:rPr>
          <w:sz w:val="20"/>
          <w:szCs w:val="20"/>
          <w:color w:val="auto"/>
        </w:rPr>
      </w:pPr>
      <w:r>
        <w:rPr>
          <w:rFonts w:ascii="Arial" w:cs="Arial" w:eastAsia="Arial" w:hAnsi="Arial"/>
          <w:sz w:val="18"/>
          <w:szCs w:val="18"/>
          <w:color w:val="auto"/>
        </w:rPr>
        <w:t>On January 11, 2010, MNL and NTC entered into an Amended and Restated Joint Venture Agreement pursuant to which the Joint Venture Agreement was amended to provide different ownership thresholds at which the parties’ right to designate directors changes, at which the allocation of Inotera output may be changed, and at which the buy/sell provisions may be invoked.</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32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740" w:type="dxa"/>
            <w:vAlign w:val="bottom"/>
          </w:tcPr>
          <w:p>
            <w:pPr>
              <w:spacing w:after="0"/>
              <w:rPr>
                <w:sz w:val="20"/>
                <w:szCs w:val="20"/>
                <w:color w:val="auto"/>
              </w:rPr>
            </w:pPr>
            <w:r>
              <w:rPr>
                <w:rFonts w:ascii="Arial" w:cs="Arial" w:eastAsia="Arial" w:hAnsi="Arial"/>
                <w:sz w:val="18"/>
                <w:szCs w:val="18"/>
                <w:color w:val="auto"/>
              </w:rPr>
              <w:t>Date:  January 15, 2010</w:t>
            </w:r>
          </w:p>
        </w:tc>
        <w:tc>
          <w:tcPr>
            <w:tcW w:w="4040" w:type="dxa"/>
            <w:vAlign w:val="bottom"/>
          </w:tcPr>
          <w:p>
            <w:pPr>
              <w:ind w:left="320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3740" w:type="dxa"/>
            <w:vAlign w:val="bottom"/>
          </w:tcPr>
          <w:p>
            <w:pPr>
              <w:spacing w:after="0"/>
              <w:rPr>
                <w:sz w:val="17"/>
                <w:szCs w:val="17"/>
                <w:color w:val="auto"/>
              </w:rPr>
            </w:pPr>
          </w:p>
        </w:tc>
        <w:tc>
          <w:tcPr>
            <w:tcW w:w="4040" w:type="dxa"/>
            <w:vAlign w:val="bottom"/>
          </w:tcPr>
          <w:p>
            <w:pPr>
              <w:ind w:left="320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3740" w:type="dxa"/>
            <w:vAlign w:val="bottom"/>
          </w:tcPr>
          <w:p>
            <w:pPr>
              <w:spacing w:after="0"/>
              <w:rPr>
                <w:sz w:val="18"/>
                <w:szCs w:val="18"/>
                <w:color w:val="auto"/>
              </w:rPr>
            </w:pPr>
          </w:p>
        </w:tc>
        <w:tc>
          <w:tcPr>
            <w:tcW w:w="4040" w:type="dxa"/>
            <w:vAlign w:val="bottom"/>
          </w:tcPr>
          <w:p>
            <w:pPr>
              <w:ind w:left="320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37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851"/>
        </w:trPr>
        <w:tc>
          <w:tcPr>
            <w:tcW w:w="3740" w:type="dxa"/>
            <w:vAlign w:val="bottom"/>
          </w:tcPr>
          <w:p>
            <w:pPr>
              <w:spacing w:after="0"/>
              <w:rPr>
                <w:sz w:val="24"/>
                <w:szCs w:val="24"/>
                <w:color w:val="auto"/>
              </w:rPr>
            </w:pPr>
          </w:p>
        </w:tc>
        <w:tc>
          <w:tcPr>
            <w:tcW w:w="4040" w:type="dxa"/>
            <w:vAlign w:val="bottom"/>
          </w:tcPr>
          <w:p>
            <w:pPr>
              <w:ind w:left="1920"/>
              <w:spacing w:after="0"/>
              <w:rPr>
                <w:sz w:val="20"/>
                <w:szCs w:val="20"/>
                <w:color w:val="auto"/>
              </w:rPr>
            </w:pPr>
            <w:r>
              <w:rPr>
                <w:rFonts w:ascii="Arial" w:cs="Arial" w:eastAsia="Arial" w:hAnsi="Arial"/>
                <w:sz w:val="18"/>
                <w:szCs w:val="18"/>
                <w:color w:val="auto"/>
              </w:rPr>
              <w:t>3</w:t>
            </w:r>
          </w:p>
        </w:tc>
        <w:tc>
          <w:tcPr>
            <w:tcW w:w="3640" w:type="dxa"/>
            <w:vAlign w:val="bottom"/>
          </w:tcPr>
          <w:p>
            <w:pPr>
              <w:spacing w:after="0"/>
              <w:rPr>
                <w:sz w:val="24"/>
                <w:szCs w:val="24"/>
                <w:color w:val="auto"/>
              </w:rPr>
            </w:pPr>
          </w:p>
        </w:tc>
      </w:tr>
      <w:tr>
        <w:trPr>
          <w:trHeight w:val="361"/>
        </w:trPr>
        <w:tc>
          <w:tcPr>
            <w:tcW w:w="37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2019-12-10T05:14:55Z</dcterms:created>
  <dcterms:modified xsi:type="dcterms:W3CDTF">2019-12-10T05:14:55Z</dcterms:modified>
</cp:coreProperties>
</file>