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20"/>
          <w:szCs w:val="20"/>
          <w:color w:val="0000EE"/>
        </w:rPr>
      </w:pPr>
      <w:hyperlink w:anchor="page21">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8"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SCHEDULE 14A INFORMATION</w:t>
      </w:r>
    </w:p>
    <w:p>
      <w:pPr>
        <w:spacing w:after="0" w:line="21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Proxy Statement Pursuant to Section 14(a) of</w:t>
      </w:r>
    </w:p>
    <w:p>
      <w:pPr>
        <w:spacing w:after="0" w:line="22" w:lineRule="exact"/>
        <w:rPr>
          <w:sz w:val="24"/>
          <w:szCs w:val="24"/>
          <w:color w:val="auto"/>
        </w:rPr>
      </w:pPr>
    </w:p>
    <w:p>
      <w:pPr>
        <w:jc w:val="center"/>
        <w:ind w:right="-360"/>
        <w:spacing w:after="0"/>
        <w:tabs>
          <w:tab w:leader="none" w:pos="180" w:val="left"/>
        </w:tabs>
        <w:rPr>
          <w:sz w:val="20"/>
          <w:szCs w:val="20"/>
          <w:color w:val="auto"/>
        </w:rPr>
      </w:pPr>
      <w:r>
        <w:rPr>
          <w:rFonts w:ascii="Arial" w:cs="Arial" w:eastAsia="Arial" w:hAnsi="Arial"/>
          <w:sz w:val="15"/>
          <w:szCs w:val="15"/>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217"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 /x/</w:t>
      </w:r>
    </w:p>
    <w:p>
      <w:pPr>
        <w:spacing w:after="0" w:line="22"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a Party other than the Registrant / /</w:t>
      </w:r>
    </w:p>
    <w:p>
      <w:pPr>
        <w:spacing w:after="0" w:line="206"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81" w:hanging="81"/>
        <w:spacing w:after="0"/>
        <w:tabs>
          <w:tab w:leader="none" w:pos="81"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Preliminary Proxy Statement</w:t>
      </w:r>
    </w:p>
    <w:p>
      <w:pPr>
        <w:spacing w:after="0" w:line="14" w:lineRule="exact"/>
        <w:rPr>
          <w:rFonts w:ascii="Arial" w:cs="Arial" w:eastAsia="Arial" w:hAnsi="Arial"/>
          <w:sz w:val="16"/>
          <w:szCs w:val="16"/>
          <w:color w:val="auto"/>
        </w:rPr>
      </w:pPr>
    </w:p>
    <w:p>
      <w:pPr>
        <w:ind w:left="81" w:hanging="81"/>
        <w:spacing w:after="0"/>
        <w:tabs>
          <w:tab w:leader="none" w:pos="81"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b w:val="1"/>
          <w:bCs w:val="1"/>
          <w:color w:val="auto"/>
        </w:rPr>
        <w:t>Confidential, for Use of the Commission Only (as permitted by Rule 14a-6(e)(2))</w:t>
      </w:r>
    </w:p>
    <w:p>
      <w:pPr>
        <w:spacing w:after="0" w:line="15" w:lineRule="exact"/>
        <w:rPr>
          <w:sz w:val="24"/>
          <w:szCs w:val="24"/>
          <w:color w:val="auto"/>
        </w:rPr>
      </w:pPr>
    </w:p>
    <w:p>
      <w:pPr>
        <w:ind w:left="1"/>
        <w:spacing w:after="0"/>
        <w:tabs>
          <w:tab w:leader="none" w:pos="42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Definitive Proxy Statement</w:t>
      </w:r>
    </w:p>
    <w:p>
      <w:pPr>
        <w:spacing w:after="0" w:line="15" w:lineRule="exact"/>
        <w:rPr>
          <w:sz w:val="24"/>
          <w:szCs w:val="24"/>
          <w:color w:val="auto"/>
        </w:rPr>
      </w:pPr>
    </w:p>
    <w:p>
      <w:pPr>
        <w:ind w:left="81" w:hanging="81"/>
        <w:spacing w:after="0"/>
        <w:tabs>
          <w:tab w:leader="none" w:pos="81"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Definitive Additional Materials</w:t>
      </w:r>
    </w:p>
    <w:p>
      <w:pPr>
        <w:spacing w:after="0" w:line="14" w:lineRule="exact"/>
        <w:rPr>
          <w:rFonts w:ascii="Arial" w:cs="Arial" w:eastAsia="Arial" w:hAnsi="Arial"/>
          <w:sz w:val="16"/>
          <w:szCs w:val="16"/>
          <w:color w:val="auto"/>
        </w:rPr>
      </w:pPr>
    </w:p>
    <w:p>
      <w:pPr>
        <w:ind w:left="81" w:hanging="81"/>
        <w:spacing w:after="0"/>
        <w:tabs>
          <w:tab w:leader="none" w:pos="81"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Soliciting Material Pursuant to §240.14a-12</w:t>
      </w:r>
    </w:p>
    <w:p>
      <w:pPr>
        <w:spacing w:after="0" w:line="227" w:lineRule="exact"/>
        <w:rPr>
          <w:sz w:val="24"/>
          <w:szCs w:val="24"/>
          <w:color w:val="auto"/>
        </w:rPr>
      </w:pPr>
    </w:p>
    <w:p>
      <w:pPr>
        <w:jc w:val="center"/>
        <w:ind w:right="1459"/>
        <w:spacing w:after="0"/>
        <w:rPr>
          <w:sz w:val="20"/>
          <w:szCs w:val="20"/>
          <w:color w:val="auto"/>
        </w:rPr>
      </w:pPr>
      <w:r>
        <w:rPr>
          <w:rFonts w:ascii="Arial" w:cs="Arial" w:eastAsia="Arial" w:hAnsi="Arial"/>
          <w:sz w:val="16"/>
          <w:szCs w:val="16"/>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09600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00" cy="20320"/>
                    </a:xfrm>
                    <a:prstGeom prst="rect">
                      <a:avLst/>
                    </a:prstGeom>
                    <a:noFill/>
                  </pic:spPr>
                </pic:pic>
              </a:graphicData>
            </a:graphic>
          </wp:anchor>
        </w:drawing>
      </w:r>
    </w:p>
    <w:p>
      <w:pPr>
        <w:spacing w:after="0" w:line="222" w:lineRule="exact"/>
        <w:rPr>
          <w:sz w:val="24"/>
          <w:szCs w:val="24"/>
          <w:color w:val="auto"/>
        </w:rPr>
      </w:pPr>
    </w:p>
    <w:p>
      <w:pPr>
        <w:ind w:left="3241"/>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609600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600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461"/>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1"/>
        <w:spacing w:after="0"/>
        <w:tabs>
          <w:tab w:leader="none" w:pos="48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 fee required</w:t>
      </w:r>
    </w:p>
    <w:p>
      <w:pPr>
        <w:spacing w:after="0" w:line="15" w:lineRule="exact"/>
        <w:rPr>
          <w:sz w:val="24"/>
          <w:szCs w:val="24"/>
          <w:color w:val="auto"/>
        </w:rPr>
      </w:pPr>
    </w:p>
    <w:p>
      <w:pPr>
        <w:ind w:left="81" w:hanging="81"/>
        <w:spacing w:after="0"/>
        <w:tabs>
          <w:tab w:leader="none" w:pos="8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Fee computed on table below per Exchange Act Rules 14a-6(i)(4) and 0-11</w:t>
      </w:r>
    </w:p>
    <w:p>
      <w:pPr>
        <w:spacing w:after="0" w:line="14"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61" w:right="1880" w:hanging="564"/>
        <w:spacing w:after="0" w:line="287" w:lineRule="auto"/>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79"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81" w:hanging="81"/>
        <w:spacing w:after="0"/>
        <w:tabs>
          <w:tab w:leader="none" w:pos="8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Fee paid previously with preliminary materials.</w:t>
      </w:r>
    </w:p>
    <w:p>
      <w:pPr>
        <w:spacing w:after="0" w:line="21" w:lineRule="exact"/>
        <w:rPr>
          <w:rFonts w:ascii="Arial" w:cs="Arial" w:eastAsia="Arial" w:hAnsi="Arial"/>
          <w:sz w:val="16"/>
          <w:szCs w:val="16"/>
          <w:color w:val="auto"/>
        </w:rPr>
      </w:pPr>
    </w:p>
    <w:p>
      <w:pPr>
        <w:ind w:left="501" w:right="1740" w:hanging="501"/>
        <w:spacing w:after="0" w:line="295" w:lineRule="auto"/>
        <w:tabs>
          <w:tab w:leader="none" w:pos="9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61" w:hanging="564"/>
        <w:spacing w:after="0"/>
        <w:tabs>
          <w:tab w:leader="none" w:pos="1061"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-3454400</wp:posOffset>
            </wp:positionV>
            <wp:extent cx="541845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-3060065</wp:posOffset>
            </wp:positionV>
            <wp:extent cx="541845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-2540000</wp:posOffset>
            </wp:positionV>
            <wp:extent cx="541845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-2146300</wp:posOffset>
            </wp:positionV>
            <wp:extent cx="541845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-1751965</wp:posOffset>
            </wp:positionV>
            <wp:extent cx="541845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-979805</wp:posOffset>
            </wp:positionV>
            <wp:extent cx="541845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-586105</wp:posOffset>
            </wp:positionV>
            <wp:extent cx="541845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-191770</wp:posOffset>
            </wp:positionV>
            <wp:extent cx="541845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201295</wp:posOffset>
            </wp:positionV>
            <wp:extent cx="541845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845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343535</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487680</wp:posOffset>
            </wp:positionV>
            <wp:extent cx="2553335" cy="732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Notice of 2001 Annual Meeting of Shareholders</w:t>
      </w:r>
    </w:p>
    <w:p>
      <w:pPr>
        <w:spacing w:after="0" w:line="217" w:lineRule="exact"/>
        <w:rPr>
          <w:sz w:val="24"/>
          <w:szCs w:val="24"/>
          <w:color w:val="auto"/>
        </w:rPr>
      </w:pPr>
    </w:p>
    <w:p>
      <w:pPr>
        <w:jc w:val="center"/>
        <w:ind w:right="-320"/>
        <w:spacing w:after="0"/>
        <w:rPr>
          <w:sz w:val="20"/>
          <w:szCs w:val="20"/>
          <w:color w:val="auto"/>
        </w:rPr>
      </w:pPr>
      <w:r>
        <w:rPr>
          <w:rFonts w:ascii="Arial" w:cs="Arial" w:eastAsia="Arial" w:hAnsi="Arial"/>
          <w:sz w:val="20"/>
          <w:szCs w:val="20"/>
          <w:b w:val="1"/>
          <w:bCs w:val="1"/>
          <w:color w:val="auto"/>
        </w:rPr>
        <w:t>November 27, 2001</w:t>
      </w:r>
    </w:p>
    <w:p>
      <w:pPr>
        <w:spacing w:after="0" w:line="208" w:lineRule="exact"/>
        <w:rPr>
          <w:sz w:val="24"/>
          <w:szCs w:val="24"/>
          <w:color w:val="auto"/>
        </w:rPr>
      </w:pPr>
    </w:p>
    <w:p>
      <w:pPr>
        <w:ind w:left="1"/>
        <w:spacing w:after="0"/>
        <w:rPr>
          <w:sz w:val="20"/>
          <w:szCs w:val="20"/>
          <w:color w:val="auto"/>
        </w:rPr>
      </w:pPr>
      <w:r>
        <w:rPr>
          <w:rFonts w:ascii="Arial" w:cs="Arial" w:eastAsia="Arial" w:hAnsi="Arial"/>
          <w:sz w:val="16"/>
          <w:szCs w:val="16"/>
          <w:color w:val="auto"/>
        </w:rPr>
        <w:t>TO THE SHAREHOLDERS:</w:t>
      </w:r>
    </w:p>
    <w:p>
      <w:pPr>
        <w:spacing w:after="0" w:line="213" w:lineRule="exact"/>
        <w:rPr>
          <w:sz w:val="24"/>
          <w:szCs w:val="24"/>
          <w:color w:val="auto"/>
        </w:rPr>
      </w:pPr>
    </w:p>
    <w:p>
      <w:pPr>
        <w:ind w:left="1" w:firstLine="161"/>
        <w:spacing w:after="0" w:line="273" w:lineRule="auto"/>
        <w:rPr>
          <w:sz w:val="20"/>
          <w:szCs w:val="20"/>
          <w:color w:val="auto"/>
        </w:rPr>
      </w:pPr>
      <w:r>
        <w:rPr>
          <w:rFonts w:ascii="Arial" w:cs="Arial" w:eastAsia="Arial" w:hAnsi="Arial"/>
          <w:sz w:val="16"/>
          <w:szCs w:val="16"/>
          <w:color w:val="auto"/>
        </w:rPr>
        <w:t>NOTICE IS HEREBY GIVEN that the 2001 Annual Meeting of Shareholders of Micron Technology, Inc., a Delaware corporation (the "Company"), will be held on November 27, 2001, at 9:00 a.m., Mountain Standard Time, at the Company's headquarters located at 8000 South Federal Way, Boise, Idaho 83716-9632, for the following purposes:</w:t>
      </w:r>
    </w:p>
    <w:p>
      <w:pPr>
        <w:spacing w:after="0" w:line="166" w:lineRule="exact"/>
        <w:rPr>
          <w:sz w:val="24"/>
          <w:szCs w:val="24"/>
          <w:color w:val="auto"/>
        </w:rPr>
      </w:pPr>
    </w:p>
    <w:p>
      <w:pPr>
        <w:ind w:left="50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61"/>
          </w:cols>
          <w:pgMar w:left="239" w:top="443" w:right="599" w:bottom="0" w:gutter="0" w:footer="0" w:header="0"/>
        </w:sectPr>
      </w:pPr>
    </w:p>
    <w:bookmarkStart w:id="1" w:name="page2"/>
    <w:bookmarkEnd w:id="1"/>
    <w:p>
      <w:pPr>
        <w:ind w:left="1000"/>
        <w:spacing w:after="0"/>
        <w:rPr>
          <w:sz w:val="20"/>
          <w:szCs w:val="20"/>
          <w:color w:val="auto"/>
        </w:rPr>
      </w:pPr>
      <w:r>
        <w:rPr>
          <w:rFonts w:ascii="Arial" w:cs="Arial" w:eastAsia="Arial" w:hAnsi="Arial"/>
          <w:sz w:val="16"/>
          <w:szCs w:val="16"/>
          <w:color w:val="auto"/>
        </w:rPr>
        <w:t>To elect directors to serve for the ensuing year and until their successors are elected and qualified.</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approve the 2001 Stock Option Plan with 10 million shares of Common Stock reserved for issuance thereunder.</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To ratify the appointment of PricewaterhouseCoopers LLP as independent accountants of the Company for the fiscal year ending August 29, 2002.</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To act upon a shareholder proposal regarding the nomination of candidates to the Company's Board of Directors, if properly presented at the meeting.</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transact such other business as may properly come before the meeting or any adjournment thereof.</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13" w:lineRule="exact"/>
        <w:rPr>
          <w:sz w:val="20"/>
          <w:szCs w:val="20"/>
          <w:color w:val="auto"/>
        </w:rPr>
      </w:pPr>
    </w:p>
    <w:p>
      <w:pPr>
        <w:ind w:firstLine="161"/>
        <w:spacing w:after="0" w:line="329" w:lineRule="auto"/>
        <w:rPr>
          <w:sz w:val="20"/>
          <w:szCs w:val="20"/>
          <w:color w:val="auto"/>
        </w:rPr>
      </w:pPr>
      <w:r>
        <w:rPr>
          <w:rFonts w:ascii="Arial" w:cs="Arial" w:eastAsia="Arial" w:hAnsi="Arial"/>
          <w:sz w:val="14"/>
          <w:szCs w:val="14"/>
          <w:color w:val="auto"/>
        </w:rPr>
        <w:t>Only shareholders of record at the close of business on September 28, 2001,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ending immediately preceding the date of the meeting, at the Company's headquarters at 8000 South Federal Way, Boise, Idaho 83716-9632.</w:t>
      </w:r>
    </w:p>
    <w:p>
      <w:pPr>
        <w:spacing w:after="0" w:line="132" w:lineRule="exact"/>
        <w:rPr>
          <w:sz w:val="20"/>
          <w:szCs w:val="20"/>
          <w:color w:val="auto"/>
        </w:rPr>
      </w:pPr>
    </w:p>
    <w:p>
      <w:pPr>
        <w:ind w:right="300" w:firstLine="153"/>
        <w:spacing w:after="0" w:line="287"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56" w:lineRule="exact"/>
        <w:rPr>
          <w:sz w:val="20"/>
          <w:szCs w:val="20"/>
          <w:color w:val="auto"/>
        </w:rPr>
      </w:pPr>
    </w:p>
    <w:p>
      <w:pPr>
        <w:ind w:right="40" w:firstLine="158"/>
        <w:spacing w:after="0" w:line="273" w:lineRule="auto"/>
        <w:rPr>
          <w:sz w:val="20"/>
          <w:szCs w:val="20"/>
          <w:color w:val="auto"/>
        </w:rPr>
      </w:pPr>
      <w:r>
        <w:rPr>
          <w:rFonts w:ascii="Arial" w:cs="Arial" w:eastAsia="Arial" w:hAnsi="Arial"/>
          <w:sz w:val="16"/>
          <w:szCs w:val="16"/>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Roderic W. Lewis</w:t>
      </w:r>
    </w:p>
    <w:p>
      <w:pPr>
        <w:spacing w:after="0" w:line="22" w:lineRule="exact"/>
        <w:rPr>
          <w:sz w:val="20"/>
          <w:szCs w:val="20"/>
          <w:color w:val="auto"/>
        </w:rPr>
      </w:pPr>
    </w:p>
    <w:p>
      <w:pPr>
        <w:ind w:left="5460"/>
        <w:spacing w:after="0"/>
        <w:rPr>
          <w:sz w:val="20"/>
          <w:szCs w:val="20"/>
          <w:color w:val="auto"/>
        </w:rPr>
      </w:pPr>
      <w:r>
        <w:rPr>
          <w:rFonts w:ascii="Arial" w:cs="Arial" w:eastAsia="Arial" w:hAnsi="Arial"/>
          <w:sz w:val="16"/>
          <w:szCs w:val="16"/>
          <w:i w:val="1"/>
          <w:iCs w:val="1"/>
          <w:color w:val="auto"/>
        </w:rPr>
        <w:t>Vice President of Legal Affairs,</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6"/>
          <w:szCs w:val="16"/>
          <w:i w:val="1"/>
          <w:iCs w:val="1"/>
          <w:color w:val="auto"/>
        </w:rPr>
        <w:t>General Counsel &amp; Corporate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October 24, 2001</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285115</wp:posOffset>
            </wp:positionV>
            <wp:extent cx="2553335" cy="732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8000 South Federal Way</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121285</wp:posOffset>
            </wp:positionV>
            <wp:extent cx="9664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2001 ANNUAL MEETING OF SHAREHOLDERS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November 27,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140970</wp:posOffset>
            </wp:positionV>
            <wp:extent cx="9664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7" w:lineRule="exact"/>
        <w:rPr>
          <w:sz w:val="20"/>
          <w:szCs w:val="20"/>
          <w:color w:val="auto"/>
        </w:rPr>
      </w:pPr>
    </w:p>
    <w:p>
      <w:pPr>
        <w:ind w:right="200" w:firstLine="158"/>
        <w:spacing w:after="0" w:line="318" w:lineRule="auto"/>
        <w:rPr>
          <w:sz w:val="20"/>
          <w:szCs w:val="20"/>
          <w:color w:val="auto"/>
        </w:rPr>
      </w:pPr>
      <w:r>
        <w:rPr>
          <w:rFonts w:ascii="Arial" w:cs="Arial" w:eastAsia="Arial" w:hAnsi="Arial"/>
          <w:sz w:val="14"/>
          <w:szCs w:val="14"/>
          <w:color w:val="auto"/>
        </w:rPr>
        <w:t>The enclosed proxy is solicited on behalf of the Board of Directors of Micron Technology, Inc. (the "Company"), for use at the 2001 Annual Meeting of Shareholders to be held on November 27, 2001, at 9:00 a.m., Mountain Standard Time, or at any adjournment thereof (the "Annual Meeting"). The purposes of the Annual Meeting are set forth herein and in the accompanying Notice of 2001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Proxy Statement and enclosed proxy are first being mailed on or about October 24, 2001, to all shareholders entitled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of record at the close of business on September 28, 2001 (the "Record Date"), are entitled to notice of and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Proxy</w:t>
      </w:r>
    </w:p>
    <w:p>
      <w:pPr>
        <w:spacing w:after="0" w:line="217" w:lineRule="exact"/>
        <w:rPr>
          <w:sz w:val="20"/>
          <w:szCs w:val="20"/>
          <w:color w:val="auto"/>
        </w:rPr>
      </w:pPr>
    </w:p>
    <w:p>
      <w:pPr>
        <w:ind w:right="240" w:firstLine="153"/>
        <w:spacing w:after="0" w:line="287"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w:t>
      </w:r>
    </w:p>
    <w:p>
      <w:pPr>
        <w:sectPr>
          <w:pgSz w:w="11900" w:h="16838" w:orient="portrait"/>
          <w:cols w:equalWidth="0" w:num="1">
            <w:col w:w="11420"/>
          </w:cols>
          <w:pgMar w:left="240" w:top="131" w:right="239" w:bottom="0" w:gutter="0" w:footer="0" w:header="0"/>
        </w:sectPr>
      </w:pPr>
    </w:p>
    <w:bookmarkStart w:id="2" w:name="page3"/>
    <w:bookmarkEnd w:id="2"/>
    <w:p>
      <w:pPr>
        <w:spacing w:after="0" w:line="60" w:lineRule="exact"/>
        <w:rPr>
          <w:sz w:val="20"/>
          <w:szCs w:val="20"/>
          <w:color w:val="auto"/>
        </w:rPr>
      </w:pPr>
    </w:p>
    <w:p>
      <w:pPr>
        <w:ind w:right="180" w:firstLine="158"/>
        <w:spacing w:after="0" w:line="266"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Shareholder, a proxy solicitation firm, in connection with the solicitation of proxies. Although the exact cost of those services is not known at this time, it is anticipated that the cost to the Company will be approximately $10,000.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Shares</w:t>
      </w:r>
    </w:p>
    <w:p>
      <w:pPr>
        <w:spacing w:after="0" w:line="217" w:lineRule="exact"/>
        <w:rPr>
          <w:sz w:val="20"/>
          <w:szCs w:val="20"/>
          <w:color w:val="auto"/>
        </w:rPr>
      </w:pPr>
    </w:p>
    <w:p>
      <w:pPr>
        <w:ind w:right="280" w:firstLine="158"/>
        <w:spacing w:after="0" w:line="287" w:lineRule="auto"/>
        <w:rPr>
          <w:sz w:val="20"/>
          <w:szCs w:val="20"/>
          <w:color w:val="auto"/>
        </w:rPr>
      </w:pPr>
      <w:r>
        <w:rPr>
          <w:rFonts w:ascii="Arial" w:cs="Arial" w:eastAsia="Arial" w:hAnsi="Arial"/>
          <w:sz w:val="16"/>
          <w:szCs w:val="16"/>
          <w:color w:val="auto"/>
        </w:rPr>
        <w:t>The Company has one class of stock outstanding, Common Stock, $.10 par value per share (the "Common Stock"). At September 28, 2001, the Record Date, 598,814,884 shares of Common Stock were issued and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 and Required Vote</w:t>
      </w:r>
    </w:p>
    <w:p>
      <w:pPr>
        <w:spacing w:after="0" w:line="217" w:lineRule="exact"/>
        <w:rPr>
          <w:sz w:val="20"/>
          <w:szCs w:val="20"/>
          <w:color w:val="auto"/>
        </w:rPr>
      </w:pPr>
    </w:p>
    <w:p>
      <w:pPr>
        <w:ind w:right="20" w:firstLine="161"/>
        <w:spacing w:after="0" w:line="305" w:lineRule="auto"/>
        <w:rPr>
          <w:sz w:val="20"/>
          <w:szCs w:val="20"/>
          <w:color w:val="auto"/>
        </w:rPr>
      </w:pPr>
      <w:r>
        <w:rPr>
          <w:rFonts w:ascii="Arial" w:cs="Arial" w:eastAsia="Arial" w:hAnsi="Arial"/>
          <w:sz w:val="14"/>
          <w:szCs w:val="14"/>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affect the outcome of the voting on a proposal.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seven nominees for director receiving the highest number of Votes Cast will be elected, whether or not any one of them receives the vote of a majority of the Votes Cast.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each other item of business, the "FOR" vote of a majority of the Votes Cast is required in order for each matter to be considered approved by the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not count as Votes Cast "FOR" any nominee or proposal.</w:t>
      </w:r>
    </w:p>
    <w:p>
      <w:pPr>
        <w:spacing w:after="0" w:line="206" w:lineRule="exact"/>
        <w:rPr>
          <w:sz w:val="20"/>
          <w:szCs w:val="20"/>
          <w:color w:val="auto"/>
        </w:rPr>
      </w:pPr>
    </w:p>
    <w:p>
      <w:pPr>
        <w:ind w:right="120" w:firstLine="161"/>
        <w:spacing w:after="0" w:line="264" w:lineRule="auto"/>
        <w:rPr>
          <w:sz w:val="20"/>
          <w:szCs w:val="20"/>
          <w:color w:val="auto"/>
        </w:rPr>
      </w:pPr>
      <w:r>
        <w:rPr>
          <w:rFonts w:ascii="Arial" w:cs="Arial" w:eastAsia="Arial" w:hAnsi="Arial"/>
          <w:sz w:val="16"/>
          <w:szCs w:val="16"/>
          <w:color w:val="auto"/>
        </w:rPr>
        <w:t>Cumulative voting for the election of directors shall not be required unless at least one shareholder has requested cumulative voting by written notice to the Secretary of the Company at least 15 days prior to the date of the meeting. If cumulative voting is required,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of Proxies</w:t>
      </w:r>
    </w:p>
    <w:p>
      <w:pPr>
        <w:spacing w:after="0" w:line="217" w:lineRule="exact"/>
        <w:rPr>
          <w:sz w:val="20"/>
          <w:szCs w:val="20"/>
          <w:color w:val="auto"/>
        </w:rPr>
      </w:pPr>
    </w:p>
    <w:p>
      <w:pPr>
        <w:ind w:right="20" w:firstLine="158"/>
        <w:spacing w:after="0" w:line="266" w:lineRule="auto"/>
        <w:rPr>
          <w:sz w:val="20"/>
          <w:szCs w:val="20"/>
          <w:color w:val="auto"/>
        </w:rPr>
      </w:pPr>
      <w:r>
        <w:rPr>
          <w:rFonts w:ascii="Arial" w:cs="Arial" w:eastAsia="Arial" w:hAnsi="Arial"/>
          <w:sz w:val="16"/>
          <w:szCs w:val="16"/>
          <w:color w:val="auto"/>
        </w:rPr>
        <w:t>The shares of the Company's Common Stock represented by all properly executed proxies received in time for the meeting will be voted in accordance with the directions given by the shareholders</w:t>
      </w:r>
      <w:r>
        <w:rPr>
          <w:rFonts w:ascii="Arial" w:cs="Arial" w:eastAsia="Arial" w:hAnsi="Arial"/>
          <w:sz w:val="16"/>
          <w:szCs w:val="16"/>
          <w:b w:val="1"/>
          <w:bCs w:val="1"/>
          <w:color w:val="auto"/>
        </w:rPr>
        <w:t>. If no instructions are given, the shares will be voted</w:t>
      </w:r>
      <w:r>
        <w:rPr>
          <w:rFonts w:ascii="Arial" w:cs="Arial" w:eastAsia="Arial" w:hAnsi="Arial"/>
          <w:sz w:val="16"/>
          <w:szCs w:val="16"/>
          <w:color w:val="auto"/>
        </w:rPr>
        <w:t xml:space="preserve"> (i)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 nominees named herein as directors, or their respective substitutes as may be 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2001 Stock Option Plan,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independent accountants of the Company for fiscal 2002, (iv)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shareholder proposal and (v) in the discretion of the proxy holders for such other matter or matters which may properly come before the meeting or any adjournment or adjournments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7" w:lineRule="exact"/>
        <w:rPr>
          <w:sz w:val="20"/>
          <w:szCs w:val="20"/>
          <w:color w:val="auto"/>
        </w:rPr>
      </w:pPr>
    </w:p>
    <w:p>
      <w:pPr>
        <w:ind w:right="220" w:firstLine="158"/>
        <w:spacing w:after="0" w:line="268" w:lineRule="auto"/>
        <w:rPr>
          <w:sz w:val="20"/>
          <w:szCs w:val="20"/>
          <w:color w:val="auto"/>
        </w:rPr>
      </w:pPr>
      <w:r>
        <w:rPr>
          <w:rFonts w:ascii="Arial" w:cs="Arial" w:eastAsia="Arial" w:hAnsi="Arial"/>
          <w:sz w:val="16"/>
          <w:szCs w:val="16"/>
          <w:color w:val="auto"/>
        </w:rPr>
        <w:t>The following table sets forth security ownership information as of September 28, 2001,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6"/>
              </w:rPr>
              <w:t>Number of</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240" w:type="dxa"/>
            <w:vAlign w:val="bottom"/>
          </w:tcPr>
          <w:p>
            <w:pPr>
              <w:spacing w:after="0"/>
              <w:rPr>
                <w:sz w:val="13"/>
                <w:szCs w:val="13"/>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2"/>
              </w:rPr>
              <w:t>Shares Owned (1)</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Right to Acquire (2)</w:t>
            </w:r>
          </w:p>
        </w:tc>
        <w:tc>
          <w:tcPr>
            <w:tcW w:w="22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Total</w:t>
            </w:r>
          </w:p>
        </w:tc>
        <w:tc>
          <w:tcPr>
            <w:tcW w:w="12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Class (3)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AXA (4)</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47,336,158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47,336,158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1290 Avenue of the Americas</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York, NY 10104</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FMR Corp. (5)</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89,623,706</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89,623,706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199"/>
        </w:trPr>
        <w:tc>
          <w:tcPr>
            <w:tcW w:w="3900" w:type="dxa"/>
            <w:vAlign w:val="bottom"/>
            <w:gridSpan w:val="3"/>
          </w:tcPr>
          <w:p>
            <w:pPr>
              <w:spacing w:after="0"/>
              <w:rPr>
                <w:sz w:val="20"/>
                <w:szCs w:val="20"/>
                <w:color w:val="auto"/>
              </w:rPr>
            </w:pPr>
            <w:r>
              <w:rPr>
                <w:rFonts w:ascii="Arial" w:cs="Arial" w:eastAsia="Arial" w:hAnsi="Arial"/>
                <w:sz w:val="16"/>
                <w:szCs w:val="16"/>
                <w:color w:val="auto"/>
              </w:rPr>
              <w:t>82 Devonshire Street</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00" w:type="dxa"/>
            <w:vAlign w:val="bottom"/>
            <w:gridSpan w:val="3"/>
          </w:tcPr>
          <w:p>
            <w:pPr>
              <w:spacing w:after="0"/>
              <w:rPr>
                <w:sz w:val="20"/>
                <w:szCs w:val="20"/>
                <w:color w:val="auto"/>
              </w:rPr>
            </w:pPr>
            <w:r>
              <w:rPr>
                <w:rFonts w:ascii="Arial" w:cs="Arial" w:eastAsia="Arial" w:hAnsi="Arial"/>
                <w:sz w:val="16"/>
                <w:szCs w:val="16"/>
                <w:color w:val="auto"/>
              </w:rPr>
              <w:t>Boston, MA 02109</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Texas Instruments Incorporated (6)</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56,952,399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56,952,399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7839 Churchill Way M.S. 3999</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Dallas, TX 75251</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Steven R. Appleton (7)</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389,692</w:t>
            </w:r>
          </w:p>
        </w:tc>
        <w:tc>
          <w:tcPr>
            <w:tcW w:w="1580" w:type="dxa"/>
            <w:vAlign w:val="bottom"/>
          </w:tcPr>
          <w:p>
            <w:pPr>
              <w:jc w:val="right"/>
              <w:spacing w:after="0"/>
              <w:rPr>
                <w:sz w:val="20"/>
                <w:szCs w:val="20"/>
                <w:color w:val="auto"/>
              </w:rPr>
            </w:pPr>
            <w:r>
              <w:rPr>
                <w:rFonts w:ascii="Arial" w:cs="Arial" w:eastAsia="Arial" w:hAnsi="Arial"/>
                <w:sz w:val="16"/>
                <w:szCs w:val="16"/>
                <w:color w:val="auto"/>
              </w:rPr>
              <w:t>384,756</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774,448</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24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62,085</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62,085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 Mark Durcan (8)</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50,177</w:t>
            </w:r>
          </w:p>
        </w:tc>
        <w:tc>
          <w:tcPr>
            <w:tcW w:w="1580" w:type="dxa"/>
            <w:vAlign w:val="bottom"/>
          </w:tcPr>
          <w:p>
            <w:pPr>
              <w:jc w:val="right"/>
              <w:spacing w:after="0"/>
              <w:rPr>
                <w:sz w:val="20"/>
                <w:szCs w:val="20"/>
                <w:color w:val="auto"/>
              </w:rPr>
            </w:pPr>
            <w:r>
              <w:rPr>
                <w:rFonts w:ascii="Arial" w:cs="Arial" w:eastAsia="Arial" w:hAnsi="Arial"/>
                <w:sz w:val="16"/>
                <w:szCs w:val="16"/>
                <w:color w:val="auto"/>
              </w:rPr>
              <w:t>382,000</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432,177</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Joel J. Kocher (9)</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12,096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12,096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Roderic W. Lewis</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22,344</w:t>
            </w:r>
          </w:p>
        </w:tc>
        <w:tc>
          <w:tcPr>
            <w:tcW w:w="1580" w:type="dxa"/>
            <w:vAlign w:val="bottom"/>
          </w:tcPr>
          <w:p>
            <w:pPr>
              <w:jc w:val="right"/>
              <w:spacing w:after="0"/>
              <w:rPr>
                <w:sz w:val="20"/>
                <w:szCs w:val="20"/>
                <w:color w:val="auto"/>
              </w:rPr>
            </w:pPr>
            <w:r>
              <w:rPr>
                <w:rFonts w:ascii="Arial" w:cs="Arial" w:eastAsia="Arial" w:hAnsi="Arial"/>
                <w:sz w:val="16"/>
                <w:szCs w:val="16"/>
                <w:color w:val="auto"/>
              </w:rPr>
              <w:t>368,554</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390,898</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A. Lothrop (10)</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85,994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62,085</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148,079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Thomas T. Nicholson (11)</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2,819,940</w:t>
            </w:r>
          </w:p>
        </w:tc>
        <w:tc>
          <w:tcPr>
            <w:tcW w:w="1580" w:type="dxa"/>
            <w:vAlign w:val="bottom"/>
          </w:tcPr>
          <w:p>
            <w:pPr>
              <w:jc w:val="right"/>
              <w:spacing w:after="0"/>
              <w:rPr>
                <w:sz w:val="20"/>
                <w:szCs w:val="20"/>
                <w:color w:val="auto"/>
              </w:rPr>
            </w:pPr>
            <w:r>
              <w:rPr>
                <w:rFonts w:ascii="Arial" w:cs="Arial" w:eastAsia="Arial" w:hAnsi="Arial"/>
                <w:sz w:val="16"/>
                <w:szCs w:val="16"/>
                <w:color w:val="auto"/>
              </w:rPr>
              <w:t>62,085</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2,882,025</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W. Sadler</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16,400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199,880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216,280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Don J. Simplot (12)</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87,306</w:t>
            </w:r>
          </w:p>
        </w:tc>
        <w:tc>
          <w:tcPr>
            <w:tcW w:w="1580" w:type="dxa"/>
            <w:vAlign w:val="bottom"/>
          </w:tcPr>
          <w:p>
            <w:pPr>
              <w:jc w:val="right"/>
              <w:spacing w:after="0"/>
              <w:rPr>
                <w:sz w:val="20"/>
                <w:szCs w:val="20"/>
                <w:color w:val="auto"/>
              </w:rPr>
            </w:pPr>
            <w:r>
              <w:rPr>
                <w:rFonts w:ascii="Arial" w:cs="Arial" w:eastAsia="Arial" w:hAnsi="Arial"/>
                <w:sz w:val="16"/>
                <w:szCs w:val="16"/>
                <w:color w:val="auto"/>
              </w:rPr>
              <w:t>58,967</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146,273</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Gordon C. Smith (13)</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1,196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27,196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Wilbur G. Stover, Jr. (14)</w:t>
            </w: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42,956</w:t>
            </w:r>
          </w:p>
        </w:tc>
        <w:tc>
          <w:tcPr>
            <w:tcW w:w="1580" w:type="dxa"/>
            <w:vAlign w:val="bottom"/>
          </w:tcPr>
          <w:p>
            <w:pPr>
              <w:jc w:val="right"/>
              <w:spacing w:after="0"/>
              <w:rPr>
                <w:sz w:val="20"/>
                <w:szCs w:val="20"/>
                <w:color w:val="auto"/>
              </w:rPr>
            </w:pPr>
            <w:r>
              <w:rPr>
                <w:rFonts w:ascii="Arial" w:cs="Arial" w:eastAsia="Arial" w:hAnsi="Arial"/>
                <w:sz w:val="16"/>
                <w:szCs w:val="16"/>
                <w:color w:val="auto"/>
              </w:rPr>
              <w:t>268,000</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310,956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P. Weber</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73,848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93,848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w w:val="92"/>
              </w:rPr>
              <w:t>All directors and executive officers as a group (15 persons)</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spacing w:after="0"/>
              <w:rPr>
                <w:sz w:val="20"/>
                <w:szCs w:val="20"/>
                <w:color w:val="auto"/>
              </w:rPr>
            </w:pPr>
            <w:r>
              <w:rPr>
                <w:rFonts w:ascii="Arial" w:cs="Arial" w:eastAsia="Arial" w:hAnsi="Arial"/>
                <w:sz w:val="16"/>
                <w:szCs w:val="16"/>
                <w:color w:val="auto"/>
              </w:rPr>
              <w:t>(15)</w:t>
            </w:r>
          </w:p>
        </w:tc>
        <w:tc>
          <w:tcPr>
            <w:tcW w:w="2380" w:type="dxa"/>
            <w:vAlign w:val="bottom"/>
          </w:tcPr>
          <w:p>
            <w:pPr>
              <w:spacing w:after="0"/>
              <w:rPr>
                <w:sz w:val="17"/>
                <w:szCs w:val="17"/>
                <w:color w:val="auto"/>
              </w:rPr>
            </w:pPr>
          </w:p>
        </w:tc>
        <w:tc>
          <w:tcPr>
            <w:tcW w:w="2860" w:type="dxa"/>
            <w:vAlign w:val="bottom"/>
            <w:gridSpan w:val="3"/>
          </w:tcPr>
          <w:p>
            <w:pPr>
              <w:jc w:val="right"/>
              <w:ind w:right="580"/>
              <w:spacing w:after="0"/>
              <w:rPr>
                <w:sz w:val="20"/>
                <w:szCs w:val="20"/>
                <w:color w:val="auto"/>
              </w:rPr>
            </w:pPr>
            <w:r>
              <w:rPr>
                <w:rFonts w:ascii="Arial" w:cs="Arial" w:eastAsia="Arial" w:hAnsi="Arial"/>
                <w:sz w:val="16"/>
                <w:szCs w:val="16"/>
                <w:color w:val="auto"/>
              </w:rPr>
              <w:t>3,936,617</w:t>
            </w:r>
          </w:p>
        </w:tc>
        <w:tc>
          <w:tcPr>
            <w:tcW w:w="1580" w:type="dxa"/>
            <w:vAlign w:val="bottom"/>
          </w:tcPr>
          <w:p>
            <w:pPr>
              <w:jc w:val="right"/>
              <w:spacing w:after="0"/>
              <w:rPr>
                <w:sz w:val="20"/>
                <w:szCs w:val="20"/>
                <w:color w:val="auto"/>
              </w:rPr>
            </w:pPr>
            <w:r>
              <w:rPr>
                <w:rFonts w:ascii="Arial" w:cs="Arial" w:eastAsia="Arial" w:hAnsi="Arial"/>
                <w:sz w:val="16"/>
                <w:szCs w:val="16"/>
                <w:color w:val="auto"/>
              </w:rPr>
              <w:t>2,641,820</w:t>
            </w:r>
          </w:p>
        </w:tc>
        <w:tc>
          <w:tcPr>
            <w:tcW w:w="1820" w:type="dxa"/>
            <w:vAlign w:val="bottom"/>
            <w:gridSpan w:val="3"/>
          </w:tcPr>
          <w:p>
            <w:pPr>
              <w:jc w:val="right"/>
              <w:ind w:right="240"/>
              <w:spacing w:after="0"/>
              <w:rPr>
                <w:sz w:val="20"/>
                <w:szCs w:val="20"/>
                <w:color w:val="auto"/>
              </w:rPr>
            </w:pPr>
            <w:r>
              <w:rPr>
                <w:rFonts w:ascii="Arial" w:cs="Arial" w:eastAsia="Arial" w:hAnsi="Arial"/>
                <w:sz w:val="16"/>
                <w:szCs w:val="16"/>
                <w:color w:val="auto"/>
              </w:rPr>
              <w:t>6,578,437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-3055620</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-3055620</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-3055620</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-3055620</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-3055620</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-3055620</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-3055620</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-3055620</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7160260</wp:posOffset>
            </wp:positionH>
            <wp:positionV relativeFrom="paragraph">
              <wp:posOffset>-3055620</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-3055620</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98" w:orient="portrait"/>
          <w:cols w:equalWidth="0" w:num="1">
            <w:col w:w="11420"/>
          </w:cols>
          <w:pgMar w:left="240" w:top="131" w:right="239" w:bottom="0" w:gutter="0" w:footer="0" w:header="0"/>
        </w:sectPr>
      </w:pPr>
    </w:p>
    <w:bookmarkStart w:id="3" w:name="page4"/>
    <w:bookmarkEnd w:id="3"/>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Less than 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Excludes shares that may be acquired through the exercise of outstanding stock options.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Represents shares that an individual or entity has a right to acquire within 60 days of September 28, 2001.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right="220"/>
        <w:spacing w:after="0" w:line="312" w:lineRule="auto"/>
        <w:rPr>
          <w:sz w:val="20"/>
          <w:szCs w:val="20"/>
          <w:color w:val="auto"/>
        </w:rPr>
      </w:pPr>
      <w:r>
        <w:rPr>
          <w:rFonts w:ascii="Arial" w:cs="Arial" w:eastAsia="Arial" w:hAnsi="Arial"/>
          <w:sz w:val="15"/>
          <w:szCs w:val="15"/>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500" w:right="300"/>
        <w:spacing w:after="0" w:line="268" w:lineRule="auto"/>
        <w:rPr>
          <w:sz w:val="20"/>
          <w:szCs w:val="20"/>
          <w:color w:val="auto"/>
        </w:rPr>
      </w:pPr>
      <w:r>
        <w:rPr>
          <w:rFonts w:ascii="Arial" w:cs="Arial" w:eastAsia="Arial" w:hAnsi="Arial"/>
          <w:sz w:val="16"/>
          <w:szCs w:val="16"/>
          <w:color w:val="auto"/>
        </w:rPr>
        <w:t>Includes 43,038,351 shares beneficially owned by Alliance Capital Management L.P.; 4,134,357 shares beneficially owned by AXA entities; and 163,450 shares beneficially owned by the Equitable Life Assurance Society of the United States. With respect to the total number of shares owned, AXA has the sole power to vote 16,230,304 shares, shared power to vote 17,621,621 shares, sole power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580"/>
        <w:spacing w:after="0" w:line="287" w:lineRule="auto"/>
        <w:rPr>
          <w:sz w:val="20"/>
          <w:szCs w:val="20"/>
          <w:color w:val="auto"/>
        </w:rPr>
      </w:pPr>
      <w:r>
        <w:rPr>
          <w:rFonts w:ascii="Arial" w:cs="Arial" w:eastAsia="Arial" w:hAnsi="Arial"/>
          <w:sz w:val="16"/>
          <w:szCs w:val="16"/>
          <w:color w:val="auto"/>
        </w:rPr>
        <w:t>dispose 47,335,187 shares and shared power to dispose 971 shares. This information is based upon information dated as of September 30, 2001, provided to the Company by AXA.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2" w:lineRule="exact"/>
        <w:rPr>
          <w:sz w:val="20"/>
          <w:szCs w:val="20"/>
          <w:color w:val="auto"/>
        </w:rPr>
      </w:pPr>
    </w:p>
    <w:p>
      <w:pPr>
        <w:ind w:left="500" w:right="40"/>
        <w:spacing w:after="0" w:line="268" w:lineRule="auto"/>
        <w:rPr>
          <w:sz w:val="20"/>
          <w:szCs w:val="20"/>
          <w:color w:val="auto"/>
        </w:rPr>
      </w:pPr>
      <w:r>
        <w:rPr>
          <w:rFonts w:ascii="Arial" w:cs="Arial" w:eastAsia="Arial" w:hAnsi="Arial"/>
          <w:sz w:val="16"/>
          <w:szCs w:val="16"/>
          <w:color w:val="auto"/>
        </w:rPr>
        <w:t>Includes 75,491,067 shares beneficially owned by Fidelity Management &amp; Research Company and FMR Co., Inc.; 9,231,833 shares beneficially owned by Fidelity Management Trust Company; and 4,900,806 shares beneficially owned by Fidelity International Limited. This information is based upon a letter dated October 1, 2001, provided to the Company by Fidelity Management &amp; Research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2" w:lineRule="exact"/>
        <w:rPr>
          <w:sz w:val="20"/>
          <w:szCs w:val="20"/>
          <w:color w:val="auto"/>
        </w:rPr>
      </w:pPr>
    </w:p>
    <w:p>
      <w:pPr>
        <w:ind w:left="500" w:right="20"/>
        <w:spacing w:after="0" w:line="294" w:lineRule="auto"/>
        <w:rPr>
          <w:sz w:val="20"/>
          <w:szCs w:val="20"/>
          <w:color w:val="auto"/>
        </w:rPr>
      </w:pPr>
      <w:r>
        <w:rPr>
          <w:rFonts w:ascii="Arial" w:cs="Arial" w:eastAsia="Arial" w:hAnsi="Arial"/>
          <w:sz w:val="15"/>
          <w:szCs w:val="15"/>
          <w:color w:val="auto"/>
        </w:rPr>
        <w:t>Pursuant to an agreement between Texas Instruments Incorporated ("TI") and the Company, TI has agreed that, subject to certain conditions, it will vote its shares of the Company's Common Stock in the same proportion (for, against and abstain) as votes cast by the other holders of the Company's Common Stock with respect to each matter submitted to the shareholders. The information regarding the number of shares owned by TI was confirmed by TI on September 24, 2001.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Includes 20,000 shares beneficially owned by Mesa L.P.</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Includes 3,101 shares held by Mr. Durcan's spouse.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22" w:lineRule="exact"/>
        <w:rPr>
          <w:sz w:val="20"/>
          <w:szCs w:val="20"/>
          <w:color w:val="auto"/>
        </w:rPr>
      </w:pPr>
    </w:p>
    <w:p>
      <w:pPr>
        <w:ind w:left="500" w:right="100"/>
        <w:spacing w:after="0" w:line="278" w:lineRule="auto"/>
        <w:rPr>
          <w:sz w:val="20"/>
          <w:szCs w:val="20"/>
          <w:color w:val="auto"/>
        </w:rPr>
      </w:pPr>
      <w:r>
        <w:rPr>
          <w:rFonts w:ascii="Arial" w:cs="Arial" w:eastAsia="Arial" w:hAnsi="Arial"/>
          <w:sz w:val="16"/>
          <w:szCs w:val="16"/>
          <w:color w:val="auto"/>
        </w:rPr>
        <w:t>Mr. Kocher is the Chairman and Chief Executive Officer of Interland, Inc., a former subsidiary of the Company. Mr. Kocher no longer serves as an executive officer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Includes 79,170 shares beneficially owned in joint tenancy with Mr. Lothrop's spouse and 848 shares beneficially owned by Mr. Lothrop's spouse.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2" w:lineRule="exact"/>
        <w:rPr>
          <w:sz w:val="20"/>
          <w:szCs w:val="20"/>
          <w:color w:val="auto"/>
        </w:rPr>
      </w:pPr>
    </w:p>
    <w:p>
      <w:pPr>
        <w:ind w:left="500" w:right="100"/>
        <w:spacing w:after="0" w:line="312" w:lineRule="auto"/>
        <w:rPr>
          <w:sz w:val="20"/>
          <w:szCs w:val="20"/>
          <w:color w:val="auto"/>
        </w:rPr>
      </w:pPr>
      <w:r>
        <w:rPr>
          <w:rFonts w:ascii="Arial" w:cs="Arial" w:eastAsia="Arial" w:hAnsi="Arial"/>
          <w:sz w:val="15"/>
          <w:szCs w:val="15"/>
          <w:color w:val="auto"/>
        </w:rPr>
        <w:t>Includes 200,000 shares beneficially owned by Blacks Creek Ltd. Partnership; 33,340 shares beneficially owned by Mr. Nicholson's spouse; 10,000 shares beneficially owned by MN II, Inc.; 8,000 shares beneficially owned by Mountain View Equipment Company; and 200 shares beneficially owned by Peregrine Fund.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 w:lineRule="exact"/>
        <w:rPr>
          <w:sz w:val="20"/>
          <w:szCs w:val="20"/>
          <w:color w:val="auto"/>
        </w:rPr>
      </w:pPr>
    </w:p>
    <w:p>
      <w:pPr>
        <w:ind w:left="500" w:right="360"/>
        <w:spacing w:after="0" w:line="295" w:lineRule="auto"/>
        <w:rPr>
          <w:sz w:val="20"/>
          <w:szCs w:val="20"/>
          <w:color w:val="auto"/>
        </w:rPr>
      </w:pPr>
      <w:r>
        <w:rPr>
          <w:rFonts w:ascii="Arial" w:cs="Arial" w:eastAsia="Arial" w:hAnsi="Arial"/>
          <w:sz w:val="14"/>
          <w:szCs w:val="14"/>
          <w:color w:val="auto"/>
        </w:rPr>
        <w:t>Does not include shares beneficially owned by J.R. Simplot Company. Mr. Simplot may be deemed to be the beneficial owner of shares beneficially owned by J.R. Simplot Company because he is a shareholder and director of J.R. Simplot Company. J.R. Simplot Company beneficially owns 28,832,000 shares which include</w:t>
      </w:r>
    </w:p>
    <w:p>
      <w:pPr>
        <w:spacing w:after="0" w:line="1" w:lineRule="exact"/>
        <w:rPr>
          <w:sz w:val="20"/>
          <w:szCs w:val="20"/>
          <w:color w:val="auto"/>
        </w:rPr>
      </w:pPr>
    </w:p>
    <w:p>
      <w:pPr>
        <w:ind w:left="500" w:hanging="4"/>
        <w:spacing w:after="0" w:line="314" w:lineRule="auto"/>
        <w:tabs>
          <w:tab w:leader="none" w:pos="693" w:val="left"/>
        </w:tabs>
        <w:numPr>
          <w:ilvl w:val="0"/>
          <w:numId w:val="4"/>
        </w:numPr>
        <w:rPr>
          <w:rFonts w:ascii="Arial" w:cs="Arial" w:eastAsia="Arial" w:hAnsi="Arial"/>
          <w:sz w:val="14"/>
          <w:szCs w:val="14"/>
          <w:color w:val="auto"/>
        </w:rPr>
      </w:pPr>
      <w:r>
        <w:rPr>
          <w:rFonts w:ascii="Arial" w:cs="Arial" w:eastAsia="Arial" w:hAnsi="Arial"/>
          <w:sz w:val="14"/>
          <w:szCs w:val="14"/>
          <w:color w:val="auto"/>
        </w:rPr>
        <w:t>17,094,774 shares as to which J.R. Simplot Company has both voting and dispositive power, (ii) 2.5 million shares as to which J.R. Simplot Company has dispositive power, but not voting power, and (iii) 4,237,226 million shares as to which J.R. Simplot Company has voting power, but not dispositive power. The number of shares beneficially owned by J.R. Simplot Company excludes 190,000 shares held by the Simplot Foundation, the directors of which are directors or officers of J.R. Simplot Company. The information with regard to the J.R. Simplot Company was provided to the Company by J.R. Simplot Company on October 5, 2001.</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shares are held in the name of G.C. Smith, LLC.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Includes 3,900 shares held by Mr. Stover's minor children.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Does not include shares beneficially owned by J.R. Simplot Company (see footnote (12) above).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BUSINESS TO BE TRANSACTED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w:t>
      </w:r>
    </w:p>
    <w:p>
      <w:pPr>
        <w:spacing w:after="0" w:line="217" w:lineRule="exact"/>
        <w:rPr>
          <w:sz w:val="20"/>
          <w:szCs w:val="20"/>
          <w:color w:val="auto"/>
        </w:rPr>
      </w:pPr>
    </w:p>
    <w:p>
      <w:pPr>
        <w:ind w:firstLine="158"/>
        <w:spacing w:after="0" w:line="312" w:lineRule="auto"/>
        <w:rPr>
          <w:sz w:val="20"/>
          <w:szCs w:val="20"/>
          <w:color w:val="auto"/>
        </w:rPr>
      </w:pPr>
      <w:r>
        <w:rPr>
          <w:rFonts w:ascii="Arial" w:cs="Arial" w:eastAsia="Arial" w:hAnsi="Arial"/>
          <w:sz w:val="14"/>
          <w:szCs w:val="14"/>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If additional persons are nominated for election as directors, the proxy holders intend to vote all proxies received by them in such a manner as will ensure the election of as many of the nominees listed</w:t>
      </w:r>
    </w:p>
    <w:p>
      <w:pPr>
        <w:sectPr>
          <w:pgSz w:w="11900" w:h="16915" w:orient="portrait"/>
          <w:cols w:equalWidth="0" w:num="1">
            <w:col w:w="11380"/>
          </w:cols>
          <w:pgMar w:left="240" w:top="131" w:right="279" w:bottom="0" w:gutter="0" w:footer="0" w:header="0"/>
        </w:sectPr>
      </w:pPr>
    </w:p>
    <w:bookmarkStart w:id="4" w:name="page5"/>
    <w:bookmarkEnd w:id="4"/>
    <w:p>
      <w:pPr>
        <w:spacing w:after="0" w:line="136" w:lineRule="exact"/>
        <w:rPr>
          <w:sz w:val="20"/>
          <w:szCs w:val="20"/>
          <w:color w:val="auto"/>
        </w:rPr>
      </w:pPr>
    </w:p>
    <w:p>
      <w:pPr>
        <w:ind w:right="220"/>
        <w:spacing w:after="0" w:line="329" w:lineRule="auto"/>
        <w:rPr>
          <w:sz w:val="20"/>
          <w:szCs w:val="20"/>
          <w:color w:val="auto"/>
        </w:rPr>
      </w:pPr>
      <w:r>
        <w:rPr>
          <w:rFonts w:ascii="Arial" w:cs="Arial" w:eastAsia="Arial" w:hAnsi="Arial"/>
          <w:sz w:val="14"/>
          <w:szCs w:val="14"/>
          <w:color w:val="auto"/>
        </w:rPr>
        <w:t>below as possible.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case of earlier resignation or removal. The names of the seven nominees and certain information about them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Served as a</w:t>
            </w: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 of Nominee</w:t>
            </w:r>
          </w:p>
        </w:tc>
        <w:tc>
          <w:tcPr>
            <w:tcW w:w="220" w:type="dxa"/>
            <w:vAlign w:val="bottom"/>
          </w:tcPr>
          <w:p>
            <w:pPr>
              <w:spacing w:after="0"/>
              <w:rPr>
                <w:sz w:val="13"/>
                <w:szCs w:val="13"/>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b w:val="1"/>
                <w:bCs w:val="1"/>
                <w:color w:val="auto"/>
              </w:rPr>
              <w:t>Age</w:t>
            </w:r>
          </w:p>
        </w:tc>
        <w:tc>
          <w:tcPr>
            <w:tcW w:w="220" w:type="dxa"/>
            <w:vAlign w:val="bottom"/>
          </w:tcPr>
          <w:p>
            <w:pPr>
              <w:spacing w:after="0"/>
              <w:rPr>
                <w:sz w:val="13"/>
                <w:szCs w:val="13"/>
                <w:color w:val="auto"/>
              </w:rPr>
            </w:pPr>
          </w:p>
        </w:tc>
        <w:tc>
          <w:tcPr>
            <w:tcW w:w="5500" w:type="dxa"/>
            <w:vAlign w:val="bottom"/>
          </w:tcPr>
          <w:p>
            <w:pPr>
              <w:ind w:left="2180"/>
              <w:spacing w:after="0"/>
              <w:rPr>
                <w:sz w:val="20"/>
                <w:szCs w:val="20"/>
                <w:color w:val="auto"/>
              </w:rPr>
            </w:pPr>
            <w:r>
              <w:rPr>
                <w:rFonts w:ascii="Arial" w:cs="Arial" w:eastAsia="Arial" w:hAnsi="Arial"/>
                <w:sz w:val="12"/>
                <w:szCs w:val="12"/>
                <w:b w:val="1"/>
                <w:bCs w:val="1"/>
                <w:color w:val="auto"/>
              </w:rPr>
              <w:t>Principal Occupation</w:t>
            </w:r>
          </w:p>
        </w:tc>
        <w:tc>
          <w:tcPr>
            <w:tcW w:w="240" w:type="dxa"/>
            <w:vAlign w:val="bottom"/>
          </w:tcPr>
          <w:p>
            <w:pPr>
              <w:spacing w:after="0"/>
              <w:rPr>
                <w:sz w:val="13"/>
                <w:szCs w:val="13"/>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Director Since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Chief Executive Officer and President of the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James W. Bagley</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Lam Research Corporation</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A. Lothrop</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Retired, former Senior Vice President of J.R. Simplot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Thomas T. Nicholson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w w:val="91"/>
              </w:rPr>
              <w:t>Vice President and member of the Board of Directors of Honda of Seattle and Toyota</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of Seattle and Vice President of Mountain View Equipment Company</w:t>
            </w: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Don J. Simplot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Director of J.R. Simplot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Gordon C. Smith</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G.C. Smith, LLC</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w w:val="94"/>
              </w:rPr>
              <w:t>1990(3)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P. Weber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Retired, former Vice Chairman of Texas Instruments Incorporated</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-1163955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-1163955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-1163955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-1163955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-1163955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-1163955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-1163955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-1163955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Appleton also served as a member of the Board of Directors of the Company between April 1991 and July 1992.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Lothrop also served as a member of the Board of Directors of the Company between August 1986 and July 1992.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Smith also served as a member of the Board of Directors of the Company between February 1982 and February 1984.</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Set forth below are the principal occupations of the nominees for at least the past 5 years:</w:t>
      </w:r>
    </w:p>
    <w:p>
      <w:pPr>
        <w:spacing w:after="0" w:line="213" w:lineRule="exact"/>
        <w:rPr>
          <w:sz w:val="20"/>
          <w:szCs w:val="20"/>
          <w:color w:val="auto"/>
        </w:rPr>
      </w:pPr>
    </w:p>
    <w:p>
      <w:pPr>
        <w:ind w:right="80" w:firstLine="161"/>
        <w:spacing w:after="0" w:line="322" w:lineRule="auto"/>
        <w:rPr>
          <w:sz w:val="20"/>
          <w:szCs w:val="20"/>
          <w:color w:val="auto"/>
        </w:rPr>
      </w:pPr>
      <w:r>
        <w:rPr>
          <w:rFonts w:ascii="Arial" w:cs="Arial" w:eastAsia="Arial" w:hAnsi="Arial"/>
          <w:sz w:val="15"/>
          <w:szCs w:val="15"/>
          <w:i w:val="1"/>
          <w:iCs w:val="1"/>
          <w:color w:val="auto"/>
        </w:rPr>
        <w:t xml:space="preserve">Steven R. Appleton </w:t>
      </w:r>
      <w:r>
        <w:rPr>
          <w:rFonts w:ascii="Arial" w:cs="Arial" w:eastAsia="Arial" w:hAnsi="Arial"/>
          <w:sz w:val="15"/>
          <w:szCs w:val="15"/>
          <w:color w:val="auto"/>
        </w:rPr>
        <w:t>joined the Company in February 1983 and has served in various capacities with the Company and its subsidiaries. Mr. Appleton first became an officer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in August 1989 and has served in various officer positions. From April 1991 until July 1992 and since May 1994, Mr. Appleton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color w:val="auto"/>
        </w:rPr>
        <w:t>has served on the Company's Board of Directors. Since September 1994, Mr. Appleton has served as the Chief Executive Officer, President and Chairman of the Board of Directors of the Company. Mr. Appleton holds a BA in Business Management from Boise State University.</w:t>
      </w:r>
    </w:p>
    <w:p>
      <w:pPr>
        <w:spacing w:after="0" w:line="156" w:lineRule="exact"/>
        <w:rPr>
          <w:sz w:val="20"/>
          <w:szCs w:val="20"/>
          <w:color w:val="auto"/>
        </w:rPr>
      </w:pPr>
    </w:p>
    <w:p>
      <w:pPr>
        <w:ind w:right="100" w:firstLine="161"/>
        <w:spacing w:after="0" w:line="264"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Chairman and Chief Executive Officer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1997, upon consummation of a merger of OnTrak Systems, Inc. ("OnTrak"), a supplier of semiconductor manufacturing equipment, into Lam. From June 1996 to August 1997, Mr. Bagley served as the Chairman and Chief Executive Officer of OnTrak. Prior to joining OnTrak, Mr. Bagley was employed by Applied Materials, Inc., also a supplier of semiconductor manufacturing equipment, for 15 years in various senior management positions, including Chief Operating Officer and Vice Chairman of the Board. Mr. Bagley is a member of the Board of Directors of Teradyne, Inc. and Wind River Systems, Inc. He has served on the Company's Board of Directors since June 1997. Mr. Bagley holds a BS and MS in Electrical Engineering from Mississippi State University.</w:t>
      </w:r>
    </w:p>
    <w:p>
      <w:pPr>
        <w:spacing w:after="0" w:line="176" w:lineRule="exact"/>
        <w:rPr>
          <w:sz w:val="20"/>
          <w:szCs w:val="20"/>
          <w:color w:val="auto"/>
        </w:rPr>
      </w:pPr>
    </w:p>
    <w:p>
      <w:pPr>
        <w:ind w:right="120" w:firstLine="161"/>
        <w:spacing w:after="0" w:line="273"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 January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1986 until July 1992 and since May 1994, Mr. Lothrop has served on the Company's Board of Directors. Mr. Lothrop holds a BS in Engineering from the University of Idaho.</w:t>
      </w:r>
    </w:p>
    <w:p>
      <w:pPr>
        <w:spacing w:after="0" w:line="166" w:lineRule="exact"/>
        <w:rPr>
          <w:sz w:val="20"/>
          <w:szCs w:val="20"/>
          <w:color w:val="auto"/>
        </w:rPr>
      </w:pPr>
    </w:p>
    <w:p>
      <w:pPr>
        <w:ind w:right="120" w:firstLine="161"/>
        <w:spacing w:after="0" w:line="299" w:lineRule="auto"/>
        <w:rPr>
          <w:sz w:val="20"/>
          <w:szCs w:val="20"/>
          <w:color w:val="auto"/>
        </w:rPr>
      </w:pPr>
      <w:r>
        <w:rPr>
          <w:rFonts w:ascii="Arial" w:cs="Arial" w:eastAsia="Arial" w:hAnsi="Arial"/>
          <w:sz w:val="15"/>
          <w:szCs w:val="15"/>
          <w:i w:val="1"/>
          <w:iCs w:val="1"/>
          <w:color w:val="auto"/>
        </w:rPr>
        <w:t xml:space="preserve">Thomas T. Nicholson </w:t>
      </w:r>
      <w:r>
        <w:rPr>
          <w:rFonts w:ascii="Arial" w:cs="Arial" w:eastAsia="Arial" w:hAnsi="Arial"/>
          <w:sz w:val="15"/>
          <w:szCs w:val="15"/>
          <w:color w:val="auto"/>
        </w:rPr>
        <w:t>has served as Vice President and a member of the Board of Directors of Honda of Seattle and Toyota of Seattle since 1988. Mr. Nicholson has also</w:t>
      </w:r>
      <w:r>
        <w:rPr>
          <w:rFonts w:ascii="Arial" w:cs="Arial" w:eastAsia="Arial" w:hAnsi="Arial"/>
          <w:sz w:val="15"/>
          <w:szCs w:val="15"/>
          <w:i w:val="1"/>
          <w:iCs w:val="1"/>
          <w:color w:val="auto"/>
        </w:rPr>
        <w:t xml:space="preserve"> </w:t>
      </w:r>
      <w:r>
        <w:rPr>
          <w:rFonts w:ascii="Arial" w:cs="Arial" w:eastAsia="Arial" w:hAnsi="Arial"/>
          <w:sz w:val="15"/>
          <w:szCs w:val="15"/>
          <w:color w:val="auto"/>
        </w:rPr>
        <w:t>served since May 2000 as Vice President of Mountain View Equipment Company and from 1982 to May 2000 served as President of Mountain View Equipment Company. He has served on the Company's Board of Directors since May 1980. Mr. Nicholson holds a BS in Agriculture from the University of Idaho.</w:t>
      </w:r>
    </w:p>
    <w:p>
      <w:pPr>
        <w:spacing w:after="0" w:line="150" w:lineRule="exact"/>
        <w:rPr>
          <w:sz w:val="20"/>
          <w:szCs w:val="20"/>
          <w:color w:val="auto"/>
        </w:rPr>
      </w:pPr>
    </w:p>
    <w:p>
      <w:pPr>
        <w:ind w:right="40" w:firstLine="161"/>
        <w:spacing w:after="0" w:line="273" w:lineRule="auto"/>
        <w:rPr>
          <w:sz w:val="20"/>
          <w:szCs w:val="20"/>
          <w:color w:val="auto"/>
        </w:rPr>
      </w:pPr>
      <w:r>
        <w:rPr>
          <w:rFonts w:ascii="Arial" w:cs="Arial" w:eastAsia="Arial" w:hAnsi="Arial"/>
          <w:sz w:val="16"/>
          <w:szCs w:val="16"/>
          <w:i w:val="1"/>
          <w:iCs w:val="1"/>
          <w:color w:val="auto"/>
        </w:rPr>
        <w:t xml:space="preserve">Don J. Simplot </w:t>
      </w:r>
      <w:r>
        <w:rPr>
          <w:rFonts w:ascii="Arial" w:cs="Arial" w:eastAsia="Arial" w:hAnsi="Arial"/>
          <w:sz w:val="16"/>
          <w:szCs w:val="16"/>
          <w:color w:val="auto"/>
        </w:rPr>
        <w:t>served as the President of Simplot Financial Corporation, a wholly-owned subsidiary of J.R. Simplot Company, from February 1985 until January 1992.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1955, Mr. Simplot has served in various capacities with J.R. Simplot Company, including Director. He is a member of the Board of Directors of IMPCO Technologies, Inc. Mr. Simplot has served on the Company's Board of Directors since February 1982.</w:t>
      </w:r>
    </w:p>
    <w:p>
      <w:pPr>
        <w:spacing w:after="0" w:line="166" w:lineRule="exact"/>
        <w:rPr>
          <w:sz w:val="20"/>
          <w:szCs w:val="20"/>
          <w:color w:val="auto"/>
        </w:rPr>
      </w:pPr>
    </w:p>
    <w:p>
      <w:pPr>
        <w:ind w:right="100" w:firstLine="161"/>
        <w:spacing w:after="0" w:line="287" w:lineRule="auto"/>
        <w:rPr>
          <w:sz w:val="20"/>
          <w:szCs w:val="20"/>
          <w:color w:val="auto"/>
        </w:rPr>
      </w:pPr>
      <w:r>
        <w:rPr>
          <w:rFonts w:ascii="Arial" w:cs="Arial" w:eastAsia="Arial" w:hAnsi="Arial"/>
          <w:sz w:val="15"/>
          <w:szCs w:val="15"/>
          <w:i w:val="1"/>
          <w:iCs w:val="1"/>
          <w:color w:val="auto"/>
        </w:rPr>
        <w:t xml:space="preserve">Gordon C. Smith </w:t>
      </w:r>
      <w:r>
        <w:rPr>
          <w:rFonts w:ascii="Arial" w:cs="Arial" w:eastAsia="Arial" w:hAnsi="Arial"/>
          <w:sz w:val="15"/>
          <w:szCs w:val="15"/>
          <w:color w:val="auto"/>
        </w:rPr>
        <w:t>has served as Chairman and Chief Executive Officer of G.C. Smith, LLC., a holding company for ranch operations and other investments, since May 2000.</w:t>
      </w:r>
      <w:r>
        <w:rPr>
          <w:rFonts w:ascii="Arial" w:cs="Arial" w:eastAsia="Arial" w:hAnsi="Arial"/>
          <w:sz w:val="15"/>
          <w:szCs w:val="15"/>
          <w:i w:val="1"/>
          <w:iCs w:val="1"/>
          <w:color w:val="auto"/>
        </w:rPr>
        <w:t xml:space="preserve"> </w:t>
      </w:r>
      <w:r>
        <w:rPr>
          <w:rFonts w:ascii="Arial" w:cs="Arial" w:eastAsia="Arial" w:hAnsi="Arial"/>
          <w:sz w:val="15"/>
          <w:szCs w:val="15"/>
          <w:color w:val="auto"/>
        </w:rPr>
        <w:t>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J.R. Simplot Company.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160" w:lineRule="exact"/>
        <w:rPr>
          <w:sz w:val="20"/>
          <w:szCs w:val="20"/>
          <w:color w:val="auto"/>
        </w:rPr>
      </w:pPr>
    </w:p>
    <w:p>
      <w:pPr>
        <w:ind w:right="20" w:firstLine="161"/>
        <w:spacing w:after="0" w:line="268" w:lineRule="auto"/>
        <w:rPr>
          <w:sz w:val="20"/>
          <w:szCs w:val="20"/>
          <w:color w:val="auto"/>
        </w:rPr>
      </w:pPr>
      <w:r>
        <w:rPr>
          <w:rFonts w:ascii="Arial" w:cs="Arial" w:eastAsia="Arial" w:hAnsi="Arial"/>
          <w:sz w:val="16"/>
          <w:szCs w:val="16"/>
          <w:i w:val="1"/>
          <w:iCs w:val="1"/>
          <w:color w:val="auto"/>
        </w:rPr>
        <w:t xml:space="preserve">William P. Weber </w:t>
      </w:r>
      <w:r>
        <w:rPr>
          <w:rFonts w:ascii="Arial" w:cs="Arial" w:eastAsia="Arial" w:hAnsi="Arial"/>
          <w:sz w:val="16"/>
          <w:szCs w:val="16"/>
          <w:color w:val="auto"/>
        </w:rPr>
        <w:t>served in various capacities with TI, a semiconductor manufacturing company, and its subsidiaries from 1962 until April 1998. From December 1986 until</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1993 he served as the President of TI's worldwide semiconductor operations and from December 1993, until his retirement in April 1998, he served as Vice Chairman of TI. He is a member of the Board of Directors of Unigraphics Solutions, Inc. He has served on the Company's Board of Directors since July 1998. Mr. Weber holds a BS in Engineering from Lamar University and a MS in Engineering from Southern Methodist University.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7" w:lineRule="exact"/>
        <w:rPr>
          <w:sz w:val="20"/>
          <w:szCs w:val="20"/>
          <w:color w:val="auto"/>
        </w:rPr>
      </w:pPr>
    </w:p>
    <w:p>
      <w:pPr>
        <w:ind w:firstLine="161"/>
        <w:spacing w:after="0" w:line="283" w:lineRule="auto"/>
        <w:rPr>
          <w:sz w:val="20"/>
          <w:szCs w:val="20"/>
          <w:color w:val="auto"/>
        </w:rPr>
      </w:pPr>
      <w:r>
        <w:rPr>
          <w:rFonts w:ascii="Arial" w:cs="Arial" w:eastAsia="Arial" w:hAnsi="Arial"/>
          <w:sz w:val="15"/>
          <w:szCs w:val="15"/>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30, 2001, except in the following instances. Due to an administrative error, a timely report on SEC Form 4 (Statement of Changes in Beneficial Ownership) was not filed for two stock option transactions by Mr. Durcan's wife on May 8, 2001. A timely report on SEC Form 4 (Statement of Changes in Beneficial Ownership) was not filed by Mr. Kocher for stock transactions on October 25, 2000.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7" w:lineRule="exact"/>
        <w:rPr>
          <w:sz w:val="20"/>
          <w:szCs w:val="20"/>
          <w:color w:val="auto"/>
        </w:rPr>
      </w:pPr>
    </w:p>
    <w:p>
      <w:pPr>
        <w:ind w:right="60" w:firstLine="161"/>
        <w:spacing w:after="0" w:line="362" w:lineRule="auto"/>
        <w:rPr>
          <w:sz w:val="20"/>
          <w:szCs w:val="20"/>
          <w:color w:val="auto"/>
        </w:rPr>
      </w:pPr>
      <w:r>
        <w:rPr>
          <w:rFonts w:ascii="Arial" w:cs="Arial" w:eastAsia="Arial" w:hAnsi="Arial"/>
          <w:sz w:val="14"/>
          <w:szCs w:val="14"/>
          <w:color w:val="auto"/>
        </w:rPr>
        <w:t>During fiscal 2001, Texas Instruments Incorporated ("TI") paid $222 thousand to the Company for memory products and service charges relating to the Company's acquisition of substantially all of TI's semiconductor memory operations on September 30, 1998 (the "Acquisition"). The Company paid $234 thousand to TI during fiscal 2001</w:t>
      </w:r>
    </w:p>
    <w:p>
      <w:pPr>
        <w:sectPr>
          <w:pgSz w:w="11900" w:h="16974" w:orient="portrait"/>
          <w:cols w:equalWidth="0" w:num="1">
            <w:col w:w="11420"/>
          </w:cols>
          <w:pgMar w:left="240" w:top="131" w:right="239" w:bottom="0" w:gutter="0" w:footer="0" w:header="0"/>
        </w:sectPr>
      </w:pPr>
    </w:p>
    <w:bookmarkStart w:id="5" w:name="page6"/>
    <w:bookmarkEnd w:id="5"/>
    <w:p>
      <w:pPr>
        <w:ind w:left="1"/>
        <w:spacing w:after="0"/>
        <w:rPr>
          <w:sz w:val="20"/>
          <w:szCs w:val="20"/>
          <w:color w:val="auto"/>
        </w:rPr>
      </w:pPr>
      <w:r>
        <w:rPr>
          <w:rFonts w:ascii="Arial" w:cs="Arial" w:eastAsia="Arial" w:hAnsi="Arial"/>
          <w:sz w:val="16"/>
          <w:szCs w:val="16"/>
          <w:color w:val="auto"/>
        </w:rPr>
        <w:t>pursuant to service contracts related to the Acquisition. TI owns more than 5% of the Company's outstanding Common Stock.</w:t>
      </w:r>
    </w:p>
    <w:p>
      <w:pPr>
        <w:spacing w:after="0" w:line="213" w:lineRule="exact"/>
        <w:rPr>
          <w:sz w:val="20"/>
          <w:szCs w:val="20"/>
          <w:color w:val="auto"/>
        </w:rPr>
      </w:pPr>
    </w:p>
    <w:p>
      <w:pPr>
        <w:ind w:left="1" w:right="500" w:firstLine="161"/>
        <w:spacing w:after="0" w:line="287" w:lineRule="auto"/>
        <w:rPr>
          <w:sz w:val="20"/>
          <w:szCs w:val="20"/>
          <w:color w:val="auto"/>
        </w:rPr>
      </w:pPr>
      <w:r>
        <w:rPr>
          <w:rFonts w:ascii="Arial" w:cs="Arial" w:eastAsia="Arial" w:hAnsi="Arial"/>
          <w:sz w:val="16"/>
          <w:szCs w:val="16"/>
          <w:color w:val="auto"/>
        </w:rPr>
        <w:t>During fiscal 2001, the Company paid $28.2 million to Lam Research Corporation for semiconductor manufacturing equipment and related services. Mr. Bagley is the Chairman and Chief Executive Officer of Lam Research Corporation.</w:t>
      </w:r>
    </w:p>
    <w:p>
      <w:pPr>
        <w:spacing w:after="0" w:line="156" w:lineRule="exact"/>
        <w:rPr>
          <w:sz w:val="20"/>
          <w:szCs w:val="20"/>
          <w:color w:val="auto"/>
        </w:rPr>
      </w:pPr>
    </w:p>
    <w:p>
      <w:pPr>
        <w:jc w:val="both"/>
        <w:ind w:left="1" w:right="80" w:firstLine="161"/>
        <w:spacing w:after="0" w:line="273" w:lineRule="auto"/>
        <w:rPr>
          <w:sz w:val="20"/>
          <w:szCs w:val="20"/>
          <w:color w:val="auto"/>
        </w:rPr>
      </w:pPr>
      <w:r>
        <w:rPr>
          <w:rFonts w:ascii="Arial" w:cs="Arial" w:eastAsia="Arial" w:hAnsi="Arial"/>
          <w:sz w:val="16"/>
          <w:szCs w:val="16"/>
          <w:color w:val="auto"/>
        </w:rPr>
        <w:t>During fiscal 2001, and prior to Interland, Inc.'s divestiture of its personal computer business on May 31, 2001, and prior to the August 6, 2001, merger of Interland, Inc. and Micron Electronics, Inc., Interland, Inc. (formerly Micron Electronics, Inc.) received payments from the J.R. Simplot Company and its affiliates of $374 thousand for computer equipment and services. Mr. Simplot is a shareholder and director of the J.R. Simplot Company.</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Board Meetings and Committees</w:t>
      </w:r>
    </w:p>
    <w:p>
      <w:pPr>
        <w:spacing w:after="0" w:line="217" w:lineRule="exact"/>
        <w:rPr>
          <w:sz w:val="20"/>
          <w:szCs w:val="20"/>
          <w:color w:val="auto"/>
        </w:rPr>
      </w:pPr>
    </w:p>
    <w:p>
      <w:pPr>
        <w:ind w:left="1" w:right="40" w:firstLine="158"/>
        <w:spacing w:after="0" w:line="287" w:lineRule="auto"/>
        <w:rPr>
          <w:sz w:val="20"/>
          <w:szCs w:val="20"/>
          <w:color w:val="auto"/>
        </w:rPr>
      </w:pPr>
      <w:r>
        <w:rPr>
          <w:rFonts w:ascii="Arial" w:cs="Arial" w:eastAsia="Arial" w:hAnsi="Arial"/>
          <w:sz w:val="16"/>
          <w:szCs w:val="16"/>
          <w:color w:val="auto"/>
        </w:rPr>
        <w:t>The Board of Directors of the Company held a total of six meetings during fiscal 2001. The Board of Directors has a standing Audit Committee and a standing Compensation Committee.</w:t>
      </w:r>
    </w:p>
    <w:p>
      <w:pPr>
        <w:spacing w:after="0" w:line="156" w:lineRule="exact"/>
        <w:rPr>
          <w:sz w:val="20"/>
          <w:szCs w:val="20"/>
          <w:color w:val="auto"/>
        </w:rPr>
      </w:pPr>
    </w:p>
    <w:p>
      <w:pPr>
        <w:ind w:left="1" w:right="200" w:firstLine="158"/>
        <w:spacing w:after="0" w:line="273" w:lineRule="auto"/>
        <w:rPr>
          <w:sz w:val="20"/>
          <w:szCs w:val="20"/>
          <w:color w:val="auto"/>
        </w:rPr>
      </w:pPr>
      <w:r>
        <w:rPr>
          <w:rFonts w:ascii="Arial" w:cs="Arial" w:eastAsia="Arial" w:hAnsi="Arial"/>
          <w:sz w:val="16"/>
          <w:szCs w:val="16"/>
          <w:color w:val="auto"/>
        </w:rPr>
        <w:t>The Audit Committee held five meetings during fiscal 2001. Messrs. Nicholson, Smith, and Weber served on the Audit Committee during all of fiscal 2001. The Audit Committee is primarily responsible for reviewing the services performed by the Company's independent accountants and evaluating the Company's accounting principles and system of internal accounting controls. See "Report of the Audit Committee of the Board of Directors."</w:t>
      </w:r>
    </w:p>
    <w:p>
      <w:pPr>
        <w:spacing w:after="0" w:line="166" w:lineRule="exact"/>
        <w:rPr>
          <w:sz w:val="20"/>
          <w:szCs w:val="20"/>
          <w:color w:val="auto"/>
        </w:rPr>
      </w:pPr>
    </w:p>
    <w:p>
      <w:pPr>
        <w:jc w:val="both"/>
        <w:ind w:left="1" w:right="20" w:firstLine="158"/>
        <w:spacing w:after="0" w:line="273" w:lineRule="auto"/>
        <w:rPr>
          <w:sz w:val="20"/>
          <w:szCs w:val="20"/>
          <w:color w:val="auto"/>
        </w:rPr>
      </w:pPr>
      <w:r>
        <w:rPr>
          <w:rFonts w:ascii="Arial" w:cs="Arial" w:eastAsia="Arial" w:hAnsi="Arial"/>
          <w:sz w:val="16"/>
          <w:szCs w:val="16"/>
          <w:color w:val="auto"/>
        </w:rPr>
        <w:t>The Compensation Committee held one meeting during fiscal 2001. Messrs. Bagley, Lothrop and Nicholson served on the Compensation Committee during all of fiscal 2001. The Compensation Committee is primarily responsible for reviewing and approving the compensation for the Company's officers. See "Report of the Compensation Committee of the Board of Directors Regarding Executive Compensation."</w:t>
      </w:r>
    </w:p>
    <w:p>
      <w:pPr>
        <w:spacing w:after="0" w:line="166" w:lineRule="exact"/>
        <w:rPr>
          <w:sz w:val="20"/>
          <w:szCs w:val="20"/>
          <w:color w:val="auto"/>
        </w:rPr>
      </w:pPr>
    </w:p>
    <w:p>
      <w:pPr>
        <w:ind w:left="161"/>
        <w:spacing w:after="0"/>
        <w:rPr>
          <w:sz w:val="20"/>
          <w:szCs w:val="20"/>
          <w:color w:val="auto"/>
        </w:rPr>
      </w:pPr>
      <w:r>
        <w:rPr>
          <w:rFonts w:ascii="Arial" w:cs="Arial" w:eastAsia="Arial" w:hAnsi="Arial"/>
          <w:sz w:val="15"/>
          <w:szCs w:val="15"/>
          <w:color w:val="auto"/>
        </w:rPr>
        <w:t>During fiscal 2001, all incumbent directors other than Mr. Smith attended 75% or more of the aggregate of (i) the total number of meetings of the Board of Directors and</w:t>
      </w:r>
    </w:p>
    <w:p>
      <w:pPr>
        <w:spacing w:after="0" w:line="33" w:lineRule="exact"/>
        <w:rPr>
          <w:sz w:val="20"/>
          <w:szCs w:val="20"/>
          <w:color w:val="auto"/>
        </w:rPr>
      </w:pPr>
    </w:p>
    <w:p>
      <w:pPr>
        <w:ind w:left="5681" w:right="2500" w:hanging="5681"/>
        <w:spacing w:after="0" w:line="537" w:lineRule="auto"/>
        <w:tabs>
          <w:tab w:leader="none" w:pos="2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total number of meetings of all committees of the Board on which they served. Mr. Smith attended 73% of the aggregate meetings.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COMPENSATION OF DIRECTORS AND EXECUTIVE OFFICERS</w:t>
      </w:r>
    </w:p>
    <w:p>
      <w:pPr>
        <w:spacing w:after="0" w:line="217" w:lineRule="exact"/>
        <w:rPr>
          <w:sz w:val="20"/>
          <w:szCs w:val="20"/>
          <w:color w:val="auto"/>
        </w:rPr>
      </w:pPr>
    </w:p>
    <w:p>
      <w:pPr>
        <w:ind w:left="1" w:right="160" w:firstLine="158"/>
        <w:spacing w:after="0" w:line="268" w:lineRule="auto"/>
        <w:rPr>
          <w:sz w:val="20"/>
          <w:szCs w:val="20"/>
          <w:color w:val="auto"/>
        </w:rPr>
      </w:pPr>
      <w:r>
        <w:rPr>
          <w:rFonts w:ascii="Arial" w:cs="Arial" w:eastAsia="Arial" w:hAnsi="Arial"/>
          <w:sz w:val="16"/>
          <w:szCs w:val="16"/>
          <w:color w:val="auto"/>
        </w:rPr>
        <w:t>The following table shows all compensation earned by the Company's Chief Executive Officer during fiscal 2001 and the Company's other four most highly compensated executive officers who were serving as executive officers at the end of fiscal 2001 and Joel J. Kocher, who would have been one of the Company's most highly compensated officers but for the fact that he was not serving as an executive officer of the Company at the end of fiscal 2001 (collectively, the "Named Executive Officers"), for all services rendered to the Company and its subsidiaries for each of the last three completed fiscal years: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COMPENSATION TABLE</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gridSpan w:val="6"/>
          </w:tcPr>
          <w:p>
            <w:pPr>
              <w:jc w:val="right"/>
              <w:ind w:right="980"/>
              <w:spacing w:after="0"/>
              <w:rPr>
                <w:sz w:val="20"/>
                <w:szCs w:val="20"/>
                <w:color w:val="auto"/>
              </w:rPr>
            </w:pPr>
            <w:r>
              <w:rPr>
                <w:rFonts w:ascii="Arial" w:cs="Arial" w:eastAsia="Arial" w:hAnsi="Arial"/>
                <w:sz w:val="12"/>
                <w:szCs w:val="12"/>
                <w:b w:val="1"/>
                <w:bCs w:val="1"/>
                <w:color w:val="auto"/>
              </w:rPr>
              <w:t>Annual Compensation</w:t>
            </w:r>
          </w:p>
        </w:tc>
        <w:tc>
          <w:tcPr>
            <w:tcW w:w="3540" w:type="dxa"/>
            <w:vAlign w:val="bottom"/>
            <w:gridSpan w:val="5"/>
          </w:tcPr>
          <w:p>
            <w:pPr>
              <w:jc w:val="right"/>
              <w:ind w:right="1080"/>
              <w:spacing w:after="0"/>
              <w:rPr>
                <w:sz w:val="20"/>
                <w:szCs w:val="20"/>
                <w:color w:val="auto"/>
              </w:rPr>
            </w:pPr>
            <w:r>
              <w:rPr>
                <w:rFonts w:ascii="Arial" w:cs="Arial" w:eastAsia="Arial" w:hAnsi="Arial"/>
                <w:sz w:val="12"/>
                <w:szCs w:val="12"/>
                <w:b w:val="1"/>
                <w:bCs w:val="1"/>
                <w:color w:val="auto"/>
              </w:rPr>
              <w:t>Long-Term Compensation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Fiscal</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Options</w:t>
            </w:r>
          </w:p>
        </w:tc>
        <w:tc>
          <w:tcPr>
            <w:tcW w:w="320" w:type="dxa"/>
            <w:vAlign w:val="bottom"/>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1"/>
        </w:trPr>
        <w:tc>
          <w:tcPr>
            <w:tcW w:w="390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2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Year</w:t>
            </w:r>
          </w:p>
        </w:tc>
        <w:tc>
          <w:tcPr>
            <w:tcW w:w="18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Salary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Bonus (2)</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Granted (3)</w:t>
            </w:r>
          </w:p>
        </w:tc>
        <w:tc>
          <w:tcPr>
            <w:tcW w:w="320" w:type="dxa"/>
            <w:vAlign w:val="bottom"/>
          </w:tcPr>
          <w:p>
            <w:pPr>
              <w:spacing w:after="0"/>
              <w:rPr>
                <w:sz w:val="13"/>
                <w:szCs w:val="13"/>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Compensation (4)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784,616</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39,137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Chairman, CEO &amp; President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2,541,793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1,481,605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353,077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38,653</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00" w:type="dxa"/>
            <w:vAlign w:val="bottom"/>
            <w:gridSpan w:val="4"/>
          </w:tcPr>
          <w:p>
            <w:pPr>
              <w:spacing w:after="0"/>
              <w:rPr>
                <w:sz w:val="20"/>
                <w:szCs w:val="20"/>
                <w:color w:val="auto"/>
              </w:rPr>
            </w:pPr>
            <w:r>
              <w:rPr>
                <w:rFonts w:ascii="Arial" w:cs="Arial" w:eastAsia="Arial" w:hAnsi="Arial"/>
                <w:sz w:val="16"/>
                <w:szCs w:val="16"/>
                <w:color w:val="auto"/>
              </w:rPr>
              <w:t>CTO &amp; Vice President of</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1,851,284</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6"/>
        </w:trPr>
        <w:tc>
          <w:tcPr>
            <w:tcW w:w="3900" w:type="dxa"/>
            <w:vAlign w:val="bottom"/>
            <w:gridSpan w:val="4"/>
          </w:tcPr>
          <w:p>
            <w:pPr>
              <w:spacing w:after="0"/>
              <w:rPr>
                <w:sz w:val="20"/>
                <w:szCs w:val="20"/>
                <w:color w:val="auto"/>
              </w:rPr>
            </w:pPr>
            <w:r>
              <w:rPr>
                <w:rFonts w:ascii="Arial" w:cs="Arial" w:eastAsia="Arial" w:hAnsi="Arial"/>
                <w:sz w:val="16"/>
                <w:szCs w:val="16"/>
                <w:color w:val="auto"/>
              </w:rPr>
              <w:t>Research &amp; Development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276,472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180,000</w:t>
            </w:r>
          </w:p>
        </w:tc>
        <w:tc>
          <w:tcPr>
            <w:tcW w:w="32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16,732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Vice President of Legal Affairs,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1,790,293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General Counsel &amp; Corporate Secretary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313,719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180,000</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Arial" w:cs="Arial" w:eastAsia="Arial" w:hAnsi="Arial"/>
                <w:sz w:val="16"/>
                <w:szCs w:val="16"/>
                <w:color w:val="auto"/>
              </w:rPr>
              <w:t>Michael W. Sadler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26,328</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250,000</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00" w:type="dxa"/>
            <w:vAlign w:val="bottom"/>
            <w:gridSpan w:val="4"/>
          </w:tcPr>
          <w:p>
            <w:pPr>
              <w:spacing w:after="0"/>
              <w:rPr>
                <w:sz w:val="20"/>
                <w:szCs w:val="20"/>
                <w:color w:val="auto"/>
              </w:rPr>
            </w:pPr>
            <w:r>
              <w:rPr>
                <w:rFonts w:ascii="Arial" w:cs="Arial" w:eastAsia="Arial" w:hAnsi="Arial"/>
                <w:sz w:val="16"/>
                <w:szCs w:val="16"/>
                <w:color w:val="auto"/>
              </w:rPr>
              <w:t>Vice President of Sales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263,856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798,840</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140,000</w:t>
            </w:r>
          </w:p>
        </w:tc>
        <w:tc>
          <w:tcPr>
            <w:tcW w:w="32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200,115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54,695</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120,000</w:t>
            </w:r>
          </w:p>
        </w:tc>
        <w:tc>
          <w:tcPr>
            <w:tcW w:w="32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19,864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Vice President of Finance &amp; CFO</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1,797,308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874,921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180,000</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Joel J. Kocher (5)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Chairman &amp; CEO of Interland, Inc.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351,855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255,768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-2882265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-2882265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-2882265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-2882265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-2566670</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-2566670</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-2566670</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-2566670</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-2566670</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-2566670</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-2566670</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-2566670</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-2566670</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-2566670</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-2566670</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-2566670</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-533400</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-533400</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1"/>
        <w:spacing w:after="0"/>
        <w:rPr>
          <w:sz w:val="20"/>
          <w:szCs w:val="20"/>
          <w:color w:val="auto"/>
        </w:rPr>
      </w:pPr>
      <w:r>
        <w:rPr>
          <w:rFonts w:ascii="Arial" w:cs="Arial" w:eastAsia="Arial" w:hAnsi="Arial"/>
          <w:sz w:val="16"/>
          <w:szCs w:val="16"/>
          <w:color w:val="auto"/>
        </w:rPr>
        <w:t>Includes compensation deferred by the employee under the Company's 401(k) retirement plan.</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jc w:val="both"/>
        <w:ind w:left="501" w:right="180"/>
        <w:spacing w:after="0" w:line="314" w:lineRule="auto"/>
        <w:rPr>
          <w:sz w:val="20"/>
          <w:szCs w:val="20"/>
          <w:color w:val="auto"/>
        </w:rPr>
      </w:pPr>
      <w:r>
        <w:rPr>
          <w:rFonts w:ascii="Arial" w:cs="Arial" w:eastAsia="Arial" w:hAnsi="Arial"/>
          <w:sz w:val="14"/>
          <w:szCs w:val="14"/>
          <w:color w:val="auto"/>
        </w:rPr>
        <w:t>Bonus amounts include profit sharing and, with respect to Mr. Durcan, bonuses for the filing and issuance of patents and the achievement of performance milestones and, with respect to Mr. Sadler, sales and marketing bonuses. Excluding Mr. Kocher, amounts for fiscal 2000 include executive bonuses earned for performance goals relating to fiscal 1997 and 2000. Excluding Mr. Kocher, amounts for fiscal 1999 include executive bonuses earned for performance goals relating to fiscal 1994, 1995, 1996 and 1997 and represent amounts that would have been payable in fiscal 1998 but were delayed until after the Company's first profitable quarter in fiscal 1999.</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1" w:right="220"/>
        <w:spacing w:after="0" w:line="278" w:lineRule="auto"/>
        <w:rPr>
          <w:sz w:val="20"/>
          <w:szCs w:val="20"/>
          <w:color w:val="auto"/>
        </w:rPr>
      </w:pPr>
      <w:r>
        <w:rPr>
          <w:rFonts w:ascii="Arial" w:cs="Arial" w:eastAsia="Arial" w:hAnsi="Arial"/>
          <w:sz w:val="16"/>
          <w:szCs w:val="16"/>
          <w:color w:val="auto"/>
        </w:rPr>
        <w:t>Includes options to purchase shares of the Company's Common Stock under the Company's 1994 Stock Option Plan. Option amounts for 1999 have been adjusted for the Company's 2-for-1 stock split which was effected on May 1, 2000.</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501" w:right="180"/>
        <w:spacing w:after="0" w:line="278" w:lineRule="auto"/>
        <w:rPr>
          <w:sz w:val="20"/>
          <w:szCs w:val="20"/>
          <w:color w:val="auto"/>
        </w:rPr>
      </w:pPr>
      <w:r>
        <w:rPr>
          <w:rFonts w:ascii="Arial" w:cs="Arial" w:eastAsia="Arial" w:hAnsi="Arial"/>
          <w:sz w:val="16"/>
          <w:szCs w:val="16"/>
          <w:color w:val="auto"/>
        </w:rPr>
        <w:t>Excluding Mr. Kocher, consists of: (i) Company contributions made on the named executive's behalf under the Company's 401(k) retirement plan; (ii) payments under the Company's time-off plan; and (iii) cash paid under the Company's sabbatical/longevity bonus program.</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1"/>
          </w:cols>
          <w:pgMar w:left="239" w:top="131" w:right="239" w:bottom="0" w:gutter="0" w:footer="0" w:header="0"/>
        </w:sectPr>
      </w:pPr>
    </w:p>
    <w:bookmarkStart w:id="6" w:name="page7"/>
    <w:bookmarkEnd w:id="6"/>
    <w:p>
      <w:pPr>
        <w:ind w:left="500"/>
        <w:spacing w:after="0"/>
        <w:rPr>
          <w:sz w:val="20"/>
          <w:szCs w:val="20"/>
          <w:color w:val="auto"/>
        </w:rPr>
      </w:pPr>
      <w:r>
        <w:rPr>
          <w:rFonts w:ascii="Arial" w:cs="Arial" w:eastAsia="Arial" w:hAnsi="Arial"/>
          <w:sz w:val="15"/>
          <w:szCs w:val="15"/>
          <w:color w:val="auto"/>
        </w:rPr>
        <w:t>Mr. Kocher is the Chairman and CEO of Interland, Inc., a former subsidiary of the Company. Mr. Kocher no longer serves as an executive officer of the Company.</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Kocher's salary, bonus, options granted and all other compensation were determined by Interland,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OPTION GRANTS IN LAST FISCAL YEAR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provides information on options to purchase the Company's Common Stock granted to the Named Executive Officers in fiscal 2001: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Individual Grants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center"/>
              <w:ind w:right="540"/>
              <w:spacing w:after="0"/>
              <w:rPr>
                <w:sz w:val="20"/>
                <w:szCs w:val="20"/>
                <w:color w:val="auto"/>
              </w:rPr>
            </w:pPr>
            <w:r>
              <w:rPr>
                <w:rFonts w:ascii="Arial" w:cs="Arial" w:eastAsia="Arial" w:hAnsi="Arial"/>
                <w:sz w:val="12"/>
                <w:szCs w:val="12"/>
                <w:b w:val="1"/>
                <w:bCs w:val="1"/>
                <w:color w:val="auto"/>
                <w:w w:val="91"/>
              </w:rPr>
              <w:t>Percent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3"/>
          </w:tcPr>
          <w:p>
            <w:pPr>
              <w:jc w:val="center"/>
              <w:ind w:right="520"/>
              <w:spacing w:after="0" w:line="137" w:lineRule="exact"/>
              <w:rPr>
                <w:sz w:val="20"/>
                <w:szCs w:val="20"/>
                <w:color w:val="auto"/>
              </w:rPr>
            </w:pPr>
            <w:r>
              <w:rPr>
                <w:rFonts w:ascii="Arial" w:cs="Arial" w:eastAsia="Arial" w:hAnsi="Arial"/>
                <w:sz w:val="12"/>
                <w:szCs w:val="12"/>
                <w:b w:val="1"/>
                <w:bCs w:val="1"/>
                <w:color w:val="auto"/>
                <w:w w:val="97"/>
              </w:rPr>
              <w:t>Total</w:t>
            </w:r>
          </w:p>
        </w:tc>
        <w:tc>
          <w:tcPr>
            <w:tcW w:w="820" w:type="dxa"/>
            <w:vAlign w:val="bottom"/>
          </w:tcPr>
          <w:p>
            <w:pPr>
              <w:jc w:val="center"/>
              <w:ind w:right="227"/>
              <w:spacing w:after="0" w:line="137" w:lineRule="exact"/>
              <w:rPr>
                <w:sz w:val="20"/>
                <w:szCs w:val="20"/>
                <w:color w:val="auto"/>
              </w:rPr>
            </w:pPr>
            <w:r>
              <w:rPr>
                <w:rFonts w:ascii="Arial" w:cs="Arial" w:eastAsia="Arial" w:hAnsi="Arial"/>
                <w:sz w:val="12"/>
                <w:szCs w:val="12"/>
                <w:b w:val="1"/>
                <w:bCs w:val="1"/>
                <w:color w:val="auto"/>
                <w:w w:val="89"/>
              </w:rPr>
              <w:t>Exercise</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restart"/>
          </w:tcPr>
          <w:p>
            <w:pPr>
              <w:ind w:left="20"/>
              <w:spacing w:after="0"/>
              <w:rPr>
                <w:sz w:val="20"/>
                <w:szCs w:val="20"/>
                <w:color w:val="auto"/>
              </w:rPr>
            </w:pPr>
            <w:r>
              <w:rPr>
                <w:rFonts w:ascii="Arial" w:cs="Arial" w:eastAsia="Arial" w:hAnsi="Arial"/>
                <w:sz w:val="12"/>
                <w:szCs w:val="12"/>
                <w:b w:val="1"/>
                <w:bCs w:val="1"/>
                <w:color w:val="auto"/>
                <w:w w:val="92"/>
              </w:rPr>
              <w:t>Potential Realizable Value at Assumed Annual Rates of</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gridSpan w:val="3"/>
            <w:vMerge w:val="restart"/>
          </w:tcPr>
          <w:p>
            <w:pPr>
              <w:jc w:val="center"/>
              <w:ind w:right="540"/>
              <w:spacing w:after="0" w:line="137" w:lineRule="exact"/>
              <w:rPr>
                <w:sz w:val="20"/>
                <w:szCs w:val="20"/>
                <w:color w:val="auto"/>
              </w:rPr>
            </w:pPr>
            <w:r>
              <w:rPr>
                <w:rFonts w:ascii="Arial" w:cs="Arial" w:eastAsia="Arial" w:hAnsi="Arial"/>
                <w:sz w:val="12"/>
                <w:szCs w:val="12"/>
                <w:b w:val="1"/>
                <w:bCs w:val="1"/>
                <w:color w:val="auto"/>
                <w:w w:val="92"/>
              </w:rPr>
              <w:t>Options</w:t>
            </w:r>
          </w:p>
        </w:tc>
        <w:tc>
          <w:tcPr>
            <w:tcW w:w="820" w:type="dxa"/>
            <w:vAlign w:val="bottom"/>
            <w:vMerge w:val="restart"/>
          </w:tcPr>
          <w:p>
            <w:pPr>
              <w:jc w:val="center"/>
              <w:ind w:right="227"/>
              <w:spacing w:after="0" w:line="137" w:lineRule="exact"/>
              <w:rPr>
                <w:sz w:val="20"/>
                <w:szCs w:val="20"/>
                <w:color w:val="auto"/>
              </w:rPr>
            </w:pPr>
            <w:r>
              <w:rPr>
                <w:rFonts w:ascii="Arial" w:cs="Arial" w:eastAsia="Arial" w:hAnsi="Arial"/>
                <w:sz w:val="12"/>
                <w:szCs w:val="12"/>
                <w:b w:val="1"/>
                <w:bCs w:val="1"/>
                <w:color w:val="auto"/>
                <w:w w:val="90"/>
              </w:rPr>
              <w:t>or Base</w:t>
            </w: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80" w:type="dxa"/>
            <w:vAlign w:val="bottom"/>
            <w:gridSpan w:val="6"/>
            <w:vMerge w:val="restart"/>
          </w:tcPr>
          <w:p>
            <w:pPr>
              <w:jc w:val="right"/>
              <w:ind w:right="280"/>
              <w:spacing w:after="0"/>
              <w:rPr>
                <w:sz w:val="20"/>
                <w:szCs w:val="20"/>
                <w:color w:val="auto"/>
              </w:rPr>
            </w:pPr>
            <w:r>
              <w:rPr>
                <w:rFonts w:ascii="Arial" w:cs="Arial" w:eastAsia="Arial" w:hAnsi="Arial"/>
                <w:sz w:val="12"/>
                <w:szCs w:val="12"/>
                <w:b w:val="1"/>
                <w:bCs w:val="1"/>
                <w:color w:val="auto"/>
                <w:w w:val="97"/>
              </w:rPr>
              <w:t>Stock Price Appreciation for Option Term (3)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3"/>
            <w:vMerge w:val="restart"/>
          </w:tcPr>
          <w:p>
            <w:pPr>
              <w:jc w:val="center"/>
              <w:ind w:right="540"/>
              <w:spacing w:after="0" w:line="137" w:lineRule="exact"/>
              <w:rPr>
                <w:sz w:val="20"/>
                <w:szCs w:val="20"/>
                <w:color w:val="auto"/>
              </w:rPr>
            </w:pPr>
            <w:r>
              <w:rPr>
                <w:rFonts w:ascii="Arial" w:cs="Arial" w:eastAsia="Arial" w:hAnsi="Arial"/>
                <w:sz w:val="12"/>
                <w:szCs w:val="12"/>
                <w:b w:val="1"/>
                <w:bCs w:val="1"/>
                <w:color w:val="auto"/>
                <w:w w:val="95"/>
              </w:rPr>
              <w:t>Granted to</w:t>
            </w:r>
          </w:p>
        </w:tc>
        <w:tc>
          <w:tcPr>
            <w:tcW w:w="820" w:type="dxa"/>
            <w:vAlign w:val="bottom"/>
            <w:vMerge w:val="restart"/>
          </w:tcPr>
          <w:p>
            <w:pPr>
              <w:jc w:val="center"/>
              <w:ind w:right="227"/>
              <w:spacing w:after="0" w:line="137" w:lineRule="exact"/>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restart"/>
          </w:tcPr>
          <w:p>
            <w:pPr>
              <w:jc w:val="right"/>
              <w:ind w:right="480"/>
              <w:spacing w:after="0" w:line="137" w:lineRule="exact"/>
              <w:rPr>
                <w:sz w:val="20"/>
                <w:szCs w:val="20"/>
                <w:color w:val="auto"/>
              </w:rPr>
            </w:pPr>
            <w:r>
              <w:rPr>
                <w:rFonts w:ascii="Arial" w:cs="Arial" w:eastAsia="Arial" w:hAnsi="Arial"/>
                <w:sz w:val="12"/>
                <w:szCs w:val="12"/>
                <w:b w:val="1"/>
                <w:bCs w:val="1"/>
                <w:color w:val="auto"/>
              </w:rPr>
              <w:t>Options</w:t>
            </w:r>
          </w:p>
        </w:tc>
        <w:tc>
          <w:tcPr>
            <w:tcW w:w="1920" w:type="dxa"/>
            <w:vAlign w:val="bottom"/>
            <w:gridSpan w:val="3"/>
            <w:vMerge w:val="restart"/>
          </w:tcPr>
          <w:p>
            <w:pPr>
              <w:jc w:val="center"/>
              <w:ind w:right="520"/>
              <w:spacing w:after="0" w:line="137" w:lineRule="exact"/>
              <w:rPr>
                <w:sz w:val="20"/>
                <w:szCs w:val="20"/>
                <w:color w:val="auto"/>
              </w:rPr>
            </w:pPr>
            <w:r>
              <w:rPr>
                <w:rFonts w:ascii="Arial" w:cs="Arial" w:eastAsia="Arial" w:hAnsi="Arial"/>
                <w:sz w:val="12"/>
                <w:szCs w:val="12"/>
                <w:b w:val="1"/>
                <w:bCs w:val="1"/>
                <w:color w:val="auto"/>
                <w:w w:val="93"/>
              </w:rPr>
              <w:t>Employees in</w:t>
            </w:r>
          </w:p>
        </w:tc>
        <w:tc>
          <w:tcPr>
            <w:tcW w:w="820" w:type="dxa"/>
            <w:vAlign w:val="bottom"/>
            <w:vMerge w:val="restart"/>
          </w:tcPr>
          <w:p>
            <w:pPr>
              <w:jc w:val="center"/>
              <w:ind w:right="247"/>
              <w:spacing w:after="0" w:line="137" w:lineRule="exact"/>
              <w:rPr>
                <w:sz w:val="20"/>
                <w:szCs w:val="20"/>
                <w:color w:val="auto"/>
              </w:rPr>
            </w:pPr>
            <w:r>
              <w:rPr>
                <w:rFonts w:ascii="Arial" w:cs="Arial" w:eastAsia="Arial" w:hAnsi="Arial"/>
                <w:sz w:val="12"/>
                <w:szCs w:val="12"/>
                <w:b w:val="1"/>
                <w:bCs w:val="1"/>
                <w:color w:val="auto"/>
                <w:w w:val="92"/>
              </w:rPr>
              <w:t>Per</w:t>
            </w:r>
          </w:p>
        </w:tc>
        <w:tc>
          <w:tcPr>
            <w:tcW w:w="120" w:type="dxa"/>
            <w:vAlign w:val="bottom"/>
            <w:vMerge w:val="restart"/>
          </w:tcPr>
          <w:p>
            <w:pPr>
              <w:spacing w:after="0"/>
              <w:rPr>
                <w:sz w:val="2"/>
                <w:szCs w:val="2"/>
                <w:color w:val="auto"/>
              </w:rPr>
            </w:pPr>
          </w:p>
        </w:tc>
        <w:tc>
          <w:tcPr>
            <w:tcW w:w="1360" w:type="dxa"/>
            <w:vAlign w:val="bottom"/>
            <w:gridSpan w:val="2"/>
            <w:vMerge w:val="restart"/>
          </w:tcPr>
          <w:p>
            <w:pPr>
              <w:jc w:val="right"/>
              <w:ind w:right="460"/>
              <w:spacing w:after="0" w:line="137" w:lineRule="exact"/>
              <w:rPr>
                <w:sz w:val="20"/>
                <w:szCs w:val="20"/>
                <w:color w:val="auto"/>
              </w:rPr>
            </w:pPr>
            <w:r>
              <w:rPr>
                <w:rFonts w:ascii="Arial" w:cs="Arial" w:eastAsia="Arial" w:hAnsi="Arial"/>
                <w:sz w:val="12"/>
                <w:szCs w:val="12"/>
                <w:b w:val="1"/>
                <w:bCs w:val="1"/>
                <w:color w:val="auto"/>
              </w:rPr>
              <w:t>Expiration</w:t>
            </w:r>
          </w:p>
        </w:tc>
        <w:tc>
          <w:tcPr>
            <w:tcW w:w="1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0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2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Granted (1)</w:t>
            </w:r>
          </w:p>
        </w:tc>
        <w:tc>
          <w:tcPr>
            <w:tcW w:w="1920" w:type="dxa"/>
            <w:vAlign w:val="bottom"/>
            <w:gridSpan w:val="3"/>
          </w:tcPr>
          <w:p>
            <w:pPr>
              <w:jc w:val="center"/>
              <w:ind w:right="520"/>
              <w:spacing w:after="0"/>
              <w:rPr>
                <w:sz w:val="20"/>
                <w:szCs w:val="20"/>
                <w:color w:val="auto"/>
              </w:rPr>
            </w:pPr>
            <w:r>
              <w:rPr>
                <w:rFonts w:ascii="Arial" w:cs="Arial" w:eastAsia="Arial" w:hAnsi="Arial"/>
                <w:sz w:val="12"/>
                <w:szCs w:val="12"/>
                <w:b w:val="1"/>
                <w:bCs w:val="1"/>
                <w:color w:val="auto"/>
                <w:w w:val="94"/>
              </w:rPr>
              <w:t>Fiscal Year</w:t>
            </w:r>
          </w:p>
        </w:tc>
        <w:tc>
          <w:tcPr>
            <w:tcW w:w="820" w:type="dxa"/>
            <w:vAlign w:val="bottom"/>
          </w:tcPr>
          <w:p>
            <w:pPr>
              <w:jc w:val="center"/>
              <w:ind w:right="227"/>
              <w:spacing w:after="0"/>
              <w:rPr>
                <w:sz w:val="20"/>
                <w:szCs w:val="20"/>
                <w:color w:val="auto"/>
              </w:rPr>
            </w:pPr>
            <w:r>
              <w:rPr>
                <w:rFonts w:ascii="Arial" w:cs="Arial" w:eastAsia="Arial" w:hAnsi="Arial"/>
                <w:sz w:val="12"/>
                <w:szCs w:val="12"/>
                <w:b w:val="1"/>
                <w:bCs w:val="1"/>
                <w:color w:val="auto"/>
                <w:w w:val="93"/>
              </w:rPr>
              <w:t>Share (2)</w:t>
            </w:r>
          </w:p>
        </w:tc>
        <w:tc>
          <w:tcPr>
            <w:tcW w:w="120" w:type="dxa"/>
            <w:vAlign w:val="bottom"/>
          </w:tcPr>
          <w:p>
            <w:pPr>
              <w:spacing w:after="0"/>
              <w:rPr>
                <w:sz w:val="13"/>
                <w:szCs w:val="13"/>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3"/>
                <w:szCs w:val="13"/>
                <w:color w:val="auto"/>
              </w:rPr>
            </w:pPr>
          </w:p>
        </w:tc>
        <w:tc>
          <w:tcPr>
            <w:tcW w:w="1300" w:type="dxa"/>
            <w:vAlign w:val="bottom"/>
          </w:tcPr>
          <w:p>
            <w:pPr>
              <w:jc w:val="right"/>
              <w:ind w:right="583"/>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62"/>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1.23%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09/01/2010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12,312,578</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31,202,489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D. Mark Durcan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200,000</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78.31</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09/01/2010</w:t>
            </w:r>
          </w:p>
        </w:tc>
        <w:tc>
          <w:tcPr>
            <w:tcW w:w="18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9,850,062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24,961,991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09/01/2010</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9,850,062</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24,961,991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Michael W. Sadler</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200,000</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78.31</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09/01/2010</w:t>
            </w:r>
          </w:p>
        </w:tc>
        <w:tc>
          <w:tcPr>
            <w:tcW w:w="18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9,850,062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24,961,991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42.68</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04/25/2011</w:t>
            </w:r>
          </w:p>
        </w:tc>
        <w:tc>
          <w:tcPr>
            <w:tcW w:w="18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1,342,061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3,401,046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09/01/2010</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9,850,062</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24,961,991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Joel J. Kocher (4)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-1983740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-1983740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-1321435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-1321435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-1550035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-1550035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-1321435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-1321435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-1321435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-1321435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-1321435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-1321435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-1321435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-1321435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-1321435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-1321435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-1321435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-1321435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-281305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Options vest 25% per year over a four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options were granted with an exercise price equal to the fair market value of the Company's Common Stock on the date of the option grant.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right="80"/>
        <w:spacing w:after="0" w:line="268" w:lineRule="auto"/>
        <w:rPr>
          <w:sz w:val="20"/>
          <w:szCs w:val="20"/>
          <w:color w:val="auto"/>
        </w:rPr>
      </w:pPr>
      <w:r>
        <w:rPr>
          <w:rFonts w:ascii="Arial" w:cs="Arial" w:eastAsia="Arial" w:hAnsi="Arial"/>
          <w:sz w:val="16"/>
          <w:szCs w:val="16"/>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 and do not reflect the Company's estimate of future stock price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Mr. Kocher is the Chairman and CEO of Interland, Inc., a former subsidiary of the Company. Mr. Kocher no longer serves as an executive officer of the Company.</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Kocher was not granted any options to purchase the Company's Common Stock in fiscal 2001.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AGGREGATED OPTION EXERCISES IN LAST FISCAL YEAR</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 FISCAL YEAR-END OPTION VALUES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provides information regarding option exercises in fiscal 2001 by the Named Executive Officers and the value of such officers' unexercised options at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August 30, 2001: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Value of Unexercised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3"/>
          </w:tcPr>
          <w:p>
            <w:pPr>
              <w:jc w:val="center"/>
              <w:ind w:right="680"/>
              <w:spacing w:after="0" w:line="137" w:lineRule="exact"/>
              <w:rPr>
                <w:sz w:val="20"/>
                <w:szCs w:val="20"/>
                <w:color w:val="auto"/>
              </w:rPr>
            </w:pPr>
            <w:r>
              <w:rPr>
                <w:rFonts w:ascii="Arial" w:cs="Arial" w:eastAsia="Arial" w:hAnsi="Arial"/>
                <w:sz w:val="12"/>
                <w:szCs w:val="12"/>
                <w:b w:val="1"/>
                <w:bCs w:val="1"/>
                <w:color w:val="auto"/>
                <w:w w:val="96"/>
              </w:rPr>
              <w:t>Number of</w:t>
            </w:r>
          </w:p>
        </w:tc>
        <w:tc>
          <w:tcPr>
            <w:tcW w:w="2260" w:type="dxa"/>
            <w:vAlign w:val="bottom"/>
            <w:gridSpan w:val="2"/>
          </w:tcPr>
          <w:p>
            <w:pPr>
              <w:jc w:val="center"/>
              <w:ind w:right="660"/>
              <w:spacing w:after="0" w:line="137" w:lineRule="exact"/>
              <w:rPr>
                <w:sz w:val="20"/>
                <w:szCs w:val="20"/>
                <w:color w:val="auto"/>
              </w:rPr>
            </w:pPr>
            <w:r>
              <w:rPr>
                <w:rFonts w:ascii="Arial" w:cs="Arial" w:eastAsia="Arial" w:hAnsi="Arial"/>
                <w:sz w:val="12"/>
                <w:szCs w:val="12"/>
                <w:b w:val="1"/>
                <w:bCs w:val="1"/>
                <w:color w:val="auto"/>
                <w:w w:val="97"/>
              </w:rPr>
              <w:t>In-The-Money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3"/>
          </w:tcPr>
          <w:p>
            <w:pPr>
              <w:jc w:val="center"/>
              <w:ind w:right="680"/>
              <w:spacing w:after="0" w:line="137" w:lineRule="exact"/>
              <w:rPr>
                <w:sz w:val="20"/>
                <w:szCs w:val="20"/>
                <w:color w:val="auto"/>
              </w:rPr>
            </w:pPr>
            <w:r>
              <w:rPr>
                <w:rFonts w:ascii="Arial" w:cs="Arial" w:eastAsia="Arial" w:hAnsi="Arial"/>
                <w:sz w:val="12"/>
                <w:szCs w:val="12"/>
                <w:b w:val="1"/>
                <w:bCs w:val="1"/>
                <w:color w:val="auto"/>
                <w:w w:val="92"/>
              </w:rPr>
              <w:t>Unexercised</w:t>
            </w:r>
          </w:p>
        </w:tc>
        <w:tc>
          <w:tcPr>
            <w:tcW w:w="2260" w:type="dxa"/>
            <w:vAlign w:val="bottom"/>
            <w:gridSpan w:val="2"/>
          </w:tcPr>
          <w:p>
            <w:pPr>
              <w:jc w:val="center"/>
              <w:ind w:right="680"/>
              <w:spacing w:after="0" w:line="137" w:lineRule="exact"/>
              <w:rPr>
                <w:sz w:val="20"/>
                <w:szCs w:val="20"/>
                <w:color w:val="auto"/>
              </w:rPr>
            </w:pPr>
            <w:r>
              <w:rPr>
                <w:rFonts w:ascii="Arial" w:cs="Arial" w:eastAsia="Arial" w:hAnsi="Arial"/>
                <w:sz w:val="12"/>
                <w:szCs w:val="12"/>
                <w:b w:val="1"/>
                <w:bCs w:val="1"/>
                <w:color w:val="auto"/>
                <w:w w:val="92"/>
              </w:rPr>
              <w:t>Options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3"/>
          </w:tcPr>
          <w:p>
            <w:pPr>
              <w:jc w:val="center"/>
              <w:ind w:right="680"/>
              <w:spacing w:after="0" w:line="137" w:lineRule="exact"/>
              <w:rPr>
                <w:sz w:val="20"/>
                <w:szCs w:val="20"/>
                <w:color w:val="auto"/>
              </w:rPr>
            </w:pPr>
            <w:r>
              <w:rPr>
                <w:rFonts w:ascii="Arial" w:cs="Arial" w:eastAsia="Arial" w:hAnsi="Arial"/>
                <w:sz w:val="12"/>
                <w:szCs w:val="12"/>
                <w:b w:val="1"/>
                <w:bCs w:val="1"/>
                <w:color w:val="auto"/>
                <w:w w:val="93"/>
              </w:rPr>
              <w:t>Options at Fiscal</w:t>
            </w:r>
          </w:p>
        </w:tc>
        <w:tc>
          <w:tcPr>
            <w:tcW w:w="2260" w:type="dxa"/>
            <w:vAlign w:val="bottom"/>
            <w:gridSpan w:val="2"/>
          </w:tcPr>
          <w:p>
            <w:pPr>
              <w:jc w:val="center"/>
              <w:ind w:right="660"/>
              <w:spacing w:after="0" w:line="137" w:lineRule="exact"/>
              <w:rPr>
                <w:sz w:val="20"/>
                <w:szCs w:val="20"/>
                <w:color w:val="auto"/>
              </w:rPr>
            </w:pPr>
            <w:r>
              <w:rPr>
                <w:rFonts w:ascii="Arial" w:cs="Arial" w:eastAsia="Arial" w:hAnsi="Arial"/>
                <w:sz w:val="12"/>
                <w:szCs w:val="12"/>
                <w:b w:val="1"/>
                <w:bCs w:val="1"/>
                <w:color w:val="auto"/>
                <w:w w:val="91"/>
              </w:rPr>
              <w:t>at 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Number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3"/>
          </w:tcPr>
          <w:p>
            <w:pPr>
              <w:jc w:val="center"/>
              <w:ind w:right="680"/>
              <w:spacing w:after="0"/>
              <w:rPr>
                <w:sz w:val="20"/>
                <w:szCs w:val="20"/>
                <w:color w:val="auto"/>
              </w:rPr>
            </w:pPr>
            <w:r>
              <w:rPr>
                <w:rFonts w:ascii="Arial" w:cs="Arial" w:eastAsia="Arial" w:hAnsi="Arial"/>
                <w:sz w:val="12"/>
                <w:szCs w:val="12"/>
                <w:b w:val="1"/>
                <w:bCs w:val="1"/>
                <w:color w:val="auto"/>
                <w:w w:val="94"/>
              </w:rPr>
              <w:t>Year-End</w:t>
            </w:r>
          </w:p>
        </w:tc>
        <w:tc>
          <w:tcPr>
            <w:tcW w:w="226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6"/>
              </w:rPr>
              <w:t>Year-End (2)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vMerge w:val="restart"/>
          </w:tcPr>
          <w:p>
            <w:pPr>
              <w:jc w:val="center"/>
              <w:ind w:right="260"/>
              <w:spacing w:after="0" w:line="137" w:lineRule="exact"/>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1940" w:type="dxa"/>
            <w:vAlign w:val="bottom"/>
            <w:tcBorders>
              <w:bottom w:val="single" w:sz="8" w:color="808080"/>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94"/>
              </w:rPr>
              <w:t>Acquired on</w:t>
            </w:r>
          </w:p>
        </w:tc>
        <w:tc>
          <w:tcPr>
            <w:tcW w:w="220" w:type="dxa"/>
            <w:vAlign w:val="bottom"/>
          </w:tcPr>
          <w:p>
            <w:pPr>
              <w:spacing w:after="0"/>
              <w:rPr>
                <w:sz w:val="11"/>
                <w:szCs w:val="11"/>
                <w:color w:val="auto"/>
              </w:rPr>
            </w:pPr>
          </w:p>
        </w:tc>
        <w:tc>
          <w:tcPr>
            <w:tcW w:w="13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3"/>
              </w:rPr>
              <w:t>Value</w:t>
            </w:r>
          </w:p>
        </w:tc>
        <w:tc>
          <w:tcPr>
            <w:tcW w:w="2380" w:type="dxa"/>
            <w:vAlign w:val="bottom"/>
            <w:gridSpan w:val="3"/>
          </w:tcPr>
          <w:p>
            <w:pPr>
              <w:jc w:val="center"/>
              <w:ind w:right="680"/>
              <w:spacing w:after="0" w:line="137" w:lineRule="exact"/>
              <w:rPr>
                <w:sz w:val="20"/>
                <w:szCs w:val="20"/>
                <w:color w:val="auto"/>
              </w:rPr>
            </w:pPr>
            <w:r>
              <w:rPr>
                <w:rFonts w:ascii="Arial" w:cs="Arial" w:eastAsia="Arial" w:hAnsi="Arial"/>
                <w:sz w:val="12"/>
                <w:szCs w:val="12"/>
                <w:b w:val="1"/>
                <w:bCs w:val="1"/>
                <w:color w:val="auto"/>
                <w:w w:val="95"/>
              </w:rPr>
              <w:t>Exercisable (E)</w:t>
            </w:r>
          </w:p>
        </w:tc>
        <w:tc>
          <w:tcPr>
            <w:tcW w:w="2260" w:type="dxa"/>
            <w:vAlign w:val="bottom"/>
            <w:gridSpan w:val="2"/>
          </w:tcPr>
          <w:p>
            <w:pPr>
              <w:jc w:val="center"/>
              <w:ind w:right="660"/>
              <w:spacing w:after="0" w:line="137" w:lineRule="exact"/>
              <w:rPr>
                <w:sz w:val="20"/>
                <w:szCs w:val="20"/>
                <w:color w:val="auto"/>
              </w:rPr>
            </w:pPr>
            <w:r>
              <w:rPr>
                <w:rFonts w:ascii="Arial" w:cs="Arial" w:eastAsia="Arial" w:hAnsi="Arial"/>
                <w:sz w:val="12"/>
                <w:szCs w:val="12"/>
                <w:b w:val="1"/>
                <w:bCs w:val="1"/>
                <w:color w:val="auto"/>
                <w:w w:val="92"/>
              </w:rPr>
              <w:t>Exercisable (E)</w:t>
            </w:r>
          </w:p>
        </w:tc>
        <w:tc>
          <w:tcPr>
            <w:tcW w:w="0" w:type="dxa"/>
            <w:vAlign w:val="bottom"/>
          </w:tcPr>
          <w:p>
            <w:pPr>
              <w:spacing w:after="0"/>
              <w:rPr>
                <w:sz w:val="1"/>
                <w:szCs w:val="1"/>
                <w:color w:val="auto"/>
              </w:rPr>
            </w:pPr>
          </w:p>
        </w:tc>
      </w:tr>
      <w:tr>
        <w:trPr>
          <w:trHeight w:val="161"/>
        </w:trPr>
        <w:tc>
          <w:tcPr>
            <w:tcW w:w="3680" w:type="dxa"/>
            <w:vAlign w:val="bottom"/>
            <w:gridSpan w:val="5"/>
          </w:tcPr>
          <w:p>
            <w:pPr>
              <w:spacing w:after="0"/>
              <w:rPr>
                <w:sz w:val="20"/>
                <w:szCs w:val="20"/>
                <w:color w:val="auto"/>
              </w:rPr>
            </w:pPr>
            <w:r>
              <w:rPr>
                <w:rFonts w:ascii="Arial" w:cs="Arial" w:eastAsia="Arial" w:hAnsi="Arial"/>
                <w:sz w:val="12"/>
                <w:szCs w:val="12"/>
                <w:b w:val="1"/>
                <w:bCs w:val="1"/>
                <w:color w:val="auto"/>
              </w:rPr>
              <w:t>Name</w:t>
            </w: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Exercise</w:t>
            </w: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5"/>
              </w:rPr>
              <w:t>Realized (1)</w:t>
            </w:r>
          </w:p>
        </w:tc>
        <w:tc>
          <w:tcPr>
            <w:tcW w:w="2380" w:type="dxa"/>
            <w:vAlign w:val="bottom"/>
            <w:gridSpan w:val="3"/>
          </w:tcPr>
          <w:p>
            <w:pPr>
              <w:jc w:val="center"/>
              <w:ind w:right="680"/>
              <w:spacing w:after="0"/>
              <w:rPr>
                <w:sz w:val="20"/>
                <w:szCs w:val="20"/>
                <w:color w:val="auto"/>
              </w:rPr>
            </w:pPr>
            <w:r>
              <w:rPr>
                <w:rFonts w:ascii="Arial" w:cs="Arial" w:eastAsia="Arial" w:hAnsi="Arial"/>
                <w:sz w:val="12"/>
                <w:szCs w:val="12"/>
                <w:b w:val="1"/>
                <w:bCs w:val="1"/>
                <w:color w:val="auto"/>
                <w:w w:val="92"/>
              </w:rPr>
              <w:t>Unexercisable (U)</w:t>
            </w:r>
          </w:p>
        </w:tc>
        <w:tc>
          <w:tcPr>
            <w:tcW w:w="226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4"/>
              </w:rPr>
              <w:t>Unexercisable (U)</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6,744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118,357</w:t>
            </w:r>
          </w:p>
        </w:tc>
        <w:tc>
          <w:tcPr>
            <w:tcW w:w="220" w:type="dxa"/>
            <w:vAlign w:val="bottom"/>
            <w:shd w:val="clear" w:color="auto" w:fill="CCEEFF"/>
          </w:tcPr>
          <w:p>
            <w:pPr>
              <w:spacing w:after="0"/>
              <w:rPr>
                <w:sz w:val="16"/>
                <w:szCs w:val="16"/>
                <w:color w:val="auto"/>
              </w:rPr>
            </w:pPr>
          </w:p>
        </w:tc>
        <w:tc>
          <w:tcPr>
            <w:tcW w:w="23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209,756(E)</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2,790,468(E)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639,500(U)  $</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4,320,035(U)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4"/>
          </w:tcPr>
          <w:p>
            <w:pPr>
              <w:spacing w:after="0"/>
              <w:rPr>
                <w:sz w:val="20"/>
                <w:szCs w:val="20"/>
                <w:color w:val="auto"/>
              </w:rPr>
            </w:pPr>
            <w:r>
              <w:rPr>
                <w:rFonts w:ascii="Arial" w:cs="Arial" w:eastAsia="Arial" w:hAnsi="Arial"/>
                <w:sz w:val="16"/>
                <w:szCs w:val="16"/>
                <w:color w:val="auto"/>
              </w:rPr>
              <w:t>D. Mark Durcan</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4,434</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114,508</w:t>
            </w:r>
          </w:p>
        </w:tc>
        <w:tc>
          <w:tcPr>
            <w:tcW w:w="220" w:type="dxa"/>
            <w:vAlign w:val="bottom"/>
          </w:tcPr>
          <w:p>
            <w:pPr>
              <w:spacing w:after="0"/>
              <w:rPr>
                <w:sz w:val="16"/>
                <w:szCs w:val="16"/>
                <w:color w:val="auto"/>
              </w:rPr>
            </w:pPr>
          </w:p>
        </w:tc>
        <w:tc>
          <w:tcPr>
            <w:tcW w:w="2380" w:type="dxa"/>
            <w:vAlign w:val="bottom"/>
            <w:gridSpan w:val="3"/>
          </w:tcPr>
          <w:p>
            <w:pPr>
              <w:jc w:val="right"/>
              <w:ind w:right="460"/>
              <w:spacing w:after="0"/>
              <w:rPr>
                <w:sz w:val="20"/>
                <w:szCs w:val="20"/>
                <w:color w:val="auto"/>
              </w:rPr>
            </w:pPr>
            <w:r>
              <w:rPr>
                <w:rFonts w:ascii="Arial" w:cs="Arial" w:eastAsia="Arial" w:hAnsi="Arial"/>
                <w:sz w:val="16"/>
                <w:szCs w:val="16"/>
                <w:color w:val="auto"/>
              </w:rPr>
              <w:t>228,000(E)</w:t>
            </w: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3,353,558(E)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3"/>
          </w:tcPr>
          <w:p>
            <w:pPr>
              <w:jc w:val="right"/>
              <w:ind w:right="440"/>
              <w:spacing w:after="0"/>
              <w:rPr>
                <w:sz w:val="20"/>
                <w:szCs w:val="20"/>
                <w:color w:val="auto"/>
              </w:rPr>
            </w:pPr>
            <w:r>
              <w:rPr>
                <w:rFonts w:ascii="Arial" w:cs="Arial" w:eastAsia="Arial" w:hAnsi="Arial"/>
                <w:sz w:val="16"/>
                <w:szCs w:val="16"/>
                <w:color w:val="auto"/>
              </w:rPr>
              <w:t>500,000(U)</w:t>
            </w:r>
          </w:p>
        </w:tc>
        <w:tc>
          <w:tcPr>
            <w:tcW w:w="2260" w:type="dxa"/>
            <w:vAlign w:val="bottom"/>
            <w:gridSpan w:val="2"/>
          </w:tcPr>
          <w:p>
            <w:pPr>
              <w:jc w:val="right"/>
              <w:ind w:right="100"/>
              <w:spacing w:after="0"/>
              <w:rPr>
                <w:sz w:val="20"/>
                <w:szCs w:val="20"/>
                <w:color w:val="auto"/>
              </w:rPr>
            </w:pPr>
            <w:r>
              <w:rPr>
                <w:rFonts w:ascii="Arial" w:cs="Arial" w:eastAsia="Arial" w:hAnsi="Arial"/>
                <w:sz w:val="16"/>
                <w:szCs w:val="16"/>
                <w:color w:val="auto"/>
              </w:rPr>
              <w:t>3,179,352(U)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Roderic W. Lewis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3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214,554(E)</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3,253,846(E)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498,000(U)</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3,151,667(U)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4"/>
          </w:tcPr>
          <w:p>
            <w:pPr>
              <w:spacing w:after="0"/>
              <w:rPr>
                <w:sz w:val="20"/>
                <w:szCs w:val="20"/>
                <w:color w:val="auto"/>
              </w:rPr>
            </w:pPr>
            <w:r>
              <w:rPr>
                <w:rFonts w:ascii="Arial" w:cs="Arial" w:eastAsia="Arial" w:hAnsi="Arial"/>
                <w:sz w:val="16"/>
                <w:szCs w:val="16"/>
                <w:color w:val="auto"/>
              </w:rPr>
              <w:t>Michael W. Sadler</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14,676</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479,574</w:t>
            </w:r>
          </w:p>
        </w:tc>
        <w:tc>
          <w:tcPr>
            <w:tcW w:w="220" w:type="dxa"/>
            <w:vAlign w:val="bottom"/>
          </w:tcPr>
          <w:p>
            <w:pPr>
              <w:spacing w:after="0"/>
              <w:rPr>
                <w:sz w:val="16"/>
                <w:szCs w:val="16"/>
                <w:color w:val="auto"/>
              </w:rPr>
            </w:pPr>
          </w:p>
        </w:tc>
        <w:tc>
          <w:tcPr>
            <w:tcW w:w="2380" w:type="dxa"/>
            <w:vAlign w:val="bottom"/>
            <w:gridSpan w:val="3"/>
          </w:tcPr>
          <w:p>
            <w:pPr>
              <w:jc w:val="right"/>
              <w:ind w:right="460"/>
              <w:spacing w:after="0"/>
              <w:rPr>
                <w:sz w:val="20"/>
                <w:szCs w:val="20"/>
                <w:color w:val="auto"/>
              </w:rPr>
            </w:pPr>
            <w:r>
              <w:rPr>
                <w:rFonts w:ascii="Arial" w:cs="Arial" w:eastAsia="Arial" w:hAnsi="Arial"/>
                <w:sz w:val="16"/>
                <w:szCs w:val="16"/>
                <w:color w:val="auto"/>
              </w:rPr>
              <w:t>87,640(E)</w:t>
            </w: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874,230(E)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3"/>
          </w:tcPr>
          <w:p>
            <w:pPr>
              <w:jc w:val="right"/>
              <w:ind w:right="440"/>
              <w:spacing w:after="0"/>
              <w:rPr>
                <w:sz w:val="20"/>
                <w:szCs w:val="20"/>
                <w:color w:val="auto"/>
              </w:rPr>
            </w:pPr>
            <w:r>
              <w:rPr>
                <w:rFonts w:ascii="Arial" w:cs="Arial" w:eastAsia="Arial" w:hAnsi="Arial"/>
                <w:sz w:val="16"/>
                <w:szCs w:val="16"/>
                <w:color w:val="auto"/>
              </w:rPr>
              <w:t>448,240(U)</w:t>
            </w:r>
          </w:p>
        </w:tc>
        <w:tc>
          <w:tcPr>
            <w:tcW w:w="2260" w:type="dxa"/>
            <w:vAlign w:val="bottom"/>
            <w:gridSpan w:val="2"/>
          </w:tcPr>
          <w:p>
            <w:pPr>
              <w:jc w:val="right"/>
              <w:ind w:right="100"/>
              <w:spacing w:after="0"/>
              <w:rPr>
                <w:sz w:val="20"/>
                <w:szCs w:val="20"/>
                <w:color w:val="auto"/>
              </w:rPr>
            </w:pPr>
            <w:r>
              <w:rPr>
                <w:rFonts w:ascii="Arial" w:cs="Arial" w:eastAsia="Arial" w:hAnsi="Arial"/>
                <w:sz w:val="16"/>
                <w:szCs w:val="16"/>
                <w:color w:val="auto"/>
              </w:rPr>
              <w:t>1,952,783(U)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66,000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1,167,999</w:t>
            </w:r>
          </w:p>
        </w:tc>
        <w:tc>
          <w:tcPr>
            <w:tcW w:w="220" w:type="dxa"/>
            <w:vAlign w:val="bottom"/>
            <w:shd w:val="clear" w:color="auto" w:fill="CCEEFF"/>
          </w:tcPr>
          <w:p>
            <w:pPr>
              <w:spacing w:after="0"/>
              <w:rPr>
                <w:sz w:val="16"/>
                <w:szCs w:val="16"/>
                <w:color w:val="auto"/>
              </w:rPr>
            </w:pPr>
          </w:p>
        </w:tc>
        <w:tc>
          <w:tcPr>
            <w:tcW w:w="23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110,000(E)</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1,149,834(E)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504,000(U)</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3,266,972(U)</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Joel J. Kocher (3)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38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7033895</wp:posOffset>
            </wp:positionH>
            <wp:positionV relativeFrom="paragraph">
              <wp:posOffset>-2141220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-2141220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-2141220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-2141220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-1826260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-1826260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-1826260</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-1826260</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-1826260</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-1826260</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-1826260</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-1826260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7033895</wp:posOffset>
            </wp:positionH>
            <wp:positionV relativeFrom="paragraph">
              <wp:posOffset>-1826260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-1826260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-281305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right="360"/>
        <w:spacing w:after="0" w:line="278" w:lineRule="auto"/>
        <w:rPr>
          <w:sz w:val="20"/>
          <w:szCs w:val="20"/>
          <w:color w:val="auto"/>
        </w:rPr>
      </w:pPr>
      <w:r>
        <w:rPr>
          <w:rFonts w:ascii="Arial" w:cs="Arial" w:eastAsia="Arial" w:hAnsi="Arial"/>
          <w:sz w:val="16"/>
          <w:szCs w:val="16"/>
          <w:color w:val="auto"/>
        </w:rPr>
        <w:t>The Value Realized was calculated by determining the difference between the fair market value of the securities underlying the options and the exercise price of the options at exercise, regardless of whether the shares acquired on exercise were held or sold.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Represents the difference between the exercise price of the options and $36.73, the closing price of the Company's Common Stock on August 30, 2001.</w:t>
      </w:r>
    </w:p>
    <w:p>
      <w:pPr>
        <w:sectPr>
          <w:pgSz w:w="11900" w:h="16838" w:orient="portrait"/>
          <w:cols w:equalWidth="0" w:num="1">
            <w:col w:w="11420"/>
          </w:cols>
          <w:pgMar w:left="240" w:top="131"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Mr. Kocher is the Chairman and CEO of Interland, Inc., a former subsidiary of the Company. Mr. Kocher no longer serves as an executive officer of the Company.</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Kocher has not been granted any options to purchase the Company's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7" w:lineRule="exact"/>
        <w:rPr>
          <w:sz w:val="20"/>
          <w:szCs w:val="20"/>
          <w:color w:val="auto"/>
        </w:rPr>
      </w:pPr>
    </w:p>
    <w:p>
      <w:pPr>
        <w:ind w:firstLine="161"/>
        <w:spacing w:after="0" w:line="309" w:lineRule="auto"/>
        <w:rPr>
          <w:sz w:val="20"/>
          <w:szCs w:val="20"/>
          <w:color w:val="auto"/>
        </w:rPr>
      </w:pPr>
      <w:r>
        <w:rPr>
          <w:rFonts w:ascii="Arial" w:cs="Arial" w:eastAsia="Arial" w:hAnsi="Arial"/>
          <w:sz w:val="14"/>
          <w:szCs w:val="14"/>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September 28, 2001, each of Messrs. Bagley, Lothrop and Nicholson had deferred rights to receive 4,085 shares of Common Stock under the DSIP and Mr. Simplot had deferred rights to receive 967 shares of Common Stock.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46" w:lineRule="exact"/>
        <w:rPr>
          <w:sz w:val="20"/>
          <w:szCs w:val="20"/>
          <w:color w:val="auto"/>
        </w:rPr>
      </w:pPr>
    </w:p>
    <w:p>
      <w:pPr>
        <w:ind w:right="180" w:firstLine="161"/>
        <w:spacing w:after="0" w:line="329" w:lineRule="auto"/>
        <w:rPr>
          <w:sz w:val="20"/>
          <w:szCs w:val="20"/>
          <w:color w:val="auto"/>
        </w:rPr>
      </w:pPr>
      <w:r>
        <w:rPr>
          <w:rFonts w:ascii="Arial" w:cs="Arial" w:eastAsia="Arial" w:hAnsi="Arial"/>
          <w:sz w:val="14"/>
          <w:szCs w:val="14"/>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on which resolutions approving the program were passed by the Board of Directors, and (ii) each year thereafter, an option to purchase 3,000 shares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300"/>
        <w:spacing w:after="0" w:line="299" w:lineRule="auto"/>
        <w:rPr>
          <w:sz w:val="20"/>
          <w:szCs w:val="20"/>
          <w:color w:val="auto"/>
        </w:rPr>
      </w:pPr>
      <w:r>
        <w:rPr>
          <w:rFonts w:ascii="Arial" w:cs="Arial" w:eastAsia="Arial" w:hAnsi="Arial"/>
          <w:sz w:val="14"/>
          <w:szCs w:val="14"/>
          <w:color w:val="auto"/>
        </w:rPr>
        <w:t>the Company's Common Stock. In September 2000, the amount of the annual option grant was increased to 10,000 shares beginning with the fiscal 2001 grant. The options granted to the non-employee directors are fully vested on the date of grant and have an exercise price equal to the fair market value at the date of grant. As of September 28, 2001, each of Messrs. Bagley, Lothrop, Nicholson and Simplot had options outstanding to purchase 58,000 shares at a weighted average exercise price of $31.67 per share.</w:t>
      </w:r>
    </w:p>
    <w:p>
      <w:pPr>
        <w:spacing w:after="0" w:line="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Mr. Weber had options outstanding to purchase 20,000 shares at a weighted average exercise price of $49.71. Mr. Smith had options outstanding to purchase 26,000 shares at a weighted average exercise price of $47.46 per share.</w:t>
      </w:r>
    </w:p>
    <w:p>
      <w:pPr>
        <w:spacing w:after="0" w:line="162" w:lineRule="exact"/>
        <w:rPr>
          <w:sz w:val="20"/>
          <w:szCs w:val="20"/>
          <w:color w:val="auto"/>
        </w:rPr>
      </w:pPr>
    </w:p>
    <w:p>
      <w:pPr>
        <w:ind w:right="40" w:firstLine="161"/>
        <w:spacing w:after="0" w:line="318" w:lineRule="auto"/>
        <w:rPr>
          <w:sz w:val="20"/>
          <w:szCs w:val="20"/>
          <w:color w:val="auto"/>
        </w:rPr>
      </w:pPr>
      <w:r>
        <w:rPr>
          <w:rFonts w:ascii="Arial" w:cs="Arial" w:eastAsia="Arial" w:hAnsi="Arial"/>
          <w:sz w:val="14"/>
          <w:szCs w:val="14"/>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his death. All amounts deferred are recorded as a liability in the records of the Company. Such amounts accrue interest monthly at a rate equal to the Company's average investment portfolio yield for such month.</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Employment Agreements and Change in Control Arrangement</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Severance Agreements</w:t>
      </w:r>
    </w:p>
    <w:p>
      <w:pPr>
        <w:spacing w:after="0" w:line="213" w:lineRule="exact"/>
        <w:rPr>
          <w:sz w:val="20"/>
          <w:szCs w:val="20"/>
          <w:color w:val="auto"/>
        </w:rPr>
      </w:pPr>
    </w:p>
    <w:p>
      <w:pPr>
        <w:ind w:firstLine="158"/>
        <w:spacing w:after="0" w:line="303" w:lineRule="auto"/>
        <w:rPr>
          <w:sz w:val="20"/>
          <w:szCs w:val="20"/>
          <w:color w:val="auto"/>
        </w:rPr>
      </w:pPr>
      <w:r>
        <w:rPr>
          <w:rFonts w:ascii="Arial" w:cs="Arial" w:eastAsia="Arial" w:hAnsi="Arial"/>
          <w:sz w:val="14"/>
          <w:szCs w:val="14"/>
          <w:color w:val="auto"/>
        </w:rPr>
        <w:t>The Company has entered into Severance Agreements with each of the Company's Named Executive Officers and certain other officers of the Company relating to termination of employment or status as an officer of the Company and compensation upon such termination. The Severance Agreements allow either the Company or the officer to terminate the officer's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employment with the Company or status as an officer of the Company. Provided the officer complies with the noncompetition and other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Change in Control Arrangement</w:t>
      </w:r>
    </w:p>
    <w:p>
      <w:pPr>
        <w:spacing w:after="0" w:line="213" w:lineRule="exact"/>
        <w:rPr>
          <w:sz w:val="20"/>
          <w:szCs w:val="20"/>
          <w:color w:val="auto"/>
        </w:rPr>
      </w:pPr>
    </w:p>
    <w:p>
      <w:pPr>
        <w:jc w:val="both"/>
        <w:ind w:right="20" w:firstLine="161"/>
        <w:spacing w:after="0" w:line="329" w:lineRule="auto"/>
        <w:rPr>
          <w:sz w:val="20"/>
          <w:szCs w:val="20"/>
          <w:color w:val="auto"/>
        </w:rPr>
      </w:pPr>
      <w:r>
        <w:rPr>
          <w:rFonts w:ascii="Arial" w:cs="Arial" w:eastAsia="Arial" w:hAnsi="Arial"/>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28" w:lineRule="exact"/>
        <w:rPr>
          <w:sz w:val="20"/>
          <w:szCs w:val="20"/>
          <w:color w:val="auto"/>
        </w:rPr>
      </w:pPr>
    </w:p>
    <w:p>
      <w:pPr>
        <w:ind w:right="180" w:firstLine="161"/>
        <w:spacing w:after="0" w:line="332" w:lineRule="auto"/>
        <w:rPr>
          <w:sz w:val="20"/>
          <w:szCs w:val="20"/>
          <w:color w:val="auto"/>
        </w:rPr>
      </w:pPr>
      <w:r>
        <w:rPr>
          <w:rFonts w:ascii="Arial" w:cs="Arial" w:eastAsia="Arial" w:hAnsi="Arial"/>
          <w:sz w:val="14"/>
          <w:szCs w:val="14"/>
          <w:b w:val="1"/>
          <w:bCs w:val="1"/>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reports by the Audit and Compensation Committees of the Board of Directors and the performance graph set forth herein shall not be incorporated by reference into any such filings.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217" w:lineRule="exact"/>
        <w:rPr>
          <w:sz w:val="20"/>
          <w:szCs w:val="20"/>
          <w:color w:val="auto"/>
        </w:rPr>
      </w:pPr>
    </w:p>
    <w:p>
      <w:pPr>
        <w:ind w:right="80" w:firstLine="161"/>
        <w:spacing w:after="0" w:line="268" w:lineRule="auto"/>
        <w:rPr>
          <w:sz w:val="20"/>
          <w:szCs w:val="20"/>
          <w:color w:val="auto"/>
        </w:rPr>
      </w:pPr>
      <w:r>
        <w:rPr>
          <w:rFonts w:ascii="Arial" w:cs="Arial" w:eastAsia="Arial" w:hAnsi="Arial"/>
          <w:sz w:val="16"/>
          <w:szCs w:val="16"/>
          <w:color w:val="auto"/>
        </w:rPr>
        <w:t>During fiscal 2000, the Audit Committee of the Board of Directors (the "Audit Committee") developed an updated charter for the Audit Committee, which was approved by the full Board on March 29, 2000. The complete text of the new charter, which reflects standards set forth in new SEC regulations and New York Stock Exchange rules, is reproduced in Appendix A to this proxy statement. The members of the Audit Committee are independent as independence is defined in Sections 303.01(B)(2)(a) and (3) of the New York Stock Exchange's listing standards.</w:t>
      </w:r>
    </w:p>
    <w:p>
      <w:pPr>
        <w:spacing w:after="0" w:line="171" w:lineRule="exact"/>
        <w:rPr>
          <w:sz w:val="20"/>
          <w:szCs w:val="20"/>
          <w:color w:val="auto"/>
        </w:rPr>
      </w:pPr>
    </w:p>
    <w:p>
      <w:pPr>
        <w:ind w:right="80" w:firstLine="161"/>
        <w:spacing w:after="0" w:line="266" w:lineRule="auto"/>
        <w:rPr>
          <w:sz w:val="20"/>
          <w:szCs w:val="20"/>
          <w:color w:val="auto"/>
        </w:rPr>
      </w:pPr>
      <w:r>
        <w:rPr>
          <w:rFonts w:ascii="Arial" w:cs="Arial" w:eastAsia="Arial" w:hAnsi="Arial"/>
          <w:sz w:val="16"/>
          <w:szCs w:val="16"/>
          <w:color w:val="auto"/>
        </w:rPr>
        <w:t xml:space="preserve">In overseeing the preparation of the Company's financial statements, the Audit Committee met with both management and the Company's independent accountants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both management and the independent accountants. The Audit Committee's review included discussion with the independent accountants about matters required to be discussed pursuant to </w:t>
      </w:r>
      <w:r>
        <w:rPr>
          <w:rFonts w:ascii="Arial" w:cs="Arial" w:eastAsia="Arial" w:hAnsi="Arial"/>
          <w:sz w:val="16"/>
          <w:szCs w:val="16"/>
          <w:i w:val="1"/>
          <w:iCs w:val="1"/>
          <w:color w:val="auto"/>
        </w:rPr>
        <w:t>Statement on Auditing</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No. 61 (Communication with Audit Committees).</w:t>
      </w:r>
    </w:p>
    <w:p>
      <w:pPr>
        <w:spacing w:after="0" w:line="172" w:lineRule="exact"/>
        <w:rPr>
          <w:sz w:val="20"/>
          <w:szCs w:val="20"/>
          <w:color w:val="auto"/>
        </w:rPr>
      </w:pPr>
    </w:p>
    <w:p>
      <w:pPr>
        <w:ind w:right="20" w:firstLine="158"/>
        <w:spacing w:after="0" w:line="268" w:lineRule="auto"/>
        <w:rPr>
          <w:sz w:val="20"/>
          <w:szCs w:val="20"/>
          <w:color w:val="auto"/>
        </w:rPr>
      </w:pPr>
      <w:r>
        <w:rPr>
          <w:rFonts w:ascii="Arial" w:cs="Arial" w:eastAsia="Arial" w:hAnsi="Arial"/>
          <w:sz w:val="16"/>
          <w:szCs w:val="16"/>
          <w:color w:val="auto"/>
        </w:rPr>
        <w:t xml:space="preserve">With respect to the Company's independent accountants, the Audit Committee received the written disclosures and the letter from PricewaterhouseCoopers LLP provided to the Audit Committee as required by the </w:t>
      </w:r>
      <w:r>
        <w:rPr>
          <w:rFonts w:ascii="Arial" w:cs="Arial" w:eastAsia="Arial" w:hAnsi="Arial"/>
          <w:sz w:val="16"/>
          <w:szCs w:val="16"/>
          <w:i w:val="1"/>
          <w:iCs w:val="1"/>
          <w:color w:val="auto"/>
        </w:rPr>
        <w:t>Independence Standards Board Standard No. 1 (Independence Discussions with Audit Committees)</w:t>
      </w:r>
      <w:r>
        <w:rPr>
          <w:rFonts w:ascii="Arial" w:cs="Arial" w:eastAsia="Arial" w:hAnsi="Arial"/>
          <w:sz w:val="16"/>
          <w:szCs w:val="16"/>
          <w:color w:val="auto"/>
        </w:rPr>
        <w:t xml:space="preserve"> and has discussed with PricewaterhouseCoopers LLP the independence of PricewaterhouseCoopers LLP. The Audit Committee has considered whether the provision of the non-audit services rendered by PricewaterhouseCoopers is compatible with maintaining PricewaterhouseCoopers' independence.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Fees charged to the Company for services performed by PricewaterhouseCoopers LLP for fiscal 2001 were as follows in millions:</w:t>
      </w:r>
    </w:p>
    <w:p>
      <w:pPr>
        <w:spacing w:after="0" w:line="209" w:lineRule="exact"/>
        <w:rPr>
          <w:sz w:val="20"/>
          <w:szCs w:val="20"/>
          <w:color w:val="auto"/>
        </w:rPr>
      </w:pPr>
    </w:p>
    <w:p>
      <w:pPr>
        <w:ind w:left="6680"/>
        <w:spacing w:after="0"/>
        <w:rPr>
          <w:sz w:val="20"/>
          <w:szCs w:val="20"/>
          <w:color w:val="auto"/>
        </w:rPr>
      </w:pPr>
      <w:r>
        <w:rPr>
          <w:rFonts w:ascii="Arial" w:cs="Arial" w:eastAsia="Arial" w:hAnsi="Arial"/>
          <w:sz w:val="12"/>
          <w:szCs w:val="12"/>
          <w:b w:val="1"/>
          <w:bCs w:val="1"/>
          <w:color w:val="auto"/>
        </w:rPr>
        <w:t>Micron</w:t>
      </w:r>
    </w:p>
    <w:p>
      <w:pPr>
        <w:sectPr>
          <w:pgSz w:w="11900" w:h="16838" w:orient="portrait"/>
          <w:cols w:equalWidth="0" w:num="1">
            <w:col w:w="11420"/>
          </w:cols>
          <w:pgMar w:left="240" w:top="131" w:right="239" w:bottom="0" w:gutter="0" w:footer="0" w:header="0"/>
        </w:sectPr>
      </w:pPr>
    </w:p>
    <w:p>
      <w:pPr>
        <w:spacing w:after="0" w:line="23" w:lineRule="exact"/>
        <w:rPr>
          <w:sz w:val="20"/>
          <w:szCs w:val="20"/>
          <w:color w:val="auto"/>
        </w:rPr>
      </w:pPr>
    </w:p>
    <w:p>
      <w:pPr>
        <w:ind w:left="6440"/>
        <w:spacing w:after="0"/>
        <w:rPr>
          <w:sz w:val="20"/>
          <w:szCs w:val="20"/>
          <w:color w:val="auto"/>
        </w:rPr>
      </w:pPr>
      <w:r>
        <w:rPr>
          <w:rFonts w:ascii="Arial" w:cs="Arial" w:eastAsia="Arial" w:hAnsi="Arial"/>
          <w:sz w:val="10"/>
          <w:szCs w:val="10"/>
          <w:b w:val="1"/>
          <w:bCs w:val="1"/>
          <w:color w:val="auto"/>
        </w:rPr>
        <w:t>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148590</wp:posOffset>
            </wp:positionV>
            <wp:extent cx="5800090" cy="81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00090" cy="81915"/>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67310</wp:posOffset>
            </wp:positionV>
            <wp:extent cx="121856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1856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Interland,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53340</wp:posOffset>
            </wp:positionV>
            <wp:extent cx="69850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5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67310</wp:posOffset>
            </wp:positionV>
            <wp:extent cx="52514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5145" cy="20320"/>
                    </a:xfrm>
                    <a:prstGeom prst="rect">
                      <a:avLst/>
                    </a:prstGeom>
                    <a:noFill/>
                  </pic:spPr>
                </pic:pic>
              </a:graphicData>
            </a:graphic>
          </wp:anchor>
        </w:drawing>
      </w:r>
    </w:p>
    <w:p>
      <w:pPr>
        <w:sectPr>
          <w:pgSz w:w="11900" w:h="16838" w:orient="portrait"/>
          <w:cols w:equalWidth="0" w:num="3">
            <w:col w:w="7500" w:space="720"/>
            <w:col w:w="840" w:space="680"/>
            <w:col w:w="1680"/>
          </w:cols>
          <w:pgMar w:left="240" w:top="131" w:right="239" w:bottom="0" w:gutter="0" w:footer="0" w:header="0"/>
          <w:type w:val="continuous"/>
        </w:sectPr>
      </w:pPr>
    </w:p>
    <w:bookmarkStart w:id="8" w:name="page9"/>
    <w:bookmarkEnd w:id="8"/>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6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w:t>
            </w: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Financial information systems design and implementation fees</w:t>
            </w:r>
          </w:p>
        </w:tc>
        <w:tc>
          <w:tcPr>
            <w:tcW w:w="8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fees</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r>
      <w:tr>
        <w:trPr>
          <w:trHeight w:val="108"/>
        </w:trPr>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1160" w:type="dxa"/>
            <w:vAlign w:val="bottom"/>
          </w:tcPr>
          <w:p>
            <w:pPr>
              <w:spacing w:after="0"/>
              <w:rPr>
                <w:sz w:val="24"/>
                <w:szCs w:val="24"/>
                <w:color w:val="auto"/>
              </w:rPr>
            </w:pPr>
          </w:p>
        </w:tc>
        <w:tc>
          <w:tcPr>
            <w:tcW w:w="4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20.4</w:t>
            </w:r>
          </w:p>
        </w:tc>
        <w:tc>
          <w:tcPr>
            <w:tcW w:w="7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24"/>
                <w:szCs w:val="24"/>
                <w:color w:val="auto"/>
              </w:rPr>
            </w:pPr>
          </w:p>
        </w:tc>
      </w:tr>
      <w:tr>
        <w:trPr>
          <w:trHeight w:val="134"/>
        </w:trPr>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203"/>
        </w:trPr>
        <w:tc>
          <w:tcPr>
            <w:tcW w:w="11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-454660</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-454660</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-454660</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-454660</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-454660</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-454660</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-177800</wp:posOffset>
            </wp:positionV>
            <wp:extent cx="1270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-177800</wp:posOffset>
            </wp:positionV>
            <wp:extent cx="1270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-177800</wp:posOffset>
            </wp:positionV>
            <wp:extent cx="1270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-177800</wp:posOffset>
            </wp:positionV>
            <wp:extent cx="12700"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-177800</wp:posOffset>
            </wp:positionV>
            <wp:extent cx="1270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-177800</wp:posOffset>
            </wp:positionV>
            <wp:extent cx="12700"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-13335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jc w:val="both"/>
        <w:ind w:left="500" w:right="560"/>
        <w:spacing w:after="0" w:line="268" w:lineRule="auto"/>
        <w:rPr>
          <w:sz w:val="20"/>
          <w:szCs w:val="20"/>
          <w:color w:val="auto"/>
        </w:rPr>
      </w:pPr>
      <w:r>
        <w:rPr>
          <w:rFonts w:ascii="Arial" w:cs="Arial" w:eastAsia="Arial" w:hAnsi="Arial"/>
          <w:sz w:val="16"/>
          <w:szCs w:val="16"/>
          <w:color w:val="auto"/>
        </w:rPr>
        <w:t>Amounts listed for Interland, Inc. are through August 6, 2001, the date on which Micron Electronics, Inc. ("MEI") completed a merger with Interland, Inc. Upon completion of the merger, MEI changed its name to Interland, Inc. ("Interland"). As a result of the merger, Interland's results are no longer consolidated with the Company's.</w:t>
      </w:r>
    </w:p>
    <w:p>
      <w:pPr>
        <w:spacing w:after="0" w:line="171" w:lineRule="exact"/>
        <w:rPr>
          <w:sz w:val="20"/>
          <w:szCs w:val="20"/>
          <w:color w:val="auto"/>
        </w:rPr>
      </w:pPr>
    </w:p>
    <w:p>
      <w:pPr>
        <w:ind w:right="480" w:firstLine="161"/>
        <w:spacing w:after="0" w:line="287" w:lineRule="auto"/>
        <w:rPr>
          <w:sz w:val="20"/>
          <w:szCs w:val="20"/>
          <w:color w:val="auto"/>
        </w:rPr>
      </w:pPr>
      <w:r>
        <w:rPr>
          <w:rFonts w:ascii="Arial" w:cs="Arial" w:eastAsia="Arial" w:hAnsi="Arial"/>
          <w:sz w:val="16"/>
          <w:szCs w:val="16"/>
          <w:color w:val="auto"/>
        </w:rPr>
        <w:t>On the basis of the reviews and discussions referred to above, the Audit Committee recommended to the Board of Directors that the Board approve the inclusion of the Company's audited financial statements in the Company's Annual Report on Form 10-K for fiscal 2001.</w:t>
      </w:r>
    </w:p>
    <w:p>
      <w:pPr>
        <w:spacing w:after="0" w:line="156" w:lineRule="exact"/>
        <w:rPr>
          <w:sz w:val="20"/>
          <w:szCs w:val="20"/>
          <w:color w:val="auto"/>
        </w:rPr>
      </w:pPr>
    </w:p>
    <w:p>
      <w:pPr>
        <w:ind w:right="20" w:firstLine="158"/>
        <w:spacing w:after="0" w:line="299" w:lineRule="auto"/>
        <w:rPr>
          <w:sz w:val="20"/>
          <w:szCs w:val="20"/>
          <w:color w:val="auto"/>
        </w:rPr>
      </w:pPr>
      <w:r>
        <w:rPr>
          <w:rFonts w:ascii="Arial" w:cs="Arial" w:eastAsia="Arial" w:hAnsi="Arial"/>
          <w:sz w:val="15"/>
          <w:szCs w:val="15"/>
          <w:color w:val="auto"/>
        </w:rPr>
        <w:t>While the Audit Committee has performed the above functions, management, and not the Audit Committee, has the primary responsibility for the financial statements and the reporting process, including the system of internal accounting controls. Similarly, it is the responsibility of the independent accountants, and not the Audit Committee, to conduct the audit and express an opinion as to the conformity of the financial statements with accounting principles generally accepted in the United States.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Audit Committee of the Board of Directors,</w:t>
      </w:r>
    </w:p>
    <w:p>
      <w:pPr>
        <w:spacing w:after="0" w:line="213" w:lineRule="exact"/>
        <w:rPr>
          <w:sz w:val="20"/>
          <w:szCs w:val="20"/>
          <w:color w:val="auto"/>
        </w:rPr>
      </w:pPr>
    </w:p>
    <w:p>
      <w:pPr>
        <w:jc w:val="center"/>
        <w:ind w:left="5460"/>
        <w:spacing w:after="0"/>
        <w:rPr>
          <w:sz w:val="20"/>
          <w:szCs w:val="20"/>
          <w:color w:val="auto"/>
        </w:rPr>
      </w:pPr>
      <w:r>
        <w:rPr>
          <w:rFonts w:ascii="Arial" w:cs="Arial" w:eastAsia="Arial" w:hAnsi="Arial"/>
          <w:sz w:val="16"/>
          <w:szCs w:val="16"/>
          <w:color w:val="auto"/>
        </w:rPr>
        <w:t>Thomas T. Nicholson</w:t>
      </w:r>
    </w:p>
    <w:p>
      <w:pPr>
        <w:spacing w:after="0" w:line="22" w:lineRule="exact"/>
        <w:rPr>
          <w:sz w:val="20"/>
          <w:szCs w:val="20"/>
          <w:color w:val="auto"/>
        </w:rPr>
      </w:pPr>
    </w:p>
    <w:p>
      <w:pPr>
        <w:jc w:val="center"/>
        <w:ind w:left="5460"/>
        <w:spacing w:after="0"/>
        <w:rPr>
          <w:sz w:val="20"/>
          <w:szCs w:val="20"/>
          <w:color w:val="auto"/>
        </w:rPr>
      </w:pPr>
      <w:r>
        <w:rPr>
          <w:rFonts w:ascii="Arial" w:cs="Arial" w:eastAsia="Arial" w:hAnsi="Arial"/>
          <w:sz w:val="16"/>
          <w:szCs w:val="16"/>
          <w:color w:val="auto"/>
        </w:rPr>
        <w:t>Gordon C. Smith</w:t>
      </w:r>
    </w:p>
    <w:p>
      <w:pPr>
        <w:spacing w:after="0" w:line="15" w:lineRule="exact"/>
        <w:rPr>
          <w:sz w:val="20"/>
          <w:szCs w:val="20"/>
          <w:color w:val="auto"/>
        </w:rPr>
      </w:pPr>
    </w:p>
    <w:p>
      <w:pPr>
        <w:jc w:val="center"/>
        <w:ind w:left="5460"/>
        <w:spacing w:after="0"/>
        <w:rPr>
          <w:sz w:val="20"/>
          <w:szCs w:val="20"/>
          <w:color w:val="auto"/>
        </w:rPr>
      </w:pPr>
      <w:r>
        <w:rPr>
          <w:rFonts w:ascii="Arial" w:cs="Arial" w:eastAsia="Arial" w:hAnsi="Arial"/>
          <w:sz w:val="16"/>
          <w:szCs w:val="16"/>
          <w:color w:val="auto"/>
        </w:rPr>
        <w:t>William P. Weber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THE COMPENSATION COMMITTEE OF THE BOARD OF DIRECTORS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REGARDING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7" w:lineRule="exact"/>
        <w:rPr>
          <w:sz w:val="20"/>
          <w:szCs w:val="20"/>
          <w:color w:val="auto"/>
        </w:rPr>
      </w:pPr>
    </w:p>
    <w:p>
      <w:pPr>
        <w:ind w:right="40" w:firstLine="158"/>
        <w:spacing w:after="0" w:line="264" w:lineRule="auto"/>
        <w:rPr>
          <w:sz w:val="20"/>
          <w:szCs w:val="20"/>
          <w:color w:val="auto"/>
        </w:rPr>
      </w:pPr>
      <w:r>
        <w:rPr>
          <w:rFonts w:ascii="Arial" w:cs="Arial" w:eastAsia="Arial" w:hAnsi="Arial"/>
          <w:sz w:val="16"/>
          <w:szCs w:val="16"/>
          <w:color w:val="auto"/>
        </w:rPr>
        <w:t>This report has been prepared by the Compensation Committee of the Board of Directors of the Company (the "Compensation Committee"). Messrs. Bagley, Lothrop and Nicholson serve as members of the Compensation Committee. The Compensation Committee meets at least annually or more frequently as the Company's Board of Directors may request. During fiscal 2001, the Compensation Committee met one time. The Compensation Committee's primary responsibilities include the review of compensation, consisting of salary, bonuses, benefits, stock option grants and other compensation, of the Company's executive officers. Compensation for the Company's executive officers for fiscal 2001, including base salary, performance bonuses, stock option grants, and other compensation, were determined by the Compensation Committee and reviewed and approved by the Company's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 Compensation</w:t>
      </w:r>
    </w:p>
    <w:p>
      <w:pPr>
        <w:spacing w:after="0" w:line="217" w:lineRule="exact"/>
        <w:rPr>
          <w:sz w:val="20"/>
          <w:szCs w:val="20"/>
          <w:color w:val="auto"/>
        </w:rPr>
      </w:pPr>
    </w:p>
    <w:p>
      <w:pPr>
        <w:ind w:right="140" w:firstLine="158"/>
        <w:spacing w:after="0" w:line="287" w:lineRule="auto"/>
        <w:rPr>
          <w:sz w:val="20"/>
          <w:szCs w:val="20"/>
          <w:color w:val="auto"/>
        </w:rPr>
      </w:pPr>
      <w:r>
        <w:rPr>
          <w:rFonts w:ascii="Arial" w:cs="Arial" w:eastAsia="Arial" w:hAnsi="Arial"/>
          <w:sz w:val="15"/>
          <w:szCs w:val="15"/>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213" w:lineRule="exact"/>
        <w:rPr>
          <w:sz w:val="20"/>
          <w:szCs w:val="20"/>
          <w:color w:val="auto"/>
        </w:rPr>
      </w:pPr>
    </w:p>
    <w:p>
      <w:pPr>
        <w:ind w:right="640" w:firstLine="161"/>
        <w:spacing w:after="0" w:line="322"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Base salaries are established primarily upon an evaluation of the executive officer's position and contributions to the Company, including (i) individual</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(ii) level of responsibility, (iii) technical expertise, (iv) Company performance, (v) length of service and (vi) industry compensation levels.</w:t>
      </w:r>
    </w:p>
    <w:p>
      <w:pPr>
        <w:spacing w:after="0" w:line="133" w:lineRule="exact"/>
        <w:rPr>
          <w:sz w:val="20"/>
          <w:szCs w:val="20"/>
          <w:color w:val="auto"/>
        </w:rPr>
      </w:pPr>
    </w:p>
    <w:p>
      <w:pPr>
        <w:ind w:right="60" w:firstLine="161"/>
        <w:spacing w:after="0" w:line="287" w:lineRule="auto"/>
        <w:rPr>
          <w:sz w:val="20"/>
          <w:szCs w:val="20"/>
          <w:color w:val="auto"/>
        </w:rPr>
      </w:pPr>
      <w:r>
        <w:rPr>
          <w:rFonts w:ascii="Arial" w:cs="Arial" w:eastAsia="Arial" w:hAnsi="Arial"/>
          <w:sz w:val="15"/>
          <w:szCs w:val="15"/>
          <w:i w:val="1"/>
          <w:iCs w:val="1"/>
          <w:color w:val="auto"/>
        </w:rPr>
        <w:t xml:space="preserve">Company Performance Bonuses. </w:t>
      </w:r>
      <w:r>
        <w:rPr>
          <w:rFonts w:ascii="Arial" w:cs="Arial" w:eastAsia="Arial" w:hAnsi="Arial"/>
          <w:sz w:val="15"/>
          <w:szCs w:val="15"/>
          <w:color w:val="auto"/>
        </w:rPr>
        <w:t>Cash bonuses to executive officers are intended to reward executive officers for the Company's financial performance during each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Bonuses and profits are based on the results of the Company's semiconductor operations. No performance bonuses were earned for fiscal 2001 as a result of the Company's financial performance for such period.</w:t>
      </w:r>
    </w:p>
    <w:p>
      <w:pPr>
        <w:spacing w:after="0" w:line="160" w:lineRule="exact"/>
        <w:rPr>
          <w:sz w:val="20"/>
          <w:szCs w:val="20"/>
          <w:color w:val="auto"/>
        </w:rPr>
      </w:pPr>
    </w:p>
    <w:p>
      <w:pPr>
        <w:ind w:right="80" w:firstLine="161"/>
        <w:spacing w:after="0" w:line="287" w:lineRule="auto"/>
        <w:rPr>
          <w:sz w:val="20"/>
          <w:szCs w:val="20"/>
          <w:color w:val="auto"/>
        </w:rPr>
      </w:pPr>
      <w:r>
        <w:rPr>
          <w:rFonts w:ascii="Arial" w:cs="Arial" w:eastAsia="Arial" w:hAnsi="Arial"/>
          <w:sz w:val="16"/>
          <w:szCs w:val="16"/>
          <w:i w:val="1"/>
          <w:iCs w:val="1"/>
          <w:color w:val="auto"/>
        </w:rPr>
        <w:t xml:space="preserve">Profit Sharing. </w:t>
      </w:r>
      <w:r>
        <w:rPr>
          <w:rFonts w:ascii="Arial" w:cs="Arial" w:eastAsia="Arial" w:hAnsi="Arial"/>
          <w:sz w:val="16"/>
          <w:szCs w:val="16"/>
          <w:color w:val="auto"/>
        </w:rPr>
        <w:t>The Company distributes ten percent (10%) of the Company's quarterly after-tax profits (determined on an unconsolidated basis) to eligible employees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w:t>
      </w:r>
    </w:p>
    <w:p>
      <w:pPr>
        <w:spacing w:after="0" w:line="156" w:lineRule="exact"/>
        <w:rPr>
          <w:sz w:val="20"/>
          <w:szCs w:val="20"/>
          <w:color w:val="auto"/>
        </w:rPr>
      </w:pPr>
    </w:p>
    <w:p>
      <w:pPr>
        <w:ind w:right="220" w:firstLine="161"/>
        <w:spacing w:after="0" w:line="287"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From time to time, incentive cash bonuses are approved for payment to employees, including executive officers, for the achievement of milestones,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projects identified as contributing substantially to the Company's success and the attainment of technological advances.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13" w:lineRule="exact"/>
        <w:rPr>
          <w:sz w:val="20"/>
          <w:szCs w:val="20"/>
          <w:color w:val="auto"/>
        </w:rPr>
      </w:pPr>
    </w:p>
    <w:p>
      <w:pPr>
        <w:ind w:right="180" w:firstLine="161"/>
        <w:spacing w:after="0" w:line="273" w:lineRule="auto"/>
        <w:rPr>
          <w:sz w:val="20"/>
          <w:szCs w:val="20"/>
          <w:color w:val="auto"/>
        </w:rPr>
      </w:pPr>
      <w:r>
        <w:rPr>
          <w:rFonts w:ascii="Arial" w:cs="Arial" w:eastAsia="Arial" w:hAnsi="Arial"/>
          <w:sz w:val="16"/>
          <w:szCs w:val="16"/>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(i) 1994 Stock Option Plan, (ii) Nonstatutory Stock Option Plan, (iii) 1997 Nonstatutory Stock Option Plan and (iv) 1998 Nonstatutory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Compensation</w:t>
      </w:r>
    </w:p>
    <w:p>
      <w:pPr>
        <w:spacing w:after="0" w:line="213" w:lineRule="exact"/>
        <w:rPr>
          <w:sz w:val="20"/>
          <w:szCs w:val="20"/>
          <w:color w:val="auto"/>
        </w:rPr>
      </w:pPr>
    </w:p>
    <w:p>
      <w:pPr>
        <w:ind w:right="20" w:firstLine="161"/>
        <w:spacing w:after="0" w:line="322" w:lineRule="auto"/>
        <w:rPr>
          <w:sz w:val="20"/>
          <w:szCs w:val="20"/>
          <w:color w:val="auto"/>
        </w:rPr>
      </w:pPr>
      <w:r>
        <w:rPr>
          <w:rFonts w:ascii="Arial" w:cs="Arial" w:eastAsia="Arial" w:hAnsi="Arial"/>
          <w:sz w:val="15"/>
          <w:szCs w:val="15"/>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w:t>
      </w:r>
    </w:p>
    <w:p>
      <w:pPr>
        <w:sectPr>
          <w:pgSz w:w="11900" w:h="16952" w:orient="portrait"/>
          <w:cols w:equalWidth="0" w:num="1">
            <w:col w:w="11420"/>
          </w:cols>
          <w:pgMar w:left="240" w:top="140" w:right="239" w:bottom="0" w:gutter="0" w:footer="0" w:header="0"/>
        </w:sectPr>
      </w:pPr>
    </w:p>
    <w:bookmarkStart w:id="9" w:name="page10"/>
    <w:bookmarkEnd w:id="9"/>
    <w:p>
      <w:pPr>
        <w:ind w:left="1" w:right="160"/>
        <w:spacing w:after="0" w:line="287" w:lineRule="auto"/>
        <w:rPr>
          <w:sz w:val="20"/>
          <w:szCs w:val="20"/>
          <w:color w:val="auto"/>
        </w:rPr>
      </w:pPr>
      <w:r>
        <w:rPr>
          <w:rFonts w:ascii="Arial" w:cs="Arial" w:eastAsia="Arial" w:hAnsi="Arial"/>
          <w:sz w:val="16"/>
          <w:szCs w:val="16"/>
          <w:color w:val="auto"/>
        </w:rPr>
        <w:t>vacation, holiday, sick time, emergencies and personal needs. Executive officer participation in various professional organizations and associations may also be funded by the Company.</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Payment/Exercise Restrictions</w:t>
      </w:r>
    </w:p>
    <w:p>
      <w:pPr>
        <w:spacing w:after="0" w:line="213" w:lineRule="exact"/>
        <w:rPr>
          <w:sz w:val="20"/>
          <w:szCs w:val="20"/>
          <w:color w:val="auto"/>
        </w:rPr>
      </w:pPr>
    </w:p>
    <w:p>
      <w:pPr>
        <w:ind w:left="1" w:right="100" w:firstLine="161"/>
        <w:spacing w:after="0" w:line="299" w:lineRule="auto"/>
        <w:rPr>
          <w:sz w:val="20"/>
          <w:szCs w:val="20"/>
          <w:color w:val="auto"/>
        </w:rPr>
      </w:pPr>
      <w:r>
        <w:rPr>
          <w:rFonts w:ascii="Arial" w:cs="Arial" w:eastAsia="Arial" w:hAnsi="Arial"/>
          <w:sz w:val="14"/>
          <w:szCs w:val="14"/>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Examples of these conditions include: (i) the Company is profitable in the fiscal quarter immediately prior to payment or the payment is deferred until after the Company has a profitable quarter;</w:t>
      </w:r>
    </w:p>
    <w:p>
      <w:pPr>
        <w:spacing w:after="0" w:line="1" w:lineRule="exact"/>
        <w:rPr>
          <w:sz w:val="20"/>
          <w:szCs w:val="20"/>
          <w:color w:val="auto"/>
        </w:rPr>
      </w:pPr>
    </w:p>
    <w:p>
      <w:pPr>
        <w:ind w:left="1" w:hanging="1"/>
        <w:spacing w:after="0" w:line="265" w:lineRule="auto"/>
        <w:tabs>
          <w:tab w:leader="none" w:pos="2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individual is employed by the Company or a subsidiary of the Company at the time of payment (regardless of the fiscal year results for which the payment is attributable); and (iii) certification, by the Compensation Committee for executive officer bonuses and by management for other bonuses, that any relevant goals were achieved. Likewise, stock options granted to employees and executive officers typically have a term of ten years and vest twenty-five percent (25%) each year for a period of four years from the date of grant.</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CEO Compensation</w:t>
      </w:r>
    </w:p>
    <w:p>
      <w:pPr>
        <w:spacing w:after="0" w:line="217" w:lineRule="exact"/>
        <w:rPr>
          <w:sz w:val="20"/>
          <w:szCs w:val="20"/>
          <w:color w:val="auto"/>
        </w:rPr>
      </w:pPr>
    </w:p>
    <w:p>
      <w:pPr>
        <w:jc w:val="both"/>
        <w:ind w:left="1" w:right="280" w:firstLine="161"/>
        <w:spacing w:after="0" w:line="299" w:lineRule="auto"/>
        <w:rPr>
          <w:sz w:val="20"/>
          <w:szCs w:val="20"/>
          <w:color w:val="auto"/>
        </w:rPr>
      </w:pPr>
      <w:r>
        <w:rPr>
          <w:rFonts w:ascii="Arial" w:cs="Arial" w:eastAsia="Arial" w:hAnsi="Arial"/>
          <w:sz w:val="15"/>
          <w:szCs w:val="15"/>
          <w:color w:val="auto"/>
        </w:rPr>
        <w:t>Steven R. Appleton's annual base salary was set at $800,000 in July 2000 and was based primarily on Mr. Appleton's overall and anticipated performance, the Company's performance and the Committee's assessment of the compensation practices of other semiconductor manufacturing companies. This was the first increase in Mr. Appleton's salary since July 1997. Mr. Appleton did not earn any cash bonus payments pursuant to Company Performance Bonuses for fiscal 2001.</w:t>
      </w:r>
    </w:p>
    <w:p>
      <w:pPr>
        <w:spacing w:after="0" w:line="150" w:lineRule="exact"/>
        <w:rPr>
          <w:sz w:val="20"/>
          <w:szCs w:val="20"/>
          <w:color w:val="auto"/>
        </w:rPr>
      </w:pPr>
    </w:p>
    <w:p>
      <w:pPr>
        <w:ind w:left="1" w:right="120" w:firstLine="161"/>
        <w:spacing w:after="0" w:line="266" w:lineRule="auto"/>
        <w:rPr>
          <w:sz w:val="20"/>
          <w:szCs w:val="20"/>
          <w:color w:val="auto"/>
        </w:rPr>
      </w:pPr>
      <w:r>
        <w:rPr>
          <w:rFonts w:ascii="Arial" w:cs="Arial" w:eastAsia="Arial" w:hAnsi="Arial"/>
          <w:sz w:val="16"/>
          <w:szCs w:val="16"/>
          <w:color w:val="auto"/>
        </w:rPr>
        <w:t>In fiscal 2001, Mr. Appleton was granted options to purchase 250,000 shares. The Company granted stock options to other executive officers at the same time. The Committee did not have a plan pursuant to which a predetermined number of stock options were allocated to Mr. Appleton. The actual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172" w:lineRule="exact"/>
        <w:rPr>
          <w:sz w:val="20"/>
          <w:szCs w:val="20"/>
          <w:color w:val="auto"/>
        </w:rPr>
      </w:pPr>
    </w:p>
    <w:p>
      <w:pPr>
        <w:ind w:left="161"/>
        <w:spacing w:after="0"/>
        <w:rPr>
          <w:sz w:val="20"/>
          <w:szCs w:val="20"/>
          <w:color w:val="auto"/>
        </w:rPr>
      </w:pPr>
      <w:r>
        <w:rPr>
          <w:rFonts w:ascii="Arial" w:cs="Arial" w:eastAsia="Arial" w:hAnsi="Arial"/>
          <w:sz w:val="16"/>
          <w:szCs w:val="16"/>
          <w:color w:val="auto"/>
        </w:rPr>
        <w:t>Compensation Committee of the Board of Directors,</w:t>
      </w:r>
    </w:p>
    <w:p>
      <w:pPr>
        <w:spacing w:after="0" w:line="213" w:lineRule="exact"/>
        <w:rPr>
          <w:sz w:val="20"/>
          <w:szCs w:val="20"/>
          <w:color w:val="auto"/>
        </w:rPr>
      </w:pPr>
    </w:p>
    <w:p>
      <w:pPr>
        <w:ind w:left="5461"/>
        <w:spacing w:after="0"/>
        <w:rPr>
          <w:sz w:val="20"/>
          <w:szCs w:val="20"/>
          <w:color w:val="auto"/>
        </w:rPr>
      </w:pPr>
      <w:r>
        <w:rPr>
          <w:rFonts w:ascii="Arial" w:cs="Arial" w:eastAsia="Arial" w:hAnsi="Arial"/>
          <w:sz w:val="16"/>
          <w:szCs w:val="16"/>
          <w:color w:val="auto"/>
        </w:rPr>
        <w:t>James W. Bagley</w:t>
      </w:r>
    </w:p>
    <w:p>
      <w:pPr>
        <w:spacing w:after="0" w:line="22" w:lineRule="exact"/>
        <w:rPr>
          <w:sz w:val="20"/>
          <w:szCs w:val="20"/>
          <w:color w:val="auto"/>
        </w:rPr>
      </w:pPr>
    </w:p>
    <w:p>
      <w:pPr>
        <w:ind w:left="5461"/>
        <w:spacing w:after="0"/>
        <w:rPr>
          <w:sz w:val="20"/>
          <w:szCs w:val="20"/>
          <w:color w:val="auto"/>
        </w:rPr>
      </w:pPr>
      <w:r>
        <w:rPr>
          <w:rFonts w:ascii="Arial" w:cs="Arial" w:eastAsia="Arial" w:hAnsi="Arial"/>
          <w:sz w:val="16"/>
          <w:szCs w:val="16"/>
          <w:color w:val="auto"/>
        </w:rPr>
        <w:t>Robert A. Lothrop</w:t>
      </w:r>
    </w:p>
    <w:p>
      <w:pPr>
        <w:spacing w:after="0" w:line="15" w:lineRule="exact"/>
        <w:rPr>
          <w:sz w:val="20"/>
          <w:szCs w:val="20"/>
          <w:color w:val="auto"/>
        </w:rPr>
      </w:pPr>
    </w:p>
    <w:p>
      <w:pPr>
        <w:ind w:left="5461"/>
        <w:spacing w:after="0"/>
        <w:rPr>
          <w:sz w:val="20"/>
          <w:szCs w:val="20"/>
          <w:color w:val="auto"/>
        </w:rPr>
      </w:pPr>
      <w:r>
        <w:rPr>
          <w:rFonts w:ascii="Arial" w:cs="Arial" w:eastAsia="Arial" w:hAnsi="Arial"/>
          <w:sz w:val="16"/>
          <w:szCs w:val="16"/>
          <w:color w:val="auto"/>
        </w:rPr>
        <w:t>Thomas T. Nicholson</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7" w:lineRule="exact"/>
        <w:rPr>
          <w:sz w:val="20"/>
          <w:szCs w:val="20"/>
          <w:color w:val="auto"/>
        </w:rPr>
      </w:pPr>
    </w:p>
    <w:p>
      <w:pPr>
        <w:ind w:left="161"/>
        <w:spacing w:after="0"/>
        <w:rPr>
          <w:sz w:val="20"/>
          <w:szCs w:val="20"/>
          <w:color w:val="auto"/>
        </w:rPr>
      </w:pPr>
      <w:r>
        <w:rPr>
          <w:rFonts w:ascii="Arial" w:cs="Arial" w:eastAsia="Arial" w:hAnsi="Arial"/>
          <w:sz w:val="16"/>
          <w:szCs w:val="16"/>
          <w:color w:val="auto"/>
        </w:rPr>
        <w:t>During fiscal 2001, no members of the Compensation Committee were officers or employees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PERFORMANCE GRAPH</w:t>
      </w:r>
    </w:p>
    <w:p>
      <w:pPr>
        <w:spacing w:after="0" w:line="217" w:lineRule="exact"/>
        <w:rPr>
          <w:sz w:val="20"/>
          <w:szCs w:val="20"/>
          <w:color w:val="auto"/>
        </w:rPr>
      </w:pPr>
    </w:p>
    <w:p>
      <w:pPr>
        <w:ind w:left="1" w:firstLine="158"/>
        <w:spacing w:after="0" w:line="287" w:lineRule="auto"/>
        <w:rPr>
          <w:sz w:val="20"/>
          <w:szCs w:val="20"/>
          <w:color w:val="auto"/>
        </w:rPr>
      </w:pPr>
      <w:r>
        <w:rPr>
          <w:rFonts w:ascii="Arial" w:cs="Arial" w:eastAsia="Arial" w:hAnsi="Arial"/>
          <w:sz w:val="16"/>
          <w:szCs w:val="16"/>
          <w:color w:val="auto"/>
        </w:rPr>
        <w:t>The following graph illustrates a five-year comparison of cumulative total returns for the Company's Common Stock, the S&amp;P 500 Composite Index and the S&amp;P Electronics (Semiconductors) Index from August 31, 1996, through August 31, 2001.</w:t>
      </w:r>
    </w:p>
    <w:p>
      <w:pPr>
        <w:spacing w:after="0" w:line="156" w:lineRule="exact"/>
        <w:rPr>
          <w:sz w:val="20"/>
          <w:szCs w:val="20"/>
          <w:color w:val="auto"/>
        </w:rPr>
      </w:pPr>
    </w:p>
    <w:p>
      <w:pPr>
        <w:ind w:left="1" w:right="260" w:firstLine="161"/>
        <w:spacing w:after="0" w:line="287" w:lineRule="auto"/>
        <w:rPr>
          <w:sz w:val="20"/>
          <w:szCs w:val="20"/>
          <w:color w:val="auto"/>
        </w:rPr>
      </w:pPr>
      <w:r>
        <w:rPr>
          <w:rFonts w:ascii="Arial" w:cs="Arial" w:eastAsia="Arial" w:hAnsi="Arial"/>
          <w:sz w:val="16"/>
          <w:szCs w:val="16"/>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AMONG MICRON TECHNOLOGY, INC., THE S&amp;P 500 INDEX</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THE S&amp;P ELECTRONICS (SEMICONDUCTORS)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136525</wp:posOffset>
            </wp:positionV>
            <wp:extent cx="5389880" cy="2766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89880" cy="276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4401" w:right="2120" w:hanging="2233"/>
        <w:spacing w:after="0" w:line="287" w:lineRule="auto"/>
        <w:tabs>
          <w:tab w:leader="none" w:pos="229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 INVESTED ON 8/31/96 IN STOCK OR INDEX-INCLUDING REINVESTMENT OF DIVIDENDS. FISCAL YEAR ENDING AUGUST 31.</w:t>
      </w:r>
    </w:p>
    <w:p>
      <w:pPr>
        <w:spacing w:after="0" w:line="156" w:lineRule="exact"/>
        <w:rPr>
          <w:sz w:val="20"/>
          <w:szCs w:val="20"/>
          <w:color w:val="auto"/>
        </w:rPr>
      </w:pPr>
    </w:p>
    <w:p>
      <w:pPr>
        <w:ind w:left="1" w:right="60"/>
        <w:spacing w:after="0" w:line="291" w:lineRule="auto"/>
        <w:rPr>
          <w:sz w:val="20"/>
          <w:szCs w:val="20"/>
          <w:color w:val="auto"/>
        </w:rPr>
      </w:pPr>
      <w:r>
        <w:rPr>
          <w:rFonts w:ascii="Arial" w:cs="Arial" w:eastAsia="Arial" w:hAnsi="Arial"/>
          <w:sz w:val="15"/>
          <w:szCs w:val="15"/>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1996, in Common Stock of Micron Technology, Inc., the S&amp;P 500 Composite Index, and the S&amp;P Electronics (Semiconductors) Index. Any dividends paid during the period presented are assumed to be reinvested. The performance was plotted using the following data:</w:t>
      </w:r>
    </w:p>
    <w:p>
      <w:pPr>
        <w:sectPr>
          <w:pgSz w:w="11900" w:h="16838" w:orient="portrait"/>
          <w:cols w:equalWidth="0" w:num="1">
            <w:col w:w="11381"/>
          </w:cols>
          <w:pgMar w:left="239" w:top="131" w:right="279" w:bottom="0" w:gutter="0" w:footer="0" w:header="0"/>
        </w:sectPr>
      </w:pPr>
    </w:p>
    <w:bookmarkStart w:id="10" w:name="page11"/>
    <w:bookmarkEnd w:id="10"/>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Performance Graph Data</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Arial" w:cs="Arial" w:eastAsia="Arial" w:hAnsi="Arial"/>
                <w:sz w:val="12"/>
                <w:szCs w:val="12"/>
                <w:b w:val="1"/>
                <w:bCs w:val="1"/>
                <w:color w:val="auto"/>
              </w:rPr>
              <w:t>1996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4"/>
              <w:spacing w:after="0"/>
              <w:rPr>
                <w:sz w:val="20"/>
                <w:szCs w:val="20"/>
                <w:color w:val="auto"/>
              </w:rPr>
            </w:pPr>
            <w:r>
              <w:rPr>
                <w:rFonts w:ascii="Arial" w:cs="Arial" w:eastAsia="Arial" w:hAnsi="Arial"/>
                <w:sz w:val="12"/>
                <w:szCs w:val="12"/>
                <w:b w:val="1"/>
                <w:bCs w:val="1"/>
                <w:color w:val="auto"/>
              </w:rPr>
              <w:t>1997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4"/>
              <w:spacing w:after="0"/>
              <w:rPr>
                <w:sz w:val="20"/>
                <w:szCs w:val="20"/>
                <w:color w:val="auto"/>
              </w:rPr>
            </w:pPr>
            <w:r>
              <w:rPr>
                <w:rFonts w:ascii="Arial" w:cs="Arial" w:eastAsia="Arial" w:hAnsi="Arial"/>
                <w:sz w:val="12"/>
                <w:szCs w:val="12"/>
                <w:b w:val="1"/>
                <w:bCs w:val="1"/>
                <w:color w:val="auto"/>
              </w:rPr>
              <w:t>1998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4"/>
              <w:spacing w:after="0"/>
              <w:rPr>
                <w:sz w:val="20"/>
                <w:szCs w:val="20"/>
                <w:color w:val="auto"/>
              </w:rPr>
            </w:pPr>
            <w:r>
              <w:rPr>
                <w:rFonts w:ascii="Arial" w:cs="Arial" w:eastAsia="Arial" w:hAnsi="Arial"/>
                <w:sz w:val="12"/>
                <w:szCs w:val="12"/>
                <w:b w:val="1"/>
                <w:bCs w:val="1"/>
                <w:color w:val="auto"/>
              </w:rPr>
              <w:t>1999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4"/>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2001</w:t>
            </w:r>
          </w:p>
        </w:tc>
      </w:tr>
      <w:tr>
        <w:trPr>
          <w:trHeight w:val="97"/>
        </w:trPr>
        <w:tc>
          <w:tcPr>
            <w:tcW w:w="3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95"/>
        </w:trPr>
        <w:tc>
          <w:tcPr>
            <w:tcW w:w="3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9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Inc.</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199"/>
        </w:trPr>
        <w:tc>
          <w:tcPr>
            <w:tcW w:w="3460" w:type="dxa"/>
            <w:vAlign w:val="bottom"/>
          </w:tcPr>
          <w:p>
            <w:pPr>
              <w:spacing w:after="0"/>
              <w:rPr>
                <w:sz w:val="20"/>
                <w:szCs w:val="20"/>
                <w:color w:val="auto"/>
              </w:rPr>
            </w:pPr>
            <w:r>
              <w:rPr>
                <w:rFonts w:ascii="Arial" w:cs="Arial" w:eastAsia="Arial" w:hAnsi="Arial"/>
                <w:sz w:val="16"/>
                <w:szCs w:val="16"/>
                <w:color w:val="auto"/>
              </w:rPr>
              <w:t>S&amp;P 500</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19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S&amp;P Electronics (Semiconductors)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395"/>
        </w:trPr>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63"/>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-703580</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-703580</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-703580</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-703580</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-703580</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-703580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-703580</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-703580</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-703580</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-703580</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6845300</wp:posOffset>
            </wp:positionH>
            <wp:positionV relativeFrom="paragraph">
              <wp:posOffset>-703580</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-703580</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726249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 APPROVAL OF 2001 STOCK OPTION PLAN</w:t>
      </w:r>
    </w:p>
    <w:p>
      <w:pPr>
        <w:spacing w:after="0" w:line="217" w:lineRule="exact"/>
        <w:rPr>
          <w:sz w:val="20"/>
          <w:szCs w:val="20"/>
          <w:color w:val="auto"/>
        </w:rPr>
      </w:pPr>
    </w:p>
    <w:p>
      <w:pPr>
        <w:ind w:right="100" w:firstLine="161"/>
        <w:spacing w:after="0" w:line="329" w:lineRule="auto"/>
        <w:rPr>
          <w:sz w:val="20"/>
          <w:szCs w:val="20"/>
          <w:color w:val="auto"/>
        </w:rPr>
      </w:pPr>
      <w:r>
        <w:rPr>
          <w:rFonts w:ascii="Arial" w:cs="Arial" w:eastAsia="Arial" w:hAnsi="Arial"/>
          <w:sz w:val="14"/>
          <w:szCs w:val="14"/>
          <w:color w:val="auto"/>
        </w:rPr>
        <w:t>On September 11, 2001, the Board of Directors adopted the Micron Technology, Inc. 2001 Stock Option Plan (the "2001 Option Plan"), subject to approval of the 2001 Option Plan by the shareholders at the Annual Meeting. The 2001 Option Plan was effective as of September 11, 2001, the date of its adoption by the Board. The Company has reserved 10,000,000 shares of the authorized but unissued shares of Common Stock for issuance upon the grant or exercise of options pursuant to the 2001 Option Plan.</w:t>
      </w:r>
    </w:p>
    <w:p>
      <w:pPr>
        <w:spacing w:after="0" w:line="132" w:lineRule="exact"/>
        <w:rPr>
          <w:sz w:val="20"/>
          <w:szCs w:val="20"/>
          <w:color w:val="auto"/>
        </w:rPr>
      </w:pPr>
    </w:p>
    <w:p>
      <w:pPr>
        <w:ind w:right="140" w:firstLine="153"/>
        <w:spacing w:after="0" w:line="287" w:lineRule="auto"/>
        <w:rPr>
          <w:sz w:val="20"/>
          <w:szCs w:val="20"/>
          <w:color w:val="auto"/>
        </w:rPr>
      </w:pPr>
      <w:r>
        <w:rPr>
          <w:rFonts w:ascii="Arial" w:cs="Arial" w:eastAsia="Arial" w:hAnsi="Arial"/>
          <w:sz w:val="16"/>
          <w:szCs w:val="16"/>
          <w:color w:val="auto"/>
        </w:rPr>
        <w:t>A summary of the 2001 Option Plan is set forth below. The summary is qualified in its entirety by reference to the full text of the 2001 Option Plan, which is attached hereto as Appendix 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100" w:firstLine="158"/>
        <w:spacing w:after="0" w:line="266" w:lineRule="auto"/>
        <w:rPr>
          <w:sz w:val="20"/>
          <w:szCs w:val="20"/>
          <w:color w:val="auto"/>
        </w:rPr>
      </w:pPr>
      <w:r>
        <w:rPr>
          <w:rFonts w:ascii="Arial" w:cs="Arial" w:eastAsia="Arial" w:hAnsi="Arial"/>
          <w:sz w:val="16"/>
          <w:szCs w:val="16"/>
          <w:color w:val="auto"/>
        </w:rPr>
        <w:t>The purpose of the 2001 Option Plan is to align employee and shareholder long-term interest and to enable the Company to attract, motivate and retain experienced and qualified personnel for positions of substantial responsibility. Assuming approval of 2001 Option Plan, the 10,000,000 total shares reserved for issuance under the 2001 Option Plan will represent approximately 1.67% of the Company's Common Stock outstanding as of the Record Date. Only persons who are officers, employees, consultants or directors of the Company will be eligible to participate in, and to receive options under, the 2001 Option Plan. As of September 28, 2001, there were approximately 12,000 persons (including all current executive officers) eligible to participate in the 2001 Option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firstLine="158"/>
        <w:spacing w:after="0" w:line="266" w:lineRule="auto"/>
        <w:rPr>
          <w:sz w:val="20"/>
          <w:szCs w:val="20"/>
          <w:color w:val="auto"/>
        </w:rPr>
      </w:pPr>
      <w:r>
        <w:rPr>
          <w:rFonts w:ascii="Arial" w:cs="Arial" w:eastAsia="Arial" w:hAnsi="Arial"/>
          <w:sz w:val="16"/>
          <w:szCs w:val="16"/>
          <w:color w:val="auto"/>
        </w:rPr>
        <w:t>The 2001 Option Plan will be administered by a committee of the Board of Directors of the Company (the "Committee"), or at the discretion of the Board from time to time, by the Board. During any time that the Board is acting as administrator of the 2001 Option Plan, it shall have all the powers of the Committee thereunder. In addition, the Board or the Committee may expressly delegate to a special committee some or all of the Committee's authority with respect to option grants to those eligible participants who, at the time of grant are not, and are not anticipated to be become, executive officers of the Company subject to the restrictions of Section 16 of the Securities Exchange Act of 1934, as amended.</w:t>
      </w:r>
    </w:p>
    <w:p>
      <w:pPr>
        <w:spacing w:after="0" w:line="172" w:lineRule="exact"/>
        <w:rPr>
          <w:sz w:val="20"/>
          <w:szCs w:val="20"/>
          <w:color w:val="auto"/>
        </w:rPr>
      </w:pPr>
    </w:p>
    <w:p>
      <w:pPr>
        <w:ind w:right="120" w:firstLine="158"/>
        <w:spacing w:after="0" w:line="283" w:lineRule="auto"/>
        <w:rPr>
          <w:sz w:val="20"/>
          <w:szCs w:val="20"/>
          <w:color w:val="auto"/>
        </w:rPr>
      </w:pPr>
      <w:r>
        <w:rPr>
          <w:rFonts w:ascii="Arial" w:cs="Arial" w:eastAsia="Arial" w:hAnsi="Arial"/>
          <w:sz w:val="15"/>
          <w:szCs w:val="15"/>
          <w:color w:val="auto"/>
        </w:rPr>
        <w:t>The Committee has the discretion to select the employees, directors, and consultants to whom options may be granted (each an "Optionee"), to determine the number of shares granted under each option, to approve forms of option agreements for use under the 2001 Option Plan, to determine the terms and conditions of each award (including, among other things, the exercise price, vesting provisions, and forfeiture restrictions), to interpret the terms of the 2001 Option Plan and awards granted under the 2001 Option Plan, to make rules and regulations relating to the 2001 Option Plan, and to make all other determinations which it deems necessary or advisable in the administration of the 2001 Option Plan. The Committee, in its discretion, may accelerate the vesting of any option and amend or modify any option provided such amendment does not impair the rights of any Optionee unless mutually agreed otherwise by the Optionee and Committee. Options granted under the 2001 Option Plan will be evidenced by an agreement between the Company and the Optionee, containing the specific terms and conditions of each option.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Available for Options under the 2001 Option Plan</w:t>
      </w:r>
    </w:p>
    <w:p>
      <w:pPr>
        <w:spacing w:after="0" w:line="217" w:lineRule="exact"/>
        <w:rPr>
          <w:sz w:val="20"/>
          <w:szCs w:val="20"/>
          <w:color w:val="auto"/>
        </w:rPr>
      </w:pPr>
    </w:p>
    <w:p>
      <w:pPr>
        <w:ind w:right="80" w:firstLine="161"/>
        <w:spacing w:after="0" w:line="291" w:lineRule="auto"/>
        <w:rPr>
          <w:sz w:val="20"/>
          <w:szCs w:val="20"/>
          <w:color w:val="auto"/>
        </w:rPr>
      </w:pPr>
      <w:r>
        <w:rPr>
          <w:rFonts w:ascii="Arial" w:cs="Arial" w:eastAsia="Arial" w:hAnsi="Arial"/>
          <w:sz w:val="15"/>
          <w:szCs w:val="15"/>
          <w:color w:val="auto"/>
        </w:rPr>
        <w:t>Subject to adjustment as provided in the 2001 Option Plan, the aggregate number of shares of Common Stock reserved and available for grant upon the exercise of options is 10,000,000 shares. An Optionee may be granted more than one option under the 2001 Option Plan, but no person will be granted options to purchase more than 2,000,000 shares during any fiscal year. The purchase price per share payable by an Optionee upon exercise of each option intended to qualify as performance-based compensation under Section 162(m) of the Code will be equal to the fair market value of the Company's Common Stock on the date of grant.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Options</w:t>
      </w:r>
    </w:p>
    <w:p>
      <w:pPr>
        <w:spacing w:after="0" w:line="217" w:lineRule="exact"/>
        <w:rPr>
          <w:sz w:val="20"/>
          <w:szCs w:val="20"/>
          <w:color w:val="auto"/>
        </w:rPr>
      </w:pPr>
    </w:p>
    <w:p>
      <w:pPr>
        <w:ind w:right="20" w:firstLine="158"/>
        <w:spacing w:after="0" w:line="307" w:lineRule="auto"/>
        <w:rPr>
          <w:sz w:val="20"/>
          <w:szCs w:val="20"/>
          <w:color w:val="auto"/>
        </w:rPr>
      </w:pPr>
      <w:r>
        <w:rPr>
          <w:rFonts w:ascii="Arial" w:cs="Arial" w:eastAsia="Arial" w:hAnsi="Arial"/>
          <w:sz w:val="14"/>
          <w:szCs w:val="14"/>
          <w:color w:val="auto"/>
        </w:rPr>
        <w:t>The 2001 Option Plan provides for the grant of incentive stock options ("ISOs") as defined in Section 422 of the Code and nonstatutory stock options ("NSOs"). Options granted to consultants and outside directors will be NSOs and options granted to employees may be either ISOs or NSOs. The purchase price per share payable by an Optionee upon the exercise of each NSO granted under the 2001 Option Plan will be determined by the Committee. The purchase price per share payable by an Optionee upon exercise of each ISO granted under the 2001 Option Plan will be equal to the fair market value of the Company's Common Stock on the date of the grant. The fair market value of the Common Stock on a given date will be the closing price of the Common Stock on the New York Stock Exchange (or such other national securities exchange or national market system on which the Common Stock is primarily traded) on the last market trading day prior to the day of determination, as reported by Bloomberg, L.L.P., or such other source as the Committee deems reliable. Where there is no public market for the Common Stock, the fair market value per share will be determined by the Committee in its discretion.</w:t>
      </w:r>
    </w:p>
    <w:p>
      <w:pPr>
        <w:spacing w:after="0" w:line="147" w:lineRule="exact"/>
        <w:rPr>
          <w:sz w:val="20"/>
          <w:szCs w:val="20"/>
          <w:color w:val="auto"/>
        </w:rPr>
      </w:pPr>
    </w:p>
    <w:p>
      <w:pPr>
        <w:ind w:right="220" w:firstLine="158"/>
        <w:spacing w:after="0" w:line="273" w:lineRule="auto"/>
        <w:rPr>
          <w:sz w:val="20"/>
          <w:szCs w:val="20"/>
          <w:color w:val="auto"/>
        </w:rPr>
      </w:pPr>
      <w:r>
        <w:rPr>
          <w:rFonts w:ascii="Arial" w:cs="Arial" w:eastAsia="Arial" w:hAnsi="Arial"/>
          <w:sz w:val="16"/>
          <w:szCs w:val="16"/>
          <w:color w:val="auto"/>
        </w:rPr>
        <w:t>The exercise price of an option granted under the 2001 Option Plan may be paid in cash, check, promissory note, a reduction in the amount of any Company liability to the Optionee, in shares of the Company's Common Stock, through a broker-assisted cashless exercise program adopted by the Company, or in any combination thereof, as determined by the Committee.</w:t>
      </w:r>
    </w:p>
    <w:p>
      <w:pPr>
        <w:spacing w:after="0" w:line="166" w:lineRule="exact"/>
        <w:rPr>
          <w:sz w:val="20"/>
          <w:szCs w:val="20"/>
          <w:color w:val="auto"/>
        </w:rPr>
      </w:pPr>
    </w:p>
    <w:p>
      <w:pPr>
        <w:ind w:firstLine="161"/>
        <w:spacing w:after="0" w:line="268" w:lineRule="auto"/>
        <w:rPr>
          <w:sz w:val="20"/>
          <w:szCs w:val="20"/>
          <w:color w:val="auto"/>
        </w:rPr>
      </w:pPr>
      <w:r>
        <w:rPr>
          <w:rFonts w:ascii="Arial" w:cs="Arial" w:eastAsia="Arial" w:hAnsi="Arial"/>
          <w:sz w:val="16"/>
          <w:szCs w:val="16"/>
          <w:color w:val="auto"/>
        </w:rPr>
        <w:t>Unless otherwise determined by the Committee, if an Optionee's employment with the Company is terminated for any reason, options exercisable as of the date of termination may be exercised for a period of 30 days following such date (or 12 months if such termination is because of the Optionee's death or disability). Unless otherwise provided, options not yet exercisable terminate immediately upon the date of the termination. The Committee may accelerate the vesting of options upon such terms and conditions as it may determine.</w:t>
      </w:r>
    </w:p>
    <w:p>
      <w:pPr>
        <w:spacing w:after="0" w:line="171" w:lineRule="exact"/>
        <w:rPr>
          <w:sz w:val="20"/>
          <w:szCs w:val="20"/>
          <w:color w:val="auto"/>
        </w:rPr>
      </w:pPr>
    </w:p>
    <w:p>
      <w:pPr>
        <w:ind w:right="100" w:firstLine="161"/>
        <w:spacing w:after="0" w:line="266" w:lineRule="auto"/>
        <w:rPr>
          <w:sz w:val="20"/>
          <w:szCs w:val="20"/>
          <w:color w:val="auto"/>
        </w:rPr>
      </w:pPr>
      <w:r>
        <w:rPr>
          <w:rFonts w:ascii="Arial" w:cs="Arial" w:eastAsia="Arial" w:hAnsi="Arial"/>
          <w:sz w:val="16"/>
          <w:szCs w:val="16"/>
          <w:color w:val="auto"/>
        </w:rPr>
        <w:t>Unless otherwise determined by the Committee with respect to NSOs, options granted under the 2001 Option Plan cannot be assigned, transferred, pledged, or otherwise encumbered in any way, except in the event of the death of an Optionee, by the Optionee's will, or by the applicable laws of descent or distribution. Options granted under the 2001 Option Plan may be exercised during an Optionee's lifetime only by the Optionee. In the event of the death of an Optionee, the exercisable portion of the Option at the time of death may be exercised at any time within 12 months following the date of death (but in no event later than the expiration of the term of such Option) by the Optionee's estate or by a person who acquired the right to exercise the Option at the date of death.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 in Capitalization; Corporate Transaction</w:t>
      </w:r>
    </w:p>
    <w:p>
      <w:pPr>
        <w:spacing w:after="0" w:line="217" w:lineRule="exact"/>
        <w:rPr>
          <w:sz w:val="20"/>
          <w:szCs w:val="20"/>
          <w:color w:val="auto"/>
        </w:rPr>
      </w:pPr>
    </w:p>
    <w:p>
      <w:pPr>
        <w:ind w:right="20" w:firstLine="161"/>
        <w:spacing w:after="0" w:line="362" w:lineRule="auto"/>
        <w:rPr>
          <w:sz w:val="20"/>
          <w:szCs w:val="20"/>
          <w:color w:val="auto"/>
        </w:rPr>
      </w:pPr>
      <w:r>
        <w:rPr>
          <w:rFonts w:ascii="Arial" w:cs="Arial" w:eastAsia="Arial" w:hAnsi="Arial"/>
          <w:sz w:val="14"/>
          <w:szCs w:val="14"/>
          <w:color w:val="auto"/>
        </w:rPr>
        <w:t>In the event of a corporate transaction involving the Company (including any stock dividend, stock split, extraordinary cash dividend, recapitalization, reorganization, merger, consolidation, split-up, spin-off, combination, or exchange of shares), the authorization limits under the 2001 Option Plan (including the number of shares reserved for issuance</w:t>
      </w:r>
    </w:p>
    <w:p>
      <w:pPr>
        <w:sectPr>
          <w:pgSz w:w="11900" w:h="16912" w:orient="portrait"/>
          <w:cols w:equalWidth="0" w:num="1">
            <w:col w:w="11420"/>
          </w:cols>
          <w:pgMar w:left="240" w:top="127" w:right="239" w:bottom="0" w:gutter="0" w:footer="0" w:header="0"/>
        </w:sectPr>
      </w:pPr>
    </w:p>
    <w:bookmarkStart w:id="11" w:name="page12"/>
    <w:bookmarkEnd w:id="11"/>
    <w:p>
      <w:pPr>
        <w:ind w:right="120"/>
        <w:spacing w:after="0" w:line="307" w:lineRule="auto"/>
        <w:rPr>
          <w:sz w:val="20"/>
          <w:szCs w:val="20"/>
          <w:color w:val="auto"/>
        </w:rPr>
      </w:pPr>
      <w:r>
        <w:rPr>
          <w:rFonts w:ascii="Arial" w:cs="Arial" w:eastAsia="Arial" w:hAnsi="Arial"/>
          <w:sz w:val="14"/>
          <w:szCs w:val="14"/>
          <w:color w:val="auto"/>
        </w:rPr>
        <w:t>and the annual grant limits) will be adjusted proportionately, and the Committee may adjust options to preserve the benefits or potential benefits of the options. Action by the Committee may include adjustment of the number and kind of shares which may be delivered, adjustment of the number and kind of shares subject to outstanding options, adjustment to the exercise price of outstanding options, and such other adjustments that the Committee deems equitable. In addition, in connection with any merger, sale of substantially all of the assets of the Company, or similar corporate transaction that requires approval of the Company's shareholders, other than in a Change in Control (as defined in the 2001 Option Plan), each outstanding option may be assumed or an equivalent option substituted by a successor corporation or a parent or subsidiary of the successor corporation. In lieu of such assumption or substitution, or if the successor corporation does not assume the options or substitute substantially equivalent options, the outstanding options will vest in full and become immediately exercisable for a period of thirty days and will expire at the end of such period. The Board or the Committee may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determine that the options will be settled in cash instead of stock upon consummation of such corporate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2001 Option Plan</w:t>
      </w:r>
    </w:p>
    <w:p>
      <w:pPr>
        <w:spacing w:after="0" w:line="217" w:lineRule="exact"/>
        <w:rPr>
          <w:sz w:val="20"/>
          <w:szCs w:val="20"/>
          <w:color w:val="auto"/>
        </w:rPr>
      </w:pPr>
    </w:p>
    <w:p>
      <w:pPr>
        <w:ind w:firstLine="158"/>
        <w:spacing w:after="0" w:line="266" w:lineRule="auto"/>
        <w:rPr>
          <w:sz w:val="20"/>
          <w:szCs w:val="20"/>
          <w:color w:val="auto"/>
        </w:rPr>
      </w:pPr>
      <w:r>
        <w:rPr>
          <w:rFonts w:ascii="Arial" w:cs="Arial" w:eastAsia="Arial" w:hAnsi="Arial"/>
          <w:sz w:val="16"/>
          <w:szCs w:val="16"/>
          <w:color w:val="auto"/>
        </w:rPr>
        <w:t>The 2001 Option Plan was effective upon the adoption by the Company's Board of Directors and will terminate on September 11, 2011, unless earlier terminated by the Board. The Board may, at any time, terminate, amend or modify the 2001 Option Plan without shareholder approval; provided, however, that the Board may condition any amendment on the approval of shareholders of the Company if such approval is necessary or deemed advisable with respect to tax, securities or other applicable laws, policies or regulations. No termination, amendment, or modification of the 2001 Option Plan may adversely affect any option previously granted under the 2001 Option Plan, without the written consent of the Optionee.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w:t>
      </w:r>
    </w:p>
    <w:p>
      <w:pPr>
        <w:spacing w:after="0" w:line="217" w:lineRule="exact"/>
        <w:rPr>
          <w:sz w:val="20"/>
          <w:szCs w:val="20"/>
          <w:color w:val="auto"/>
        </w:rPr>
      </w:pPr>
    </w:p>
    <w:p>
      <w:pPr>
        <w:ind w:right="220" w:firstLine="158"/>
        <w:spacing w:after="0" w:line="268" w:lineRule="auto"/>
        <w:rPr>
          <w:sz w:val="20"/>
          <w:szCs w:val="20"/>
          <w:color w:val="auto"/>
        </w:rPr>
      </w:pPr>
      <w:r>
        <w:rPr>
          <w:rFonts w:ascii="Arial" w:cs="Arial" w:eastAsia="Arial" w:hAnsi="Arial"/>
          <w:sz w:val="16"/>
          <w:szCs w:val="16"/>
          <w:color w:val="auto"/>
        </w:rPr>
        <w:t>The following discussion is a summary of the U.S. federal income tax provisions relating to the grant and exercise of awards under the plan and the subsequent sale of common stock acquired under the 2001 Option Plan. The tax effect of exercising awards may vary depending upon the particular circumstances, and the income tax laws and regulations change frequently. Optionees should rely upon their own tax advisors for advice concerning the specific tax consequences applicable to them, including the applicability and effect of state, local, and foreign tax laws.</w:t>
      </w:r>
    </w:p>
    <w:p>
      <w:pPr>
        <w:spacing w:after="0" w:line="171" w:lineRule="exact"/>
        <w:rPr>
          <w:sz w:val="20"/>
          <w:szCs w:val="20"/>
          <w:color w:val="auto"/>
        </w:rPr>
      </w:pPr>
    </w:p>
    <w:p>
      <w:pPr>
        <w:ind w:right="60" w:firstLine="161"/>
        <w:spacing w:after="0" w:line="318" w:lineRule="auto"/>
        <w:rPr>
          <w:sz w:val="20"/>
          <w:szCs w:val="20"/>
          <w:color w:val="auto"/>
        </w:rPr>
      </w:pPr>
      <w:r>
        <w:rPr>
          <w:rFonts w:ascii="Arial" w:cs="Arial" w:eastAsia="Arial" w:hAnsi="Arial"/>
          <w:sz w:val="14"/>
          <w:szCs w:val="14"/>
          <w:i w:val="1"/>
          <w:iCs w:val="1"/>
          <w:color w:val="auto"/>
        </w:rPr>
        <w:t xml:space="preserve">Nonqualified Stock Options. </w:t>
      </w:r>
      <w:r>
        <w:rPr>
          <w:rFonts w:ascii="Arial" w:cs="Arial" w:eastAsia="Arial" w:hAnsi="Arial"/>
          <w:sz w:val="14"/>
          <w:szCs w:val="14"/>
          <w:color w:val="auto"/>
        </w:rPr>
        <w:t>There will be no federal income tax consequences to either the Company or the participant upon the grant of a non-discounted NSO.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the participant will realize ordinary income on the exercise of the NSO in an amount equal to the excess of the fair market value of the Common Stock acquired upon the exercise of such option over the exercise price, and the Company will receive a corresponding deduction (subject to Code Section 162(m) limitations). The gain, if any, realized upon the subsequent disposition by the participant of the Common Stock will constitute short-term or long-term capital gain, depending on the participant's holding period.</w:t>
      </w:r>
    </w:p>
    <w:p>
      <w:pPr>
        <w:spacing w:after="0" w:line="140" w:lineRule="exact"/>
        <w:rPr>
          <w:sz w:val="20"/>
          <w:szCs w:val="20"/>
          <w:color w:val="auto"/>
        </w:rPr>
      </w:pPr>
    </w:p>
    <w:p>
      <w:pPr>
        <w:ind w:right="100" w:firstLine="161"/>
        <w:spacing w:after="0" w:line="282"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There will be no federal income tax consequences to either the Company or the participant upon the grant of an ISO or the exercise thereof by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except that upon exercise of an ISO, the participant may be subject to alternative minimum tax on certain items of tax preference. If the participant holds the shares of Common Stock for the greater of two years after the date the option was granted or one year after the acquisition of such shares of Common Stock (the "required holding period"), the difference between the aggregate option price and the amount realized upon disposition of the shares of Common Stock will constitute long-term capital gain or loss, and the Company will not be entitled to a federal income tax deduction. If the shares of Common Stock are disposed of in a sale, exchange or other disqualifying disposition during the required holding period, the participant will realize taxable ordinary income in an amount equal to the excess of the fair market value of the Common Stock purchased at the time of exercise (or, if less, the amount realized on the disposition of the shares) over the aggregate option price, and the Company will be entitled to a federal income tax deduction equal to such amount (subject to Code Section 162(m) limitations).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 to Named Executive Officers and Others</w:t>
      </w:r>
    </w:p>
    <w:p>
      <w:pPr>
        <w:spacing w:after="0" w:line="217" w:lineRule="exact"/>
        <w:rPr>
          <w:sz w:val="20"/>
          <w:szCs w:val="20"/>
          <w:color w:val="auto"/>
        </w:rPr>
      </w:pPr>
    </w:p>
    <w:p>
      <w:pPr>
        <w:ind w:right="20" w:firstLine="153"/>
        <w:spacing w:after="0" w:line="273" w:lineRule="auto"/>
        <w:rPr>
          <w:sz w:val="20"/>
          <w:szCs w:val="20"/>
          <w:color w:val="auto"/>
        </w:rPr>
      </w:pPr>
      <w:r>
        <w:rPr>
          <w:rFonts w:ascii="Arial" w:cs="Arial" w:eastAsia="Arial" w:hAnsi="Arial"/>
          <w:sz w:val="16"/>
          <w:szCs w:val="16"/>
          <w:color w:val="auto"/>
        </w:rPr>
        <w:t>As of the date of this proxy statement, no awards had been granted or approved for grant under the 2001 Option Plan. Any awards under the 2001 Option Plan will be made at the discretion of the Committee, the Board, or a special designated committee, as the case may be. Consequently, it is not presently possible to determine either the benefits or amounts that will be received by any particular person or group pursuant to the 2001 Option Plan.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The Board of Directors recommends voting "FOR" approval of the 2001 Option Plan.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3. RATIFICATION OF APPOINTMENT OF INDEPENDENT ACCOUNTANTS</w:t>
      </w:r>
    </w:p>
    <w:p>
      <w:pPr>
        <w:spacing w:after="0" w:line="217" w:lineRule="exact"/>
        <w:rPr>
          <w:sz w:val="20"/>
          <w:szCs w:val="20"/>
          <w:color w:val="auto"/>
        </w:rPr>
      </w:pPr>
    </w:p>
    <w:p>
      <w:pPr>
        <w:ind w:right="60" w:firstLine="158"/>
        <w:spacing w:after="0" w:line="266" w:lineRule="auto"/>
        <w:rPr>
          <w:sz w:val="20"/>
          <w:szCs w:val="20"/>
          <w:color w:val="auto"/>
        </w:rPr>
      </w:pPr>
      <w:r>
        <w:rPr>
          <w:rFonts w:ascii="Arial" w:cs="Arial" w:eastAsia="Arial" w:hAnsi="Arial"/>
          <w:sz w:val="16"/>
          <w:szCs w:val="16"/>
          <w:color w:val="auto"/>
        </w:rPr>
        <w:t>The Board of Directors has appointed PricewaterhouseCoopers LLP ("PwC"), independent accountants, to audit the consolidated financial statements of the Company for the fiscal year ending August 29, 2002. PwC and its predecessor, Coopers and Lybrand LLP, have been the Company's independent accountants since fiscal 1985. If the ratification of PwC's appointment is not approved by a majority of the shares voting thereon, the Board of Directors will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The Board of Directors recommends voting "FOR" the ratification of the appointment of PricewaterhouseCoopers LLP.</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4. SHAREHOLDER PROPOSAL</w:t>
      </w:r>
    </w:p>
    <w:p>
      <w:pPr>
        <w:spacing w:after="0" w:line="217" w:lineRule="exact"/>
        <w:rPr>
          <w:sz w:val="20"/>
          <w:szCs w:val="20"/>
          <w:color w:val="auto"/>
        </w:rPr>
      </w:pPr>
    </w:p>
    <w:p>
      <w:pPr>
        <w:ind w:right="220" w:firstLine="161"/>
        <w:spacing w:after="0" w:line="287" w:lineRule="auto"/>
        <w:rPr>
          <w:sz w:val="20"/>
          <w:szCs w:val="20"/>
          <w:color w:val="auto"/>
        </w:rPr>
      </w:pPr>
      <w:r>
        <w:rPr>
          <w:rFonts w:ascii="Arial" w:cs="Arial" w:eastAsia="Arial" w:hAnsi="Arial"/>
          <w:sz w:val="16"/>
          <w:szCs w:val="16"/>
          <w:color w:val="auto"/>
        </w:rPr>
        <w:t>Bartlett Naylor, 1255 N. Buchanan, Arlington, Virginia 22205, owner of 1,000 shares of Common Stock, has given notice that he intends to present for action at the annual meeting the following resolution:</w:t>
      </w:r>
    </w:p>
    <w:p>
      <w:pPr>
        <w:spacing w:after="0" w:line="156" w:lineRule="exact"/>
        <w:rPr>
          <w:sz w:val="20"/>
          <w:szCs w:val="20"/>
          <w:color w:val="auto"/>
        </w:rPr>
      </w:pPr>
    </w:p>
    <w:p>
      <w:pPr>
        <w:ind w:right="140" w:firstLine="161"/>
        <w:spacing w:after="0" w:line="329" w:lineRule="auto"/>
        <w:rPr>
          <w:sz w:val="20"/>
          <w:szCs w:val="20"/>
          <w:color w:val="auto"/>
        </w:rPr>
      </w:pPr>
      <w:r>
        <w:rPr>
          <w:rFonts w:ascii="Arial" w:cs="Arial" w:eastAsia="Arial" w:hAnsi="Arial"/>
          <w:sz w:val="14"/>
          <w:szCs w:val="14"/>
          <w:color w:val="auto"/>
        </w:rPr>
        <w:t>"Resolved: The shareholders urge our board of directors to take the necessary steps to nominate at least two candidates for each open board position, and that the names, biographical sketches, SEC-required declarations and photographs of such candidates shall appear in the company's proxy materials (or other required disclosures) to the same extent that such information is required by law and is our company's current practice with the single candidates it now proposes for each position.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Supporting statement: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Although our company's board appreciates the importance of qualified people overseeing management, I believe that the process for electing directors can be improved.</w:t>
      </w:r>
    </w:p>
    <w:p>
      <w:pPr>
        <w:spacing w:after="0" w:line="225" w:lineRule="exact"/>
        <w:rPr>
          <w:sz w:val="20"/>
          <w:szCs w:val="20"/>
          <w:color w:val="auto"/>
        </w:rPr>
      </w:pPr>
    </w:p>
    <w:p>
      <w:pPr>
        <w:ind w:right="180" w:firstLine="161"/>
        <w:spacing w:after="0" w:line="309" w:lineRule="auto"/>
        <w:rPr>
          <w:sz w:val="20"/>
          <w:szCs w:val="20"/>
          <w:color w:val="auto"/>
        </w:rPr>
      </w:pPr>
      <w:r>
        <w:rPr>
          <w:rFonts w:ascii="Arial" w:cs="Arial" w:eastAsia="Arial" w:hAnsi="Arial"/>
          <w:sz w:val="14"/>
          <w:szCs w:val="14"/>
          <w:color w:val="auto"/>
        </w:rPr>
        <w:t>Our company currently nominates for election only one candidate for each board seat, thus leaving shareholders no practical choice in most director elections. Shareholders who oppose a candidate have no easy way to do so unless they are willing to undertake the considerable expense of running an independent candidate for the board. The only other way to register dissent about a given candidate is to withhold support for that nominee, but that process rarely affects the outcome of director elections. I believe the current system thus provides no readily effective way for shareholders to oppose a candidate that has failed to attend board meetings; or serves on so many boards as to be unable to supervise our company management diligently; or who serves as a consultant to the company that could compromise independence; or poses other problems. As a result, while directors legally serve as the shareholder agent in overseeing management, the election of directors at the annual meeting is largely perfunctory.</w:t>
      </w:r>
    </w:p>
    <w:p>
      <w:pPr>
        <w:sectPr>
          <w:pgSz w:w="11900" w:h="16838" w:orient="portrait"/>
          <w:cols w:equalWidth="0" w:num="1">
            <w:col w:w="11420"/>
          </w:cols>
          <w:pgMar w:left="240" w:top="131" w:right="239" w:bottom="0" w:gutter="0" w:footer="0" w:header="0"/>
        </w:sectPr>
      </w:pPr>
    </w:p>
    <w:bookmarkStart w:id="12" w:name="page13"/>
    <w:bookmarkEnd w:id="12"/>
    <w:p>
      <w:pPr>
        <w:ind w:left="160"/>
        <w:spacing w:after="0"/>
        <w:rPr>
          <w:sz w:val="20"/>
          <w:szCs w:val="20"/>
          <w:color w:val="auto"/>
        </w:rPr>
      </w:pPr>
      <w:r>
        <w:rPr>
          <w:rFonts w:ascii="Arial" w:cs="Arial" w:eastAsia="Arial" w:hAnsi="Arial"/>
          <w:sz w:val="16"/>
          <w:szCs w:val="16"/>
          <w:color w:val="auto"/>
        </w:rPr>
        <w:t>Our company should offer a rational choice when shareholders elect directors.</w:t>
      </w:r>
    </w:p>
    <w:p>
      <w:pPr>
        <w:spacing w:after="0" w:line="213" w:lineRule="exact"/>
        <w:rPr>
          <w:sz w:val="20"/>
          <w:szCs w:val="20"/>
          <w:color w:val="auto"/>
        </w:rPr>
      </w:pPr>
    </w:p>
    <w:p>
      <w:pPr>
        <w:ind w:right="200" w:firstLine="158"/>
        <w:spacing w:after="0" w:line="266" w:lineRule="auto"/>
        <w:rPr>
          <w:sz w:val="20"/>
          <w:szCs w:val="20"/>
          <w:color w:val="auto"/>
        </w:rPr>
      </w:pPr>
      <w:r>
        <w:rPr>
          <w:rFonts w:ascii="Arial" w:cs="Arial" w:eastAsia="Arial" w:hAnsi="Arial"/>
          <w:sz w:val="16"/>
          <w:szCs w:val="16"/>
          <w:color w:val="auto"/>
        </w:rPr>
        <w:t>Would such a process lead to board discontinuity? Perhaps, but only with shareholder approval. Presumably an incumbent would be defeated only because shareholders considered the alternative a superior choice. Would such a procedure discourage some candidates? Surely our board should not be made of those intolerant of competition. Would such a procedure be "awkward" for management when it recruits candidates? Hopefully so. (Management could print a nominee's name advanced by an independent shareholder to limit such embarrassment.). The point is to remove the "final" decision on who serves as a board director from the hands of management, and place it firmly in those of shareholders.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 urge you to vote FOR this proposal."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The Board of Directors recommends voting "AGAINST" the adoption of this proposal for the following reasons:</w:t>
      </w:r>
    </w:p>
    <w:p>
      <w:pPr>
        <w:spacing w:after="0" w:line="217" w:lineRule="exact"/>
        <w:rPr>
          <w:sz w:val="20"/>
          <w:szCs w:val="20"/>
          <w:color w:val="auto"/>
        </w:rPr>
      </w:pPr>
    </w:p>
    <w:p>
      <w:pPr>
        <w:ind w:right="80" w:firstLine="161"/>
        <w:spacing w:after="0" w:line="291" w:lineRule="auto"/>
        <w:rPr>
          <w:sz w:val="20"/>
          <w:szCs w:val="20"/>
          <w:color w:val="auto"/>
        </w:rPr>
      </w:pPr>
      <w:r>
        <w:rPr>
          <w:rFonts w:ascii="Arial" w:cs="Arial" w:eastAsia="Arial" w:hAnsi="Arial"/>
          <w:sz w:val="15"/>
          <w:szCs w:val="15"/>
          <w:color w:val="auto"/>
        </w:rPr>
        <w:t>Under the Company's Bylaws, the Board of Directors is responsible for annually identifying the best candidates for election to the Board. These duties include evaluating the performance of the Board of Directors as well as identifying potential new members. In selecting a slate of candidates each year, the Board carefully considers the performance and qualifications not just of each individual but of the group as a whole, and nominates the persons that they believe will together best serve the shareholders. An election of only some of the identified candidates creates a risk that the resulting Board would lack some types of experience, skills or diversity.</w:t>
      </w:r>
    </w:p>
    <w:p>
      <w:pPr>
        <w:spacing w:after="0" w:line="156" w:lineRule="exact"/>
        <w:rPr>
          <w:sz w:val="20"/>
          <w:szCs w:val="20"/>
          <w:color w:val="auto"/>
        </w:rPr>
      </w:pPr>
    </w:p>
    <w:p>
      <w:pPr>
        <w:ind w:right="60" w:firstLine="158"/>
        <w:spacing w:after="0" w:line="266" w:lineRule="auto"/>
        <w:rPr>
          <w:sz w:val="20"/>
          <w:szCs w:val="20"/>
          <w:color w:val="auto"/>
        </w:rPr>
      </w:pPr>
      <w:r>
        <w:rPr>
          <w:rFonts w:ascii="Arial" w:cs="Arial" w:eastAsia="Arial" w:hAnsi="Arial"/>
          <w:sz w:val="16"/>
          <w:szCs w:val="16"/>
          <w:color w:val="auto"/>
        </w:rPr>
        <w:t>The Board believes that if they followed the procedure set forth in the proposal and nominated twice as many candidates to the Board as there are seats, they would fail in their duty to the Company's shareholders to identify and recommend the best candidates. As the individuals responsible for advising shareholders in making voting decisions, they have an obligation to inform shareholders which candidates they favor. Many well-qualified persons would not be willing to participate in the type of contested election that the proposal would produce, particularly if the Board did not recommend them. In addition, it is highly unlikely that the Board would be able to find fourteen candidates on an annual basis, each of whom is qualified and willing to serve as a director of a public company.</w:t>
      </w:r>
    </w:p>
    <w:p>
      <w:pPr>
        <w:spacing w:after="0" w:line="172" w:lineRule="exact"/>
        <w:rPr>
          <w:sz w:val="20"/>
          <w:szCs w:val="20"/>
          <w:color w:val="auto"/>
        </w:rPr>
      </w:pPr>
    </w:p>
    <w:p>
      <w:pPr>
        <w:ind w:firstLine="158"/>
        <w:spacing w:after="0" w:line="263" w:lineRule="auto"/>
        <w:rPr>
          <w:sz w:val="20"/>
          <w:szCs w:val="20"/>
          <w:color w:val="auto"/>
        </w:rPr>
      </w:pPr>
      <w:r>
        <w:rPr>
          <w:rFonts w:ascii="Arial" w:cs="Arial" w:eastAsia="Arial" w:hAnsi="Arial"/>
          <w:sz w:val="16"/>
          <w:szCs w:val="16"/>
          <w:color w:val="auto"/>
        </w:rPr>
        <w:t>The proposal suggests that only nominating an excess number of candidates can ensure that shareholders receive the information necessary for their choice of Director. On the contrary, shareholders are protected in two ways under the Company's current method which is used by virtually all publicly-held companies. First, in making the selections, the Board considers issues such as the nominees' experience, qualifications, possible conflicts of interest, and in the case of incumbent directors, their attendance and participation in meetings. Second, the federal securities laws require that all companies include in their proxy material certain information about each candidate that the SEC has determined is necessary for a shareholder's informed vote. In situations the proposal contemplates, dissatisfied shareholders may register their disapproval by withholding votes for some or all nominees or by conducting a proxy contest to challenge the Board's candidates. The procedure set forth by the proposal would not be an efficient or effective means of selecting the best Directors for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5. OTHER MATTERS</w:t>
      </w:r>
    </w:p>
    <w:p>
      <w:pPr>
        <w:spacing w:after="0" w:line="217" w:lineRule="exact"/>
        <w:rPr>
          <w:sz w:val="20"/>
          <w:szCs w:val="20"/>
          <w:color w:val="auto"/>
        </w:rPr>
      </w:pPr>
    </w:p>
    <w:p>
      <w:pPr>
        <w:ind w:right="840" w:firstLine="158"/>
        <w:spacing w:after="0" w:line="287"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 FOR RECEIPT OF SHAREHOLDER PROPOSALS FOR 2002 ANNUAL MEETING</w:t>
      </w:r>
    </w:p>
    <w:p>
      <w:pPr>
        <w:spacing w:after="0" w:line="217" w:lineRule="exact"/>
        <w:rPr>
          <w:sz w:val="20"/>
          <w:szCs w:val="20"/>
          <w:color w:val="auto"/>
        </w:rPr>
      </w:pPr>
    </w:p>
    <w:p>
      <w:pPr>
        <w:ind w:right="180" w:firstLine="161"/>
        <w:spacing w:after="0" w:line="268" w:lineRule="auto"/>
        <w:rPr>
          <w:sz w:val="20"/>
          <w:szCs w:val="20"/>
          <w:color w:val="auto"/>
        </w:rPr>
      </w:pPr>
      <w:r>
        <w:rPr>
          <w:rFonts w:ascii="Arial" w:cs="Arial" w:eastAsia="Arial" w:hAnsi="Arial"/>
          <w:sz w:val="16"/>
          <w:szCs w:val="16"/>
          <w:color w:val="auto"/>
        </w:rPr>
        <w:t>Proposals of shareholders of the Company which are intended to be presented at the Company's 2002 Annual Meeting of Shareholders must be received by the Company at its principal executive offices located at 8000 S. Federal Way, Boise, Idaho 83716-9632, no later than June 26, 2002, and must also be in compliance with the Company's Certificate of Incorporation and Bylaws and with applicable laws and regulations in order to be included in the proxy statement and form of proxy relating to that meeting. Proposals which are received after June 26, 2002, will be untimely and will not be considered at the meeting.</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October 24, 2001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CHARTER</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March 29, 2000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right="180" w:firstLine="158"/>
        <w:spacing w:after="0" w:line="268" w:lineRule="auto"/>
        <w:rPr>
          <w:sz w:val="20"/>
          <w:szCs w:val="20"/>
          <w:color w:val="auto"/>
        </w:rPr>
      </w:pPr>
      <w:r>
        <w:rPr>
          <w:rFonts w:ascii="Arial" w:cs="Arial" w:eastAsia="Arial" w:hAnsi="Arial"/>
          <w:sz w:val="16"/>
          <w:szCs w:val="16"/>
          <w:color w:val="auto"/>
        </w:rPr>
        <w:t>The primary purpose of the Audit Committee (the "Committee") is to assist the Board of Directors (the "Board") in fulfilling its responsibility to oversee management's conduct of the Company's financial reporting process, including by reviewing: (i) the financial reports and other significant financial information provided by the Company to any governmental or regulatory body, the public or other users thereof, (ii) the Company's systems of internal controls regarding finance and accounting compliance, and (iii) the annual independent audit of the Company's financial statements.</w:t>
      </w:r>
    </w:p>
    <w:p>
      <w:pPr>
        <w:spacing w:after="0" w:line="171" w:lineRule="exact"/>
        <w:rPr>
          <w:sz w:val="20"/>
          <w:szCs w:val="20"/>
          <w:color w:val="auto"/>
        </w:rPr>
      </w:pPr>
    </w:p>
    <w:p>
      <w:pPr>
        <w:ind w:right="120" w:firstLine="161"/>
        <w:spacing w:after="0" w:line="273" w:lineRule="auto"/>
        <w:rPr>
          <w:sz w:val="20"/>
          <w:szCs w:val="20"/>
          <w:color w:val="auto"/>
        </w:rPr>
      </w:pPr>
      <w:r>
        <w:rPr>
          <w:rFonts w:ascii="Arial" w:cs="Arial" w:eastAsia="Arial" w:hAnsi="Arial"/>
          <w:sz w:val="16"/>
          <w:szCs w:val="16"/>
          <w:color w:val="auto"/>
        </w:rPr>
        <w:t>In discharging its oversight role, the Committee is empowered to investigate any matter brought to its attention with full access to all books, records, facilities and personnel of the Company and the power to retain outside counsel, auditors or other experts for this purpose. The Board and the Committee are in place to represent the Company's shareholders; accordingly, the outside auditor is ultimately accountable to the Board and the Committee.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Committee shall review the adequacy of this Charter on an annual basis.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MEMBERSHIP</w:t>
      </w:r>
    </w:p>
    <w:p>
      <w:pPr>
        <w:spacing w:after="0" w:line="217" w:lineRule="exact"/>
        <w:rPr>
          <w:sz w:val="20"/>
          <w:szCs w:val="20"/>
          <w:color w:val="auto"/>
        </w:rPr>
      </w:pPr>
    </w:p>
    <w:p>
      <w:pPr>
        <w:ind w:right="100" w:firstLine="158"/>
        <w:spacing w:after="0" w:line="287" w:lineRule="auto"/>
        <w:rPr>
          <w:sz w:val="20"/>
          <w:szCs w:val="20"/>
          <w:color w:val="auto"/>
        </w:rPr>
      </w:pPr>
      <w:r>
        <w:rPr>
          <w:rFonts w:ascii="Arial" w:cs="Arial" w:eastAsia="Arial" w:hAnsi="Arial"/>
          <w:sz w:val="16"/>
          <w:szCs w:val="16"/>
          <w:color w:val="auto"/>
        </w:rPr>
        <w:t>The Committee shall be comprised of not less than three members of the Board, and the Committee's composition will meet the requirements of the Audit Committee Policy of the New York Stock Exchange.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Accordingly, all of the members will be directors who:</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have no relationship to the Company that may interfere with the exercise of their independence from management and the Company; and</w:t>
      </w:r>
    </w:p>
    <w:p>
      <w:pPr>
        <w:sectPr>
          <w:pgSz w:w="11900" w:h="16838" w:orient="portrait"/>
          <w:cols w:equalWidth="0" w:num="1">
            <w:col w:w="11420"/>
          </w:cols>
          <w:pgMar w:left="240" w:top="131" w:right="239" w:bottom="0" w:gutter="0" w:footer="0" w:header="0"/>
        </w:sectPr>
      </w:pPr>
    </w:p>
    <w:bookmarkStart w:id="13" w:name="page14"/>
    <w:bookmarkEnd w:id="13"/>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1000" w:right="440"/>
        <w:spacing w:after="0" w:line="351" w:lineRule="auto"/>
        <w:rPr>
          <w:sz w:val="20"/>
          <w:szCs w:val="20"/>
          <w:color w:val="auto"/>
        </w:rPr>
      </w:pPr>
      <w:r>
        <w:rPr>
          <w:rFonts w:ascii="Arial" w:cs="Arial" w:eastAsia="Arial" w:hAnsi="Arial"/>
          <w:sz w:val="14"/>
          <w:szCs w:val="14"/>
          <w:color w:val="auto"/>
        </w:rPr>
        <w:t>are financially literate or will become financially literate within a reasonable period of time after the earlier to occur of the adoption of this Charter or their appointment to the Committee. In addition, at least one member of the Committee will have accounting or related financial management expertise.</w:t>
      </w:r>
    </w:p>
    <w:p>
      <w:pPr>
        <w:spacing w:after="0" w:line="118" w:lineRule="exact"/>
        <w:rPr>
          <w:sz w:val="20"/>
          <w:szCs w:val="20"/>
          <w:color w:val="auto"/>
        </w:rPr>
      </w:pPr>
    </w:p>
    <w:p>
      <w:pPr>
        <w:ind w:right="200" w:firstLine="161"/>
        <w:spacing w:after="0" w:line="287" w:lineRule="auto"/>
        <w:rPr>
          <w:sz w:val="20"/>
          <w:szCs w:val="20"/>
          <w:color w:val="auto"/>
        </w:rPr>
      </w:pPr>
      <w:r>
        <w:rPr>
          <w:rFonts w:ascii="Arial" w:cs="Arial" w:eastAsia="Arial" w:hAnsi="Arial"/>
          <w:sz w:val="16"/>
          <w:szCs w:val="16"/>
          <w:color w:val="auto"/>
        </w:rPr>
        <w:t>Committee members shall be appointed by the Board for a term not to exceed 20 years and shall serve at the pleasure of the Board. The Committee shall meet at least three times annually, or more frequently as they deem appropriate under the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7" w:lineRule="exact"/>
        <w:rPr>
          <w:sz w:val="20"/>
          <w:szCs w:val="20"/>
          <w:color w:val="auto"/>
        </w:rPr>
      </w:pPr>
    </w:p>
    <w:p>
      <w:pPr>
        <w:ind w:right="80" w:firstLine="158"/>
        <w:spacing w:after="0" w:line="266" w:lineRule="auto"/>
        <w:rPr>
          <w:sz w:val="20"/>
          <w:szCs w:val="20"/>
          <w:color w:val="auto"/>
        </w:rPr>
      </w:pPr>
      <w:r>
        <w:rPr>
          <w:rFonts w:ascii="Arial" w:cs="Arial" w:eastAsia="Arial" w:hAnsi="Arial"/>
          <w:sz w:val="16"/>
          <w:szCs w:val="16"/>
          <w:color w:val="auto"/>
        </w:rPr>
        <w:t>The Committee's job is one of oversight and it recognizes that the Company's management is responsible for preparing the Company's financial statements and that the independent accountants are responsible for auditing those financial statements. Additionally, the Committee recognizes that financial management, including the internal audit staff, as well as the independent accountants, have more time, knowledge and more detailed information on the Company than do Committee members; consequently, in carrying out its oversight responsibilities, the Committee is not providing any expert or special assurance to any person as to the Company's financial statements or any professional certification as to the outside auditor's work.</w:t>
      </w:r>
    </w:p>
    <w:p>
      <w:pPr>
        <w:spacing w:after="0" w:line="172" w:lineRule="exact"/>
        <w:rPr>
          <w:sz w:val="20"/>
          <w:szCs w:val="20"/>
          <w:color w:val="auto"/>
        </w:rPr>
      </w:pPr>
    </w:p>
    <w:p>
      <w:pPr>
        <w:ind w:right="220" w:firstLine="158"/>
        <w:spacing w:after="0" w:line="287" w:lineRule="auto"/>
        <w:rPr>
          <w:sz w:val="20"/>
          <w:szCs w:val="20"/>
          <w:color w:val="auto"/>
        </w:rPr>
      </w:pPr>
      <w:r>
        <w:rPr>
          <w:rFonts w:ascii="Arial" w:cs="Arial" w:eastAsia="Arial" w:hAnsi="Arial"/>
          <w:sz w:val="16"/>
          <w:szCs w:val="16"/>
          <w:color w:val="auto"/>
        </w:rPr>
        <w:t>The following functions are expected to be the common recurring activities of the Committee in carrying out its oversight function. These functions are set forth as a guide only with the understanding that the Committee may diverge from this guide as it deems appropriate under the circumstances.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right="20"/>
        <w:spacing w:after="0" w:line="268" w:lineRule="auto"/>
        <w:rPr>
          <w:sz w:val="20"/>
          <w:szCs w:val="20"/>
          <w:color w:val="auto"/>
        </w:rPr>
      </w:pPr>
      <w:r>
        <w:rPr>
          <w:rFonts w:ascii="Arial" w:cs="Arial" w:eastAsia="Arial" w:hAnsi="Arial"/>
          <w:sz w:val="16"/>
          <w:szCs w:val="16"/>
          <w:color w:val="auto"/>
        </w:rPr>
        <w:t>The Committee expects to review with management and the independent accountants the audited financial statements to be included in the Company's Annual Report on Form 10-K (or the Annual Report to Shareholders if distributed prior to the filing of Form 10-K) and review and consider with the independent accountants the matters required to be discussed by Statement of Auditing Standards ("SAS") No. 61.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jc w:val="both"/>
        <w:ind w:left="500" w:right="100"/>
        <w:spacing w:after="0" w:line="268" w:lineRule="auto"/>
        <w:rPr>
          <w:sz w:val="20"/>
          <w:szCs w:val="20"/>
          <w:color w:val="auto"/>
        </w:rPr>
      </w:pPr>
      <w:r>
        <w:rPr>
          <w:rFonts w:ascii="Arial" w:cs="Arial" w:eastAsia="Arial" w:hAnsi="Arial"/>
          <w:sz w:val="16"/>
          <w:szCs w:val="16"/>
          <w:color w:val="auto"/>
        </w:rPr>
        <w:t>As a whole, or through the Committee chair, the Committee shall review with the independent accountants the Company's interim financial results to be included in the Company's quarterly reports to be filed with Securities and Exchange Commission and the matters required to be discussed by SAS No. 61; this review will occur prior to the Company's filing of the Form 10-Q.</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Committee expects to discuss with management and the independent accountants the quality and adequacy of the Company's internal controls.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Committee expects that it shall:</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right="40"/>
        <w:spacing w:after="0" w:line="278" w:lineRule="auto"/>
        <w:rPr>
          <w:sz w:val="20"/>
          <w:szCs w:val="20"/>
          <w:color w:val="auto"/>
        </w:rPr>
      </w:pPr>
      <w:r>
        <w:rPr>
          <w:rFonts w:ascii="Arial" w:cs="Arial" w:eastAsia="Arial" w:hAnsi="Arial"/>
          <w:sz w:val="16"/>
          <w:szCs w:val="16"/>
          <w:color w:val="auto"/>
        </w:rPr>
        <w:t>request from the independent accountants annually, a formal written statement delineating all relationships between the auditor and the Company consistent with Independence Standards Board Standard Number 1;</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discuss with the independent accountants any such disclosed relationships and their impact on the outside auditor's independence; and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recommend that the Board take appropriate action to oversee the independence of the outside auditor.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2" w:lineRule="exact"/>
        <w:rPr>
          <w:sz w:val="20"/>
          <w:szCs w:val="20"/>
          <w:color w:val="auto"/>
        </w:rPr>
      </w:pPr>
    </w:p>
    <w:p>
      <w:pPr>
        <w:ind w:left="500" w:right="640"/>
        <w:spacing w:after="0" w:line="278" w:lineRule="auto"/>
        <w:rPr>
          <w:sz w:val="20"/>
          <w:szCs w:val="20"/>
          <w:color w:val="auto"/>
        </w:rPr>
      </w:pPr>
      <w:r>
        <w:rPr>
          <w:rFonts w:ascii="Arial" w:cs="Arial" w:eastAsia="Arial" w:hAnsi="Arial"/>
          <w:sz w:val="16"/>
          <w:szCs w:val="16"/>
          <w:color w:val="auto"/>
        </w:rPr>
        <w:t>The Committee, subject to any action that may be taken by the Board, shall have the ultimate authority and responsibility to select (or nominate for shareholder approval), evaluate and, where appropriate, replace the outside auditor.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2" w:lineRule="exact"/>
        <w:rPr>
          <w:sz w:val="20"/>
          <w:szCs w:val="20"/>
          <w:color w:val="auto"/>
        </w:rPr>
      </w:pPr>
    </w:p>
    <w:p>
      <w:pPr>
        <w:ind w:left="500" w:right="600"/>
        <w:spacing w:after="0" w:line="278" w:lineRule="auto"/>
        <w:rPr>
          <w:sz w:val="20"/>
          <w:szCs w:val="20"/>
          <w:color w:val="auto"/>
        </w:rPr>
      </w:pPr>
      <w:r>
        <w:rPr>
          <w:rFonts w:ascii="Arial" w:cs="Arial" w:eastAsia="Arial" w:hAnsi="Arial"/>
          <w:sz w:val="16"/>
          <w:szCs w:val="16"/>
          <w:color w:val="auto"/>
        </w:rPr>
        <w:t>Annually prepare a report to shareholders as required by the Securities and Exchange Committee. The report should be included in the Company's annual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2001 STOCK OPTION PLAN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Purposes of the Plan.</w:t>
      </w:r>
      <w:r>
        <w:rPr>
          <w:rFonts w:ascii="Arial" w:cs="Arial" w:eastAsia="Arial" w:hAnsi="Arial"/>
          <w:sz w:val="16"/>
          <w:szCs w:val="16"/>
          <w:color w:val="auto"/>
        </w:rPr>
        <w:t xml:space="preserve"> The purposes of this Stock Option Plan are:</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attract and retain the best available personnel for positions of substantial responsibility,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provide additional incentive to Employees, Directors, and Consultants, and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promote the success of the Company's business.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13" w:lineRule="exact"/>
        <w:rPr>
          <w:sz w:val="20"/>
          <w:szCs w:val="20"/>
          <w:color w:val="auto"/>
        </w:rPr>
      </w:pPr>
    </w:p>
    <w:p>
      <w:pPr>
        <w:ind w:left="360" w:hanging="199"/>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herein, the following definitions shall apply:</w:t>
      </w:r>
    </w:p>
    <w:p>
      <w:pPr>
        <w:spacing w:after="0" w:line="213" w:lineRule="exact"/>
        <w:rPr>
          <w:rFonts w:ascii="Arial" w:cs="Arial" w:eastAsia="Arial" w:hAnsi="Arial"/>
          <w:sz w:val="16"/>
          <w:szCs w:val="16"/>
          <w:color w:val="auto"/>
        </w:rPr>
      </w:pPr>
    </w:p>
    <w:p>
      <w:pPr>
        <w:ind w:left="880" w:hanging="223"/>
        <w:spacing w:after="0"/>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means the Board or any of its Committees as shall be administering the Plan, in accordance with Section 4 of the Plan.</w:t>
      </w:r>
    </w:p>
    <w:p>
      <w:pPr>
        <w:sectPr>
          <w:pgSz w:w="11900" w:h="16871" w:orient="portrait"/>
          <w:cols w:equalWidth="0" w:num="1">
            <w:col w:w="11420"/>
          </w:cols>
          <w:pgMar w:left="240" w:top="131" w:right="239" w:bottom="0" w:gutter="0" w:footer="0" w:header="0"/>
        </w:sectPr>
      </w:pPr>
    </w:p>
    <w:bookmarkStart w:id="14" w:name="page15"/>
    <w:bookmarkEnd w:id="14"/>
    <w:p>
      <w:pPr>
        <w:ind w:left="380" w:hanging="223"/>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"Applicable Laws" means the legal requirements relating to the administration of stock option plans under Delaware corporate and securities laws and the Code.</w:t>
      </w:r>
    </w:p>
    <w:p>
      <w:pPr>
        <w:spacing w:after="0" w:line="236" w:lineRule="exact"/>
        <w:rPr>
          <w:rFonts w:ascii="Arial" w:cs="Arial" w:eastAsia="Arial" w:hAnsi="Arial"/>
          <w:sz w:val="14"/>
          <w:szCs w:val="14"/>
          <w:color w:val="auto"/>
        </w:rPr>
      </w:pPr>
    </w:p>
    <w:p>
      <w:pPr>
        <w:ind w:left="380" w:hanging="223"/>
        <w:spacing w:after="0"/>
        <w:tabs>
          <w:tab w:leader="none" w:pos="3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Board of Directors of the Company.</w:t>
      </w:r>
    </w:p>
    <w:p>
      <w:pPr>
        <w:spacing w:after="0" w:line="213" w:lineRule="exact"/>
        <w:rPr>
          <w:rFonts w:ascii="Arial" w:cs="Arial" w:eastAsia="Arial" w:hAnsi="Arial"/>
          <w:sz w:val="16"/>
          <w:szCs w:val="16"/>
          <w:i w:val="1"/>
          <w:iCs w:val="1"/>
          <w:color w:val="auto"/>
        </w:rPr>
      </w:pPr>
    </w:p>
    <w:p>
      <w:pPr>
        <w:ind w:right="160" w:firstLine="157"/>
        <w:spacing w:after="0" w:line="287" w:lineRule="auto"/>
        <w:tabs>
          <w:tab w:leader="none" w:pos="39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the acquisition by any person or entity, directly, indirectly or beneficially, acting alone or in concert, of more than thirty-five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(35%) of the Common Stock of the Company outstanding at any time.</w:t>
      </w:r>
    </w:p>
    <w:p>
      <w:pPr>
        <w:spacing w:after="0" w:line="155" w:lineRule="exact"/>
        <w:rPr>
          <w:rFonts w:ascii="Arial" w:cs="Arial" w:eastAsia="Arial" w:hAnsi="Arial"/>
          <w:sz w:val="16"/>
          <w:szCs w:val="16"/>
          <w:color w:val="auto"/>
        </w:rPr>
      </w:pPr>
    </w:p>
    <w:p>
      <w:pPr>
        <w:ind w:left="380" w:hanging="22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w:t>
      </w:r>
    </w:p>
    <w:p>
      <w:pPr>
        <w:spacing w:after="0" w:line="213" w:lineRule="exact"/>
        <w:rPr>
          <w:rFonts w:ascii="Arial" w:cs="Arial" w:eastAsia="Arial" w:hAnsi="Arial"/>
          <w:sz w:val="16"/>
          <w:szCs w:val="16"/>
          <w:color w:val="auto"/>
        </w:rPr>
      </w:pPr>
    </w:p>
    <w:p>
      <w:pPr>
        <w:ind w:left="360" w:hanging="203"/>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"Committee" </w:t>
      </w:r>
      <w:r>
        <w:rPr>
          <w:rFonts w:ascii="Arial" w:cs="Arial" w:eastAsia="Arial" w:hAnsi="Arial"/>
          <w:sz w:val="16"/>
          <w:szCs w:val="16"/>
          <w:color w:val="auto"/>
        </w:rPr>
        <w:t>means a Committee appointed by the Board in accordance with Section 4 of the Plan.</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means the Common Stock of the Company.</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means Micron Technology, Inc., a Delaware corporation.</w:t>
      </w:r>
    </w:p>
    <w:p>
      <w:pPr>
        <w:spacing w:after="0" w:line="213" w:lineRule="exact"/>
        <w:rPr>
          <w:rFonts w:ascii="Arial" w:cs="Arial" w:eastAsia="Arial" w:hAnsi="Arial"/>
          <w:sz w:val="16"/>
          <w:szCs w:val="16"/>
          <w:color w:val="auto"/>
        </w:rPr>
      </w:pPr>
    </w:p>
    <w:p>
      <w:pPr>
        <w:ind w:right="380" w:firstLine="157"/>
        <w:spacing w:after="0" w:line="287" w:lineRule="auto"/>
        <w:tabs>
          <w:tab w:leader="none" w:pos="354"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"Consultant" </w:t>
      </w:r>
      <w:r>
        <w:rPr>
          <w:rFonts w:ascii="Arial" w:cs="Arial" w:eastAsia="Arial" w:hAnsi="Arial"/>
          <w:sz w:val="16"/>
          <w:szCs w:val="16"/>
          <w:color w:val="auto"/>
        </w:rPr>
        <w:t>means any person, including an advisor, engaged by the Company or a Parent or Subsidiary to render services and who is compensated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w:t>
      </w:r>
    </w:p>
    <w:p>
      <w:pPr>
        <w:spacing w:after="0" w:line="155" w:lineRule="exact"/>
        <w:rPr>
          <w:rFonts w:ascii="Arial" w:cs="Arial" w:eastAsia="Arial" w:hAnsi="Arial"/>
          <w:sz w:val="16"/>
          <w:szCs w:val="16"/>
          <w:color w:val="auto"/>
        </w:rPr>
      </w:pPr>
    </w:p>
    <w:p>
      <w:pPr>
        <w:ind w:right="20" w:firstLine="157"/>
        <w:spacing w:after="0" w:line="263" w:lineRule="auto"/>
        <w:tabs>
          <w:tab w:leader="none" w:pos="354"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"Continuous Status as and Employee or Consultant" </w:t>
      </w:r>
      <w:r>
        <w:rPr>
          <w:rFonts w:ascii="Arial" w:cs="Arial" w:eastAsia="Arial" w:hAnsi="Arial"/>
          <w:sz w:val="16"/>
          <w:szCs w:val="16"/>
          <w:color w:val="auto"/>
        </w:rPr>
        <w:t>means that the employment or consulting relationship with the Company, any Parent, or Subsidiary, is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4" w:lineRule="exact"/>
        <w:rPr>
          <w:rFonts w:ascii="Arial" w:cs="Arial" w:eastAsia="Arial" w:hAnsi="Arial"/>
          <w:sz w:val="16"/>
          <w:szCs w:val="16"/>
          <w:color w:val="auto"/>
        </w:rPr>
      </w:pPr>
    </w:p>
    <w:p>
      <w:pPr>
        <w:ind w:left="380" w:hanging="22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"Director" </w:t>
      </w:r>
      <w:r>
        <w:rPr>
          <w:rFonts w:ascii="Arial" w:cs="Arial" w:eastAsia="Arial" w:hAnsi="Arial"/>
          <w:sz w:val="16"/>
          <w:szCs w:val="16"/>
          <w:color w:val="auto"/>
        </w:rPr>
        <w:t>means a member of the Board.</w:t>
      </w:r>
    </w:p>
    <w:p>
      <w:pPr>
        <w:spacing w:after="0" w:line="213" w:lineRule="exact"/>
        <w:rPr>
          <w:rFonts w:ascii="Arial" w:cs="Arial" w:eastAsia="Arial" w:hAnsi="Arial"/>
          <w:sz w:val="16"/>
          <w:szCs w:val="16"/>
          <w:color w:val="auto"/>
        </w:rPr>
      </w:pPr>
    </w:p>
    <w:p>
      <w:pPr>
        <w:ind w:left="340" w:hanging="183"/>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means total and permanent disability as defined in Section 22(e)(3) of the Code.</w:t>
      </w: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80" w:firstLine="157"/>
        <w:spacing w:after="0" w:line="287"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"Employee" </w:t>
      </w:r>
      <w:r>
        <w:rPr>
          <w:rFonts w:ascii="Arial" w:cs="Arial" w:eastAsia="Arial" w:hAnsi="Arial"/>
          <w:sz w:val="16"/>
          <w:szCs w:val="16"/>
          <w:color w:val="auto"/>
        </w:rPr>
        <w:t>means any person, including Officers and Directors, employed by the Company or any Parent or Subsidiary of the Company. Neither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nor payment of a director's fee by the Company shall be sufficient to constitute "employment" by the Company.</w:t>
      </w:r>
    </w:p>
    <w:p>
      <w:pPr>
        <w:spacing w:after="0" w:line="155"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as of any date, the value of Common Stock determined as follows:</w:t>
      </w:r>
    </w:p>
    <w:p>
      <w:pPr>
        <w:spacing w:after="0" w:line="213" w:lineRule="exact"/>
        <w:rPr>
          <w:rFonts w:ascii="Arial" w:cs="Arial" w:eastAsia="Arial" w:hAnsi="Arial"/>
          <w:sz w:val="16"/>
          <w:szCs w:val="16"/>
          <w:color w:val="auto"/>
        </w:rPr>
      </w:pPr>
    </w:p>
    <w:p>
      <w:pPr>
        <w:ind w:left="500" w:firstLine="194"/>
        <w:spacing w:after="0" w:line="268" w:lineRule="auto"/>
        <w:tabs>
          <w:tab w:leader="none" w:pos="894"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L.L.P.</w:t>
      </w:r>
      <w:r>
        <w:rPr>
          <w:rFonts w:ascii="Arial" w:cs="Arial" w:eastAsia="Arial" w:hAnsi="Arial"/>
          <w:sz w:val="16"/>
          <w:szCs w:val="16"/>
          <w:color w:val="auto"/>
        </w:rPr>
        <w:t xml:space="preserve"> or such other source as the Administrator deems reliable;</w:t>
      </w:r>
    </w:p>
    <w:p>
      <w:pPr>
        <w:spacing w:after="0" w:line="170" w:lineRule="exact"/>
        <w:rPr>
          <w:rFonts w:ascii="Arial" w:cs="Arial" w:eastAsia="Arial" w:hAnsi="Arial"/>
          <w:sz w:val="16"/>
          <w:szCs w:val="16"/>
          <w:color w:val="auto"/>
        </w:rPr>
      </w:pPr>
    </w:p>
    <w:p>
      <w:pPr>
        <w:ind w:left="500" w:right="100" w:firstLine="153"/>
        <w:spacing w:after="0" w:line="299" w:lineRule="auto"/>
        <w:tabs>
          <w:tab w:leader="none" w:pos="899" w:val="left"/>
        </w:tabs>
        <w:numPr>
          <w:ilvl w:val="1"/>
          <w:numId w:val="10"/>
        </w:numPr>
        <w:rPr>
          <w:rFonts w:ascii="Arial" w:cs="Arial" w:eastAsia="Arial" w:hAnsi="Arial"/>
          <w:sz w:val="15"/>
          <w:szCs w:val="15"/>
          <w:color w:val="auto"/>
        </w:rPr>
      </w:pPr>
      <w:r>
        <w:rPr>
          <w:rFonts w:ascii="Arial" w:cs="Arial" w:eastAsia="Arial" w:hAnsi="Arial"/>
          <w:sz w:val="15"/>
          <w:szCs w:val="15"/>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5"/>
          <w:szCs w:val="15"/>
          <w:i w:val="1"/>
          <w:iCs w:val="1"/>
          <w:color w:val="auto"/>
        </w:rPr>
        <w:t>Bloomberg L.L.P.</w:t>
      </w:r>
      <w:r>
        <w:rPr>
          <w:rFonts w:ascii="Arial" w:cs="Arial" w:eastAsia="Arial" w:hAnsi="Arial"/>
          <w:sz w:val="15"/>
          <w:szCs w:val="15"/>
          <w:color w:val="auto"/>
        </w:rPr>
        <w:t xml:space="preserve"> or such other source as the Administrator deems reliable;</w:t>
      </w:r>
    </w:p>
    <w:p>
      <w:pPr>
        <w:spacing w:after="0" w:line="149" w:lineRule="exact"/>
        <w:rPr>
          <w:rFonts w:ascii="Arial" w:cs="Arial" w:eastAsia="Arial" w:hAnsi="Arial"/>
          <w:sz w:val="15"/>
          <w:szCs w:val="15"/>
          <w:color w:val="auto"/>
        </w:rPr>
      </w:pPr>
    </w:p>
    <w:p>
      <w:pPr>
        <w:ind w:left="940" w:hanging="287"/>
        <w:spacing w:after="0"/>
        <w:tabs>
          <w:tab w:leader="none" w:pos="940" w:val="left"/>
        </w:tabs>
        <w:numPr>
          <w:ilvl w:val="2"/>
          <w:numId w:val="10"/>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 Administrator.</w:t>
      </w:r>
    </w:p>
    <w:p>
      <w:pPr>
        <w:spacing w:after="0" w:line="224" w:lineRule="exact"/>
        <w:rPr>
          <w:rFonts w:ascii="Arial" w:cs="Arial" w:eastAsia="Arial" w:hAnsi="Arial"/>
          <w:sz w:val="15"/>
          <w:szCs w:val="15"/>
          <w:color w:val="auto"/>
        </w:rPr>
      </w:pPr>
    </w:p>
    <w:p>
      <w:pPr>
        <w:ind w:right="740" w:firstLine="157"/>
        <w:spacing w:after="0" w:line="287" w:lineRule="auto"/>
        <w:tabs>
          <w:tab w:leader="none" w:pos="39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 Option that qualifies as an incentive stock option within the meaning of Section 422 of the Code and the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thereunder.</w:t>
      </w:r>
    </w:p>
    <w:p>
      <w:pPr>
        <w:spacing w:after="0" w:line="155"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"Nonstatutory Stock Option" </w:t>
      </w:r>
      <w:r>
        <w:rPr>
          <w:rFonts w:ascii="Arial" w:cs="Arial" w:eastAsia="Arial" w:hAnsi="Arial"/>
          <w:sz w:val="16"/>
          <w:szCs w:val="16"/>
          <w:color w:val="auto"/>
        </w:rPr>
        <w:t>means an Option that does not qualify as an Incentive Stock Option.</w:t>
      </w:r>
    </w:p>
    <w:p>
      <w:pPr>
        <w:spacing w:after="0" w:line="213" w:lineRule="exact"/>
        <w:rPr>
          <w:rFonts w:ascii="Arial" w:cs="Arial" w:eastAsia="Arial" w:hAnsi="Arial"/>
          <w:sz w:val="16"/>
          <w:szCs w:val="16"/>
          <w:color w:val="auto"/>
        </w:rPr>
      </w:pPr>
    </w:p>
    <w:p>
      <w:pPr>
        <w:ind w:right="260" w:firstLine="157"/>
        <w:spacing w:after="0" w:line="287" w:lineRule="auto"/>
        <w:tabs>
          <w:tab w:leader="none" w:pos="36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"Notice of Grant" </w:t>
      </w:r>
      <w:r>
        <w:rPr>
          <w:rFonts w:ascii="Arial" w:cs="Arial" w:eastAsia="Arial" w:hAnsi="Arial"/>
          <w:sz w:val="16"/>
          <w:szCs w:val="16"/>
          <w:color w:val="auto"/>
        </w:rPr>
        <w:t>means a written notice evidencing certain terms and conditions of an individual Option grant. The Notice of Grant is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Option Agreement.</w:t>
      </w:r>
    </w:p>
    <w:p>
      <w:pPr>
        <w:spacing w:after="0" w:line="155" w:lineRule="exact"/>
        <w:rPr>
          <w:rFonts w:ascii="Arial" w:cs="Arial" w:eastAsia="Arial" w:hAnsi="Arial"/>
          <w:sz w:val="16"/>
          <w:szCs w:val="16"/>
          <w:color w:val="auto"/>
        </w:rPr>
      </w:pPr>
    </w:p>
    <w:p>
      <w:pPr>
        <w:ind w:right="400" w:firstLine="157"/>
        <w:spacing w:after="0" w:line="287" w:lineRule="auto"/>
        <w:tabs>
          <w:tab w:leader="none" w:pos="37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"Officer" </w:t>
      </w:r>
      <w:r>
        <w:rPr>
          <w:rFonts w:ascii="Arial" w:cs="Arial" w:eastAsia="Arial" w:hAnsi="Arial"/>
          <w:sz w:val="16"/>
          <w:szCs w:val="16"/>
          <w:color w:val="auto"/>
        </w:rPr>
        <w:t>means a person who is an officer of the Company within the meaning of Section 16 of the Exchange Act and the rules and regulations promulgated</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w:t>
      </w:r>
    </w:p>
    <w:p>
      <w:pPr>
        <w:spacing w:after="0" w:line="155" w:lineRule="exact"/>
        <w:rPr>
          <w:rFonts w:ascii="Arial" w:cs="Arial" w:eastAsia="Arial" w:hAnsi="Arial"/>
          <w:sz w:val="16"/>
          <w:szCs w:val="16"/>
          <w:color w:val="auto"/>
        </w:rPr>
      </w:pPr>
    </w:p>
    <w:p>
      <w:pPr>
        <w:ind w:left="340" w:hanging="183"/>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means a stock option granted pursuant to the Plan.</w:t>
      </w:r>
    </w:p>
    <w:p>
      <w:pPr>
        <w:spacing w:after="0" w:line="213" w:lineRule="exact"/>
        <w:rPr>
          <w:rFonts w:ascii="Arial" w:cs="Arial" w:eastAsia="Arial" w:hAnsi="Arial"/>
          <w:sz w:val="16"/>
          <w:szCs w:val="16"/>
          <w:color w:val="auto"/>
        </w:rPr>
      </w:pPr>
    </w:p>
    <w:p>
      <w:pPr>
        <w:ind w:right="220" w:firstLine="157"/>
        <w:spacing w:after="0" w:line="287" w:lineRule="auto"/>
        <w:tabs>
          <w:tab w:leader="none" w:pos="39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"Option Agreement" </w:t>
      </w:r>
      <w:r>
        <w:rPr>
          <w:rFonts w:ascii="Arial" w:cs="Arial" w:eastAsia="Arial" w:hAnsi="Arial"/>
          <w:sz w:val="16"/>
          <w:szCs w:val="16"/>
          <w:color w:val="auto"/>
        </w:rPr>
        <w:t>means a written agreement between the Company and an Optionee evidencing the terms and conditions of an individual Option grant.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Agreement is subject to the terms and conditions of the Plan.</w:t>
      </w:r>
    </w:p>
    <w:p>
      <w:pPr>
        <w:spacing w:after="0" w:line="155"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"Optioned Stock" </w:t>
      </w:r>
      <w:r>
        <w:rPr>
          <w:rFonts w:ascii="Arial" w:cs="Arial" w:eastAsia="Arial" w:hAnsi="Arial"/>
          <w:sz w:val="16"/>
          <w:szCs w:val="16"/>
          <w:color w:val="auto"/>
        </w:rPr>
        <w:t>means the Common Stock subject to an Option.</w:t>
      </w:r>
    </w:p>
    <w:p>
      <w:pPr>
        <w:spacing w:after="0" w:line="213" w:lineRule="exact"/>
        <w:rPr>
          <w:rFonts w:ascii="Arial" w:cs="Arial" w:eastAsia="Arial" w:hAnsi="Arial"/>
          <w:sz w:val="16"/>
          <w:szCs w:val="16"/>
          <w:color w:val="auto"/>
        </w:rPr>
      </w:pPr>
    </w:p>
    <w:p>
      <w:pPr>
        <w:ind w:left="420" w:hanging="26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"Optionee" </w:t>
      </w:r>
      <w:r>
        <w:rPr>
          <w:rFonts w:ascii="Arial" w:cs="Arial" w:eastAsia="Arial" w:hAnsi="Arial"/>
          <w:sz w:val="16"/>
          <w:szCs w:val="16"/>
          <w:color w:val="auto"/>
        </w:rPr>
        <w:t>means an Employee or Consultant who holds an outstanding</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"Parent" </w:t>
      </w:r>
      <w:r>
        <w:rPr>
          <w:rFonts w:ascii="Arial" w:cs="Arial" w:eastAsia="Arial" w:hAnsi="Arial"/>
          <w:sz w:val="16"/>
          <w:szCs w:val="16"/>
          <w:color w:val="auto"/>
        </w:rPr>
        <w:t>means a "parent corporation", whether now or hereafter existing, as defined in Section 424(e) of the Code.</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this 2001 Option Plan.</w:t>
      </w:r>
    </w:p>
    <w:p>
      <w:pPr>
        <w:spacing w:after="0" w:line="213" w:lineRule="exact"/>
        <w:rPr>
          <w:rFonts w:ascii="Arial" w:cs="Arial" w:eastAsia="Arial" w:hAnsi="Arial"/>
          <w:sz w:val="16"/>
          <w:szCs w:val="16"/>
          <w:color w:val="auto"/>
        </w:rPr>
      </w:pPr>
    </w:p>
    <w:p>
      <w:pPr>
        <w:ind w:left="380" w:hanging="223"/>
        <w:spacing w:after="0"/>
        <w:tabs>
          <w:tab w:leader="none" w:pos="3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"Rule 16b-3" </w:t>
      </w:r>
      <w:r>
        <w:rPr>
          <w:rFonts w:ascii="Arial" w:cs="Arial" w:eastAsia="Arial" w:hAnsi="Arial"/>
          <w:sz w:val="15"/>
          <w:szCs w:val="15"/>
          <w:color w:val="auto"/>
        </w:rPr>
        <w:t>means Rule 16b-3 of the Exchange Act or any successor to Rule 16b-3, as in effect when discretion is being exercised with respect to the Plan.</w:t>
      </w:r>
    </w:p>
    <w:p>
      <w:pPr>
        <w:spacing w:after="0" w:line="225" w:lineRule="exact"/>
        <w:rPr>
          <w:sz w:val="20"/>
          <w:szCs w:val="20"/>
          <w:color w:val="auto"/>
        </w:rPr>
      </w:pPr>
    </w:p>
    <w:p>
      <w:pPr>
        <w:ind w:left="5080" w:right="3980" w:hanging="4923"/>
        <w:spacing w:after="0" w:line="546" w:lineRule="auto"/>
        <w:tabs>
          <w:tab w:leader="none" w:pos="44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"Share" </w:t>
      </w:r>
      <w:r>
        <w:rPr>
          <w:rFonts w:ascii="Arial" w:cs="Arial" w:eastAsia="Arial" w:hAnsi="Arial"/>
          <w:sz w:val="16"/>
          <w:szCs w:val="16"/>
          <w:color w:val="auto"/>
        </w:rPr>
        <w:t>means a share of the Common Stock, as adjusted in accordance with Section 12 of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-23495</wp:posOffset>
            </wp:positionV>
            <wp:extent cx="726249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00"/>
          </w:cols>
          <w:pgMar w:left="740" w:top="131" w:right="259" w:bottom="0" w:gutter="0" w:footer="0" w:header="0"/>
        </w:sectPr>
      </w:pPr>
    </w:p>
    <w:bookmarkStart w:id="15" w:name="page16"/>
    <w:bookmarkEnd w:id="15"/>
    <w:p>
      <w:pPr>
        <w:ind w:left="500" w:right="220" w:firstLine="157"/>
        <w:spacing w:after="0" w:line="273" w:lineRule="auto"/>
        <w:tabs>
          <w:tab w:leader="none" w:pos="97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 "subsidiary corporation", whether now or hereafter existing, as defined in Section 424(f) of the Code. In the case of an Option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qualify as an Incentive Stock Option, the term "Subsidiary" shall also include any other entity in which the Company, or any Parent or Subsidiary of the Company has a significant ownership interest.</w:t>
      </w:r>
    </w:p>
    <w:p>
      <w:pPr>
        <w:spacing w:after="0" w:line="166" w:lineRule="exact"/>
        <w:rPr>
          <w:rFonts w:ascii="Arial" w:cs="Arial" w:eastAsia="Arial" w:hAnsi="Arial"/>
          <w:sz w:val="16"/>
          <w:szCs w:val="16"/>
          <w:color w:val="auto"/>
        </w:rPr>
      </w:pPr>
    </w:p>
    <w:p>
      <w:pPr>
        <w:ind w:right="20" w:firstLine="161"/>
        <w:spacing w:after="0" w:line="287" w:lineRule="auto"/>
        <w:tabs>
          <w:tab w:leader="none" w:pos="363"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Stock Subject to the Plan. </w:t>
      </w:r>
      <w:r>
        <w:rPr>
          <w:rFonts w:ascii="Arial" w:cs="Arial" w:eastAsia="Arial" w:hAnsi="Arial"/>
          <w:sz w:val="16"/>
          <w:szCs w:val="16"/>
          <w:color w:val="auto"/>
        </w:rPr>
        <w:t>Subject to the provisions of Section 12 of the Plan, the maximum aggregate number of Shares which may be optioned and sold under the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Shares. The Shares may be authorized, but unissued, or reacquired Common Stock.</w:t>
      </w:r>
    </w:p>
    <w:p>
      <w:pPr>
        <w:spacing w:after="0" w:line="156" w:lineRule="exact"/>
        <w:rPr>
          <w:sz w:val="20"/>
          <w:szCs w:val="20"/>
          <w:color w:val="auto"/>
        </w:rPr>
      </w:pPr>
    </w:p>
    <w:p>
      <w:pPr>
        <w:ind w:right="160" w:firstLine="161"/>
        <w:spacing w:after="0" w:line="273"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66" w:lineRule="exact"/>
        <w:rPr>
          <w:sz w:val="20"/>
          <w:szCs w:val="20"/>
          <w:color w:val="auto"/>
        </w:rPr>
      </w:pPr>
    </w:p>
    <w:p>
      <w:pPr>
        <w:ind w:left="360" w:hanging="199"/>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Administration of the Plan.</w:t>
      </w:r>
    </w:p>
    <w:p>
      <w:pPr>
        <w:spacing w:after="0" w:line="213" w:lineRule="exact"/>
        <w:rPr>
          <w:rFonts w:ascii="Arial" w:cs="Arial" w:eastAsia="Arial" w:hAnsi="Arial"/>
          <w:sz w:val="16"/>
          <w:szCs w:val="16"/>
          <w:color w:val="auto"/>
        </w:rPr>
      </w:pPr>
    </w:p>
    <w:p>
      <w:pPr>
        <w:ind w:left="500" w:firstLine="157"/>
        <w:spacing w:after="0" w:line="282" w:lineRule="auto"/>
        <w:tabs>
          <w:tab w:leader="none" w:pos="918" w:val="left"/>
        </w:tabs>
        <w:numPr>
          <w:ilvl w:val="1"/>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Administrator. </w:t>
      </w:r>
      <w:r>
        <w:rPr>
          <w:rFonts w:ascii="Arial" w:cs="Arial" w:eastAsia="Arial" w:hAnsi="Arial"/>
          <w:sz w:val="15"/>
          <w:szCs w:val="15"/>
          <w:color w:val="auto"/>
        </w:rPr>
        <w:t>The Plan shall be administered by a Committee appointed by the Board (which Committee shall consist of two or more directors) or, at the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61" w:lineRule="exact"/>
        <w:rPr>
          <w:rFonts w:ascii="Arial" w:cs="Arial" w:eastAsia="Arial" w:hAnsi="Arial"/>
          <w:sz w:val="15"/>
          <w:szCs w:val="15"/>
          <w:color w:val="auto"/>
        </w:rPr>
      </w:pPr>
    </w:p>
    <w:p>
      <w:pPr>
        <w:ind w:left="500" w:right="200" w:firstLine="157"/>
        <w:spacing w:after="0" w:line="287" w:lineRule="auto"/>
        <w:tabs>
          <w:tab w:leader="none" w:pos="93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Powers of the Administrator. </w:t>
      </w:r>
      <w:r>
        <w:rPr>
          <w:rFonts w:ascii="Arial" w:cs="Arial" w:eastAsia="Arial" w:hAnsi="Arial"/>
          <w:sz w:val="16"/>
          <w:szCs w:val="16"/>
          <w:color w:val="auto"/>
        </w:rPr>
        <w:t>Subject to the provisions of the Plan, and in the case of a Committee, subject to the specific duties delegated by the Board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the Administrator shall have the authority, in its discretion:</w:t>
      </w:r>
    </w:p>
    <w:p>
      <w:pPr>
        <w:spacing w:after="0" w:line="155" w:lineRule="exact"/>
        <w:rPr>
          <w:rFonts w:ascii="Arial" w:cs="Arial" w:eastAsia="Arial" w:hAnsi="Arial"/>
          <w:sz w:val="16"/>
          <w:szCs w:val="16"/>
          <w:color w:val="auto"/>
        </w:rPr>
      </w:pPr>
    </w:p>
    <w:p>
      <w:pPr>
        <w:ind w:left="1380" w:hanging="186"/>
        <w:spacing w:after="0"/>
        <w:tabs>
          <w:tab w:leader="none" w:pos="138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2(o) of the Plan;</w:t>
      </w:r>
    </w:p>
    <w:p>
      <w:pPr>
        <w:spacing w:after="0" w:line="213" w:lineRule="exact"/>
        <w:rPr>
          <w:rFonts w:ascii="Arial" w:cs="Arial" w:eastAsia="Arial" w:hAnsi="Arial"/>
          <w:sz w:val="16"/>
          <w:szCs w:val="16"/>
          <w:color w:val="auto"/>
        </w:rPr>
      </w:pPr>
    </w:p>
    <w:p>
      <w:pPr>
        <w:ind w:left="1400" w:hanging="247"/>
        <w:spacing w:after="0"/>
        <w:tabs>
          <w:tab w:leader="none" w:pos="14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select the Employees, Directors, and Consultants to whom Options may be granted hereunder;</w:t>
      </w:r>
    </w:p>
    <w:p>
      <w:pPr>
        <w:spacing w:after="0" w:line="213" w:lineRule="exact"/>
        <w:rPr>
          <w:rFonts w:ascii="Arial" w:cs="Arial" w:eastAsia="Arial" w:hAnsi="Arial"/>
          <w:sz w:val="16"/>
          <w:szCs w:val="16"/>
          <w:color w:val="auto"/>
        </w:rPr>
      </w:pPr>
    </w:p>
    <w:p>
      <w:pPr>
        <w:ind w:left="1440" w:hanging="287"/>
        <w:spacing w:after="0"/>
        <w:tabs>
          <w:tab w:leader="none" w:pos="1440" w:val="left"/>
        </w:tabs>
        <w:numPr>
          <w:ilvl w:val="3"/>
          <w:numId w:val="14"/>
        </w:numPr>
        <w:rPr>
          <w:rFonts w:ascii="Arial" w:cs="Arial" w:eastAsia="Arial" w:hAnsi="Arial"/>
          <w:sz w:val="16"/>
          <w:szCs w:val="16"/>
          <w:color w:val="auto"/>
        </w:rPr>
      </w:pPr>
      <w:r>
        <w:rPr>
          <w:rFonts w:ascii="Arial" w:cs="Arial" w:eastAsia="Arial" w:hAnsi="Arial"/>
          <w:sz w:val="16"/>
          <w:szCs w:val="16"/>
          <w:color w:val="auto"/>
        </w:rPr>
        <w:t>to determine whether and to what extent Options are granted</w:t>
      </w:r>
    </w:p>
    <w:p>
      <w:pPr>
        <w:spacing w:after="0" w:line="213" w:lineRule="exact"/>
        <w:rPr>
          <w:rFonts w:ascii="Arial" w:cs="Arial" w:eastAsia="Arial" w:hAnsi="Arial"/>
          <w:sz w:val="16"/>
          <w:szCs w:val="16"/>
          <w:color w:val="auto"/>
        </w:rPr>
      </w:pPr>
    </w:p>
    <w:p>
      <w:pPr>
        <w:ind w:left="1420" w:hanging="267"/>
        <w:spacing w:after="0"/>
        <w:tabs>
          <w:tab w:leader="none" w:pos="1420" w:val="left"/>
        </w:tabs>
        <w:numPr>
          <w:ilvl w:val="3"/>
          <w:numId w:val="14"/>
        </w:numPr>
        <w:rPr>
          <w:rFonts w:ascii="Arial" w:cs="Arial" w:eastAsia="Arial" w:hAnsi="Arial"/>
          <w:sz w:val="16"/>
          <w:szCs w:val="16"/>
          <w:color w:val="auto"/>
        </w:rPr>
      </w:pPr>
      <w:r>
        <w:rPr>
          <w:rFonts w:ascii="Arial" w:cs="Arial" w:eastAsia="Arial" w:hAnsi="Arial"/>
          <w:sz w:val="16"/>
          <w:szCs w:val="16"/>
          <w:color w:val="auto"/>
        </w:rPr>
        <w:t>to determine the number of shares of Common Stock to be covered by each Option granted hereunder;</w:t>
      </w:r>
    </w:p>
    <w:p>
      <w:pPr>
        <w:spacing w:after="0" w:line="213" w:lineRule="exact"/>
        <w:rPr>
          <w:rFonts w:ascii="Arial" w:cs="Arial" w:eastAsia="Arial" w:hAnsi="Arial"/>
          <w:sz w:val="16"/>
          <w:szCs w:val="16"/>
          <w:color w:val="auto"/>
        </w:rPr>
      </w:pPr>
    </w:p>
    <w:p>
      <w:pPr>
        <w:ind w:left="1380" w:hanging="227"/>
        <w:spacing w:after="0"/>
        <w:tabs>
          <w:tab w:leader="none" w:pos="1380" w:val="left"/>
        </w:tabs>
        <w:numPr>
          <w:ilvl w:val="3"/>
          <w:numId w:val="14"/>
        </w:numPr>
        <w:rPr>
          <w:rFonts w:ascii="Arial" w:cs="Arial" w:eastAsia="Arial" w:hAnsi="Arial"/>
          <w:sz w:val="16"/>
          <w:szCs w:val="16"/>
          <w:color w:val="auto"/>
        </w:rPr>
      </w:pPr>
      <w:r>
        <w:rPr>
          <w:rFonts w:ascii="Arial" w:cs="Arial" w:eastAsia="Arial" w:hAnsi="Arial"/>
          <w:sz w:val="16"/>
          <w:szCs w:val="16"/>
          <w:color w:val="auto"/>
        </w:rPr>
        <w:t>to approve forms of agreement for use under the Plan;</w:t>
      </w:r>
    </w:p>
    <w:p>
      <w:pPr>
        <w:spacing w:after="0" w:line="213" w:lineRule="exact"/>
        <w:rPr>
          <w:rFonts w:ascii="Arial" w:cs="Arial" w:eastAsia="Arial" w:hAnsi="Arial"/>
          <w:sz w:val="16"/>
          <w:szCs w:val="16"/>
          <w:color w:val="auto"/>
        </w:rPr>
      </w:pPr>
    </w:p>
    <w:p>
      <w:pPr>
        <w:jc w:val="both"/>
        <w:ind w:left="1000" w:right="20" w:firstLine="153"/>
        <w:spacing w:after="0" w:line="268" w:lineRule="auto"/>
        <w:tabs>
          <w:tab w:leader="none" w:pos="1435" w:val="left"/>
        </w:tabs>
        <w:numPr>
          <w:ilvl w:val="3"/>
          <w:numId w:val="14"/>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440" w:hanging="327"/>
        <w:spacing w:after="0"/>
        <w:tabs>
          <w:tab w:leader="none" w:pos="144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213" w:lineRule="exact"/>
        <w:rPr>
          <w:rFonts w:ascii="Arial" w:cs="Arial" w:eastAsia="Arial" w:hAnsi="Arial"/>
          <w:sz w:val="16"/>
          <w:szCs w:val="16"/>
          <w:color w:val="auto"/>
        </w:rPr>
      </w:pPr>
    </w:p>
    <w:p>
      <w:pPr>
        <w:ind w:left="1000" w:firstLine="113"/>
        <w:spacing w:after="0" w:line="287" w:lineRule="auto"/>
        <w:tabs>
          <w:tab w:leader="none" w:pos="1484"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55" w:lineRule="exact"/>
        <w:rPr>
          <w:rFonts w:ascii="Arial" w:cs="Arial" w:eastAsia="Arial" w:hAnsi="Arial"/>
          <w:sz w:val="16"/>
          <w:szCs w:val="16"/>
          <w:color w:val="auto"/>
        </w:rPr>
      </w:pPr>
    </w:p>
    <w:p>
      <w:pPr>
        <w:ind w:left="1000" w:right="760" w:firstLine="153"/>
        <w:spacing w:after="0" w:line="287" w:lineRule="auto"/>
        <w:tabs>
          <w:tab w:leader="none" w:pos="1435" w:val="left"/>
        </w:tabs>
        <w:numPr>
          <w:ilvl w:val="3"/>
          <w:numId w:val="15"/>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 granted by the Administrator; and</w:t>
      </w:r>
    </w:p>
    <w:p>
      <w:pPr>
        <w:spacing w:after="0" w:line="155" w:lineRule="exact"/>
        <w:rPr>
          <w:rFonts w:ascii="Arial" w:cs="Arial" w:eastAsia="Arial" w:hAnsi="Arial"/>
          <w:sz w:val="16"/>
          <w:szCs w:val="16"/>
          <w:color w:val="auto"/>
        </w:rPr>
      </w:pPr>
    </w:p>
    <w:p>
      <w:pPr>
        <w:ind w:left="1380" w:hanging="227"/>
        <w:spacing w:after="0"/>
        <w:tabs>
          <w:tab w:leader="none" w:pos="1380" w:val="left"/>
        </w:tabs>
        <w:numPr>
          <w:ilvl w:val="3"/>
          <w:numId w:val="15"/>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 and</w:t>
      </w:r>
    </w:p>
    <w:p>
      <w:pPr>
        <w:spacing w:after="0" w:line="213" w:lineRule="exact"/>
        <w:rPr>
          <w:rFonts w:ascii="Arial" w:cs="Arial" w:eastAsia="Arial" w:hAnsi="Arial"/>
          <w:sz w:val="16"/>
          <w:szCs w:val="16"/>
          <w:color w:val="auto"/>
        </w:rPr>
      </w:pPr>
    </w:p>
    <w:p>
      <w:pPr>
        <w:ind w:left="1000" w:right="120" w:firstLine="153"/>
        <w:spacing w:after="0" w:line="291" w:lineRule="auto"/>
        <w:tabs>
          <w:tab w:leader="none" w:pos="1435" w:val="left"/>
        </w:tabs>
        <w:numPr>
          <w:ilvl w:val="3"/>
          <w:numId w:val="15"/>
        </w:numPr>
        <w:rPr>
          <w:rFonts w:ascii="Arial" w:cs="Arial" w:eastAsia="Arial" w:hAnsi="Arial"/>
          <w:sz w:val="15"/>
          <w:szCs w:val="15"/>
          <w:color w:val="auto"/>
        </w:rPr>
      </w:pPr>
      <w:r>
        <w:rPr>
          <w:rFonts w:ascii="Arial" w:cs="Arial" w:eastAsia="Arial" w:hAnsi="Arial"/>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56" w:lineRule="exact"/>
        <w:rPr>
          <w:rFonts w:ascii="Arial" w:cs="Arial" w:eastAsia="Arial" w:hAnsi="Arial"/>
          <w:sz w:val="15"/>
          <w:szCs w:val="15"/>
          <w:color w:val="auto"/>
        </w:rPr>
      </w:pPr>
    </w:p>
    <w:p>
      <w:pPr>
        <w:ind w:left="500" w:right="240" w:firstLine="157"/>
        <w:spacing w:after="0" w:line="287" w:lineRule="auto"/>
        <w:tabs>
          <w:tab w:leader="none" w:pos="92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Effect of Administrator's Decision. </w:t>
      </w:r>
      <w:r>
        <w:rPr>
          <w:rFonts w:ascii="Arial" w:cs="Arial" w:eastAsia="Arial" w:hAnsi="Arial"/>
          <w:sz w:val="16"/>
          <w:szCs w:val="16"/>
          <w:color w:val="auto"/>
        </w:rPr>
        <w:t>The Administrator's decisions, determinations, and interpretations shall be final and binding on all Optionees and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Options.</w:t>
      </w:r>
    </w:p>
    <w:p>
      <w:pPr>
        <w:spacing w:after="0" w:line="155" w:lineRule="exact"/>
        <w:rPr>
          <w:rFonts w:ascii="Arial" w:cs="Arial" w:eastAsia="Arial" w:hAnsi="Arial"/>
          <w:sz w:val="16"/>
          <w:szCs w:val="16"/>
          <w:color w:val="auto"/>
        </w:rPr>
      </w:pPr>
    </w:p>
    <w:p>
      <w:pPr>
        <w:ind w:right="640" w:firstLine="161"/>
        <w:spacing w:after="0" w:line="287" w:lineRule="auto"/>
        <w:tabs>
          <w:tab w:leader="none" w:pos="36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Nonstatutory Stock Options may be granted to Employees, Directors, and Consultants. Incentive Stock Options may be granted only to Employees. If</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eligible, an Employee or Consultant who has been granted an Option may be granted additional Options.</w:t>
      </w:r>
    </w:p>
    <w:p>
      <w:pPr>
        <w:spacing w:after="0" w:line="155" w:lineRule="exact"/>
        <w:rPr>
          <w:rFonts w:ascii="Arial" w:cs="Arial" w:eastAsia="Arial" w:hAnsi="Arial"/>
          <w:sz w:val="16"/>
          <w:szCs w:val="16"/>
          <w:color w:val="auto"/>
        </w:rPr>
      </w:pPr>
    </w:p>
    <w:p>
      <w:pPr>
        <w:ind w:left="360" w:hanging="199"/>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Limitations.</w:t>
      </w:r>
    </w:p>
    <w:p>
      <w:pPr>
        <w:spacing w:after="0" w:line="213" w:lineRule="exact"/>
        <w:rPr>
          <w:rFonts w:ascii="Arial" w:cs="Arial" w:eastAsia="Arial" w:hAnsi="Arial"/>
          <w:sz w:val="16"/>
          <w:szCs w:val="16"/>
          <w:color w:val="auto"/>
        </w:rPr>
      </w:pPr>
    </w:p>
    <w:p>
      <w:pPr>
        <w:ind w:left="500" w:right="180" w:firstLine="157"/>
        <w:spacing w:after="0" w:line="287" w:lineRule="auto"/>
        <w:tabs>
          <w:tab w:leader="none" w:pos="881" w:val="left"/>
        </w:tabs>
        <w:numPr>
          <w:ilvl w:val="1"/>
          <w:numId w:val="17"/>
        </w:numPr>
        <w:rPr>
          <w:rFonts w:ascii="Arial" w:cs="Arial" w:eastAsia="Arial" w:hAnsi="Arial"/>
          <w:sz w:val="15"/>
          <w:szCs w:val="15"/>
          <w:color w:val="auto"/>
        </w:rPr>
      </w:pPr>
      <w:r>
        <w:rPr>
          <w:rFonts w:ascii="Arial" w:cs="Arial" w:eastAsia="Arial" w:hAnsi="Arial"/>
          <w:sz w:val="15"/>
          <w:szCs w:val="15"/>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60" w:lineRule="exact"/>
        <w:rPr>
          <w:rFonts w:ascii="Arial" w:cs="Arial" w:eastAsia="Arial" w:hAnsi="Arial"/>
          <w:sz w:val="15"/>
          <w:szCs w:val="15"/>
          <w:color w:val="auto"/>
        </w:rPr>
      </w:pPr>
    </w:p>
    <w:p>
      <w:pPr>
        <w:jc w:val="both"/>
        <w:ind w:left="500" w:right="60" w:firstLine="157"/>
        <w:spacing w:after="0" w:line="273" w:lineRule="auto"/>
        <w:tabs>
          <w:tab w:leader="none" w:pos="8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66" w:lineRule="exact"/>
        <w:rPr>
          <w:rFonts w:ascii="Arial" w:cs="Arial" w:eastAsia="Arial" w:hAnsi="Arial"/>
          <w:sz w:val="16"/>
          <w:szCs w:val="16"/>
          <w:color w:val="auto"/>
        </w:rPr>
      </w:pPr>
    </w:p>
    <w:p>
      <w:pPr>
        <w:ind w:left="880" w:hanging="223"/>
        <w:spacing w:after="0"/>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following limitations shall apply to grants of Options to Employees:</w:t>
      </w:r>
    </w:p>
    <w:p>
      <w:pPr>
        <w:spacing w:after="0" w:line="213" w:lineRule="exact"/>
        <w:rPr>
          <w:rFonts w:ascii="Arial" w:cs="Arial" w:eastAsia="Arial" w:hAnsi="Arial"/>
          <w:sz w:val="16"/>
          <w:szCs w:val="16"/>
          <w:color w:val="auto"/>
        </w:rPr>
      </w:pPr>
    </w:p>
    <w:p>
      <w:pPr>
        <w:ind w:left="1380" w:hanging="186"/>
        <w:spacing w:after="0"/>
        <w:tabs>
          <w:tab w:leader="none" w:pos="1380" w:val="left"/>
        </w:tabs>
        <w:numPr>
          <w:ilvl w:val="4"/>
          <w:numId w:val="17"/>
        </w:numPr>
        <w:rPr>
          <w:rFonts w:ascii="Arial" w:cs="Arial" w:eastAsia="Arial" w:hAnsi="Arial"/>
          <w:sz w:val="16"/>
          <w:szCs w:val="16"/>
          <w:color w:val="auto"/>
        </w:rPr>
      </w:pPr>
      <w:r>
        <w:rPr>
          <w:rFonts w:ascii="Arial" w:cs="Arial" w:eastAsia="Arial" w:hAnsi="Arial"/>
          <w:sz w:val="16"/>
          <w:szCs w:val="16"/>
          <w:color w:val="auto"/>
        </w:rPr>
        <w:t>No Employee shall be granted, in any fiscal year of the Company, Options to purchase more than 2,000,000 Shares.</w:t>
      </w:r>
    </w:p>
    <w:p>
      <w:pPr>
        <w:spacing w:after="0" w:line="213" w:lineRule="exact"/>
        <w:rPr>
          <w:rFonts w:ascii="Arial" w:cs="Arial" w:eastAsia="Arial" w:hAnsi="Arial"/>
          <w:sz w:val="16"/>
          <w:szCs w:val="16"/>
          <w:color w:val="auto"/>
        </w:rPr>
      </w:pPr>
    </w:p>
    <w:p>
      <w:pPr>
        <w:ind w:left="1380" w:hanging="227"/>
        <w:spacing w:after="0"/>
        <w:tabs>
          <w:tab w:leader="none" w:pos="1380" w:val="left"/>
        </w:tabs>
        <w:numPr>
          <w:ilvl w:val="4"/>
          <w:numId w:val="17"/>
        </w:numPr>
        <w:rPr>
          <w:rFonts w:ascii="Arial" w:cs="Arial" w:eastAsia="Arial" w:hAnsi="Arial"/>
          <w:sz w:val="15"/>
          <w:szCs w:val="15"/>
          <w:color w:val="auto"/>
        </w:rPr>
      </w:pPr>
      <w:r>
        <w:rPr>
          <w:rFonts w:ascii="Arial" w:cs="Arial" w:eastAsia="Arial" w:hAnsi="Arial"/>
          <w:sz w:val="15"/>
          <w:szCs w:val="15"/>
          <w:color w:val="auto"/>
        </w:rPr>
        <w:t>The foregoing limitations shall be adjusted proportionately in connection with any change in the Company's capitalization as described in Section 12.</w:t>
      </w:r>
    </w:p>
    <w:p>
      <w:pPr>
        <w:sectPr>
          <w:pgSz w:w="11900" w:h="16838" w:orient="portrait"/>
          <w:cols w:equalWidth="0" w:num="1">
            <w:col w:w="11420"/>
          </w:cols>
          <w:pgMar w:left="240" w:top="131" w:right="239" w:bottom="0" w:gutter="0" w:footer="0" w:header="0"/>
        </w:sectPr>
      </w:pPr>
    </w:p>
    <w:bookmarkStart w:id="16" w:name="page17"/>
    <w:bookmarkEnd w:id="16"/>
    <w:p>
      <w:pPr>
        <w:spacing w:after="0" w:line="46" w:lineRule="exact"/>
        <w:rPr>
          <w:sz w:val="20"/>
          <w:szCs w:val="20"/>
          <w:color w:val="auto"/>
        </w:rPr>
      </w:pPr>
    </w:p>
    <w:p>
      <w:pPr>
        <w:ind w:left="-20" w:right="140" w:firstLine="161"/>
        <w:spacing w:after="0" w:line="362" w:lineRule="auto"/>
        <w:tabs>
          <w:tab w:leader="none" w:pos="343"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 xml:space="preserve">Term of Plan. </w:t>
      </w:r>
      <w:r>
        <w:rPr>
          <w:rFonts w:ascii="Arial" w:cs="Arial" w:eastAsia="Arial" w:hAnsi="Arial"/>
          <w:sz w:val="14"/>
          <w:szCs w:val="14"/>
          <w:color w:val="auto"/>
        </w:rPr>
        <w:t>Subject to Section 18 of the Plan, the Plan shall become effective upon the earlier to occur of its adoption by the Board or its approval by the shareholders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Company as described in Section 18 of the Plan. It shall continue in effect for a term of ten (10) years unless terminated earlier under Section 14 of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right="40" w:firstLine="161"/>
        <w:spacing w:after="0" w:line="299" w:lineRule="auto"/>
        <w:tabs>
          <w:tab w:leader="none" w:pos="343"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Term of Option. </w:t>
      </w:r>
      <w:r>
        <w:rPr>
          <w:rFonts w:ascii="Arial" w:cs="Arial" w:eastAsia="Arial" w:hAnsi="Arial"/>
          <w:sz w:val="15"/>
          <w:szCs w:val="15"/>
          <w:color w:val="auto"/>
        </w:rPr>
        <w:t>The term of each Option shall be stated in the Notice of Grant, but shall not exceed ten (10) years; provided, however, that in the case of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49" w:lineRule="exact"/>
        <w:rPr>
          <w:rFonts w:ascii="Arial" w:cs="Arial" w:eastAsia="Arial" w:hAnsi="Arial"/>
          <w:sz w:val="15"/>
          <w:szCs w:val="15"/>
          <w:color w:val="auto"/>
        </w:rPr>
      </w:pPr>
    </w:p>
    <w:p>
      <w:pPr>
        <w:ind w:left="340" w:hanging="199"/>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Option Exercise Price and Consideration.</w:t>
      </w:r>
    </w:p>
    <w:p>
      <w:pPr>
        <w:spacing w:after="0" w:line="213" w:lineRule="exact"/>
        <w:rPr>
          <w:rFonts w:ascii="Arial" w:cs="Arial" w:eastAsia="Arial" w:hAnsi="Arial"/>
          <w:sz w:val="16"/>
          <w:szCs w:val="16"/>
          <w:color w:val="auto"/>
        </w:rPr>
      </w:pPr>
    </w:p>
    <w:p>
      <w:pPr>
        <w:ind w:left="480" w:right="140" w:firstLine="157"/>
        <w:spacing w:after="0" w:line="291" w:lineRule="auto"/>
        <w:tabs>
          <w:tab w:leader="none" w:pos="901"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per share exercise price for the Shares to be issued pursuant to exercise of an Option shall be determined by the Administrator, but shall not</w:t>
      </w:r>
      <w:r>
        <w:rPr>
          <w:rFonts w:ascii="Arial" w:cs="Arial" w:eastAsia="Arial" w:hAnsi="Arial"/>
          <w:sz w:val="15"/>
          <w:szCs w:val="15"/>
          <w:i w:val="1"/>
          <w:iCs w:val="1"/>
          <w:color w:val="auto"/>
        </w:rPr>
        <w:t xml:space="preserve"> </w:t>
      </w:r>
      <w:r>
        <w:rPr>
          <w:rFonts w:ascii="Arial" w:cs="Arial" w:eastAsia="Arial" w:hAnsi="Arial"/>
          <w:sz w:val="15"/>
          <w:szCs w:val="15"/>
          <w:color w:val="auto"/>
        </w:rPr>
        <w:t>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56" w:lineRule="exact"/>
        <w:rPr>
          <w:rFonts w:ascii="Arial" w:cs="Arial" w:eastAsia="Arial" w:hAnsi="Arial"/>
          <w:sz w:val="15"/>
          <w:szCs w:val="15"/>
          <w:color w:val="auto"/>
        </w:rPr>
      </w:pPr>
    </w:p>
    <w:p>
      <w:pPr>
        <w:jc w:val="both"/>
        <w:ind w:left="480" w:right="140" w:firstLine="157"/>
        <w:spacing w:after="0" w:line="273" w:lineRule="auto"/>
        <w:tabs>
          <w:tab w:leader="none" w:pos="91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Waiting Period and Exercise Dates. </w:t>
      </w:r>
      <w:r>
        <w:rPr>
          <w:rFonts w:ascii="Arial" w:cs="Arial" w:eastAsia="Arial" w:hAnsi="Arial"/>
          <w:sz w:val="16"/>
          <w:szCs w:val="16"/>
          <w:color w:val="auto"/>
        </w:rPr>
        <w:t>At the time an Option is granted, the Administrator shall fix the period within which the Option may be exercised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any conditions which must be satisfied before the Option may be exercised. In doing so, the Administrator may specify that an Option may not be exercised until the completion of a service period.</w:t>
      </w:r>
    </w:p>
    <w:p>
      <w:pPr>
        <w:spacing w:after="0" w:line="166" w:lineRule="exact"/>
        <w:rPr>
          <w:rFonts w:ascii="Arial" w:cs="Arial" w:eastAsia="Arial" w:hAnsi="Arial"/>
          <w:sz w:val="16"/>
          <w:szCs w:val="16"/>
          <w:color w:val="auto"/>
        </w:rPr>
      </w:pPr>
    </w:p>
    <w:p>
      <w:pPr>
        <w:ind w:left="480" w:right="80" w:firstLine="157"/>
        <w:spacing w:after="0" w:line="287" w:lineRule="auto"/>
        <w:tabs>
          <w:tab w:leader="none" w:pos="90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Form of Consideration. </w:t>
      </w:r>
      <w:r>
        <w:rPr>
          <w:rFonts w:ascii="Arial" w:cs="Arial" w:eastAsia="Arial" w:hAnsi="Arial"/>
          <w:sz w:val="16"/>
          <w:szCs w:val="16"/>
          <w:color w:val="auto"/>
        </w:rPr>
        <w:t>The Administrator shall determine the acceptable form of consideration for exercising an Option, including the method of payment.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shall determine the acceptable form of consideration at the time of grant. Such consideration may consist entirely of:</w:t>
      </w:r>
    </w:p>
    <w:p>
      <w:pPr>
        <w:spacing w:after="0" w:line="155" w:lineRule="exact"/>
        <w:rPr>
          <w:rFonts w:ascii="Arial" w:cs="Arial" w:eastAsia="Arial" w:hAnsi="Arial"/>
          <w:sz w:val="16"/>
          <w:szCs w:val="16"/>
          <w:color w:val="auto"/>
        </w:rPr>
      </w:pPr>
    </w:p>
    <w:p>
      <w:pPr>
        <w:ind w:left="1360" w:hanging="186"/>
        <w:spacing w:after="0"/>
        <w:tabs>
          <w:tab w:leader="none" w:pos="1360" w:val="left"/>
        </w:tabs>
        <w:numPr>
          <w:ilvl w:val="2"/>
          <w:numId w:val="19"/>
        </w:numPr>
        <w:rPr>
          <w:rFonts w:ascii="Arial" w:cs="Arial" w:eastAsia="Arial" w:hAnsi="Arial"/>
          <w:sz w:val="16"/>
          <w:szCs w:val="16"/>
          <w:color w:val="auto"/>
        </w:rPr>
      </w:pPr>
      <w:r>
        <w:rPr>
          <w:rFonts w:ascii="Arial" w:cs="Arial" w:eastAsia="Arial" w:hAnsi="Arial"/>
          <w:sz w:val="16"/>
          <w:szCs w:val="16"/>
          <w:color w:val="auto"/>
        </w:rPr>
        <w:t>cash;</w:t>
      </w:r>
    </w:p>
    <w:p>
      <w:pPr>
        <w:spacing w:after="0" w:line="213" w:lineRule="exact"/>
        <w:rPr>
          <w:rFonts w:ascii="Arial" w:cs="Arial" w:eastAsia="Arial" w:hAnsi="Arial"/>
          <w:sz w:val="16"/>
          <w:szCs w:val="16"/>
          <w:color w:val="auto"/>
        </w:rPr>
      </w:pPr>
    </w:p>
    <w:p>
      <w:pPr>
        <w:ind w:left="1380" w:hanging="247"/>
        <w:spacing w:after="0"/>
        <w:tabs>
          <w:tab w:leader="none" w:pos="13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check;</w:t>
      </w:r>
    </w:p>
    <w:p>
      <w:pPr>
        <w:spacing w:after="0" w:line="213" w:lineRule="exact"/>
        <w:rPr>
          <w:rFonts w:ascii="Arial" w:cs="Arial" w:eastAsia="Arial" w:hAnsi="Arial"/>
          <w:sz w:val="16"/>
          <w:szCs w:val="16"/>
          <w:color w:val="auto"/>
        </w:rPr>
      </w:pPr>
    </w:p>
    <w:p>
      <w:pPr>
        <w:ind w:left="1420" w:hanging="287"/>
        <w:spacing w:after="0"/>
        <w:tabs>
          <w:tab w:leader="none" w:pos="1420" w:val="left"/>
        </w:tabs>
        <w:numPr>
          <w:ilvl w:val="4"/>
          <w:numId w:val="19"/>
        </w:numPr>
        <w:rPr>
          <w:rFonts w:ascii="Arial" w:cs="Arial" w:eastAsia="Arial" w:hAnsi="Arial"/>
          <w:sz w:val="16"/>
          <w:szCs w:val="16"/>
          <w:color w:val="auto"/>
        </w:rPr>
      </w:pPr>
      <w:r>
        <w:rPr>
          <w:rFonts w:ascii="Arial" w:cs="Arial" w:eastAsia="Arial" w:hAnsi="Arial"/>
          <w:sz w:val="16"/>
          <w:szCs w:val="16"/>
          <w:color w:val="auto"/>
        </w:rPr>
        <w:t>promissory note;</w:t>
      </w:r>
    </w:p>
    <w:p>
      <w:pPr>
        <w:spacing w:after="0" w:line="213" w:lineRule="exact"/>
        <w:rPr>
          <w:rFonts w:ascii="Arial" w:cs="Arial" w:eastAsia="Arial" w:hAnsi="Arial"/>
          <w:sz w:val="16"/>
          <w:szCs w:val="16"/>
          <w:color w:val="auto"/>
        </w:rPr>
      </w:pPr>
    </w:p>
    <w:p>
      <w:pPr>
        <w:ind w:left="980" w:right="400" w:firstLine="153"/>
        <w:spacing w:after="0" w:line="287" w:lineRule="auto"/>
        <w:tabs>
          <w:tab w:leader="none" w:pos="1415" w:val="left"/>
        </w:tabs>
        <w:numPr>
          <w:ilvl w:val="4"/>
          <w:numId w:val="19"/>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55" w:lineRule="exact"/>
        <w:rPr>
          <w:rFonts w:ascii="Arial" w:cs="Arial" w:eastAsia="Arial" w:hAnsi="Arial"/>
          <w:sz w:val="16"/>
          <w:szCs w:val="16"/>
          <w:color w:val="auto"/>
        </w:rPr>
      </w:pPr>
    </w:p>
    <w:p>
      <w:pPr>
        <w:ind w:left="980" w:firstLine="153"/>
        <w:spacing w:after="0" w:line="287" w:lineRule="auto"/>
        <w:tabs>
          <w:tab w:leader="none" w:pos="1370" w:val="left"/>
        </w:tabs>
        <w:numPr>
          <w:ilvl w:val="4"/>
          <w:numId w:val="19"/>
        </w:numPr>
        <w:rPr>
          <w:rFonts w:ascii="Arial" w:cs="Arial" w:eastAsia="Arial" w:hAnsi="Arial"/>
          <w:sz w:val="15"/>
          <w:szCs w:val="15"/>
          <w:color w:val="auto"/>
        </w:rPr>
      </w:pPr>
      <w:r>
        <w:rPr>
          <w:rFonts w:ascii="Arial" w:cs="Arial" w:eastAsia="Arial" w:hAnsi="Arial"/>
          <w:sz w:val="15"/>
          <w:szCs w:val="15"/>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60" w:lineRule="exact"/>
        <w:rPr>
          <w:rFonts w:ascii="Arial" w:cs="Arial" w:eastAsia="Arial" w:hAnsi="Arial"/>
          <w:sz w:val="15"/>
          <w:szCs w:val="15"/>
          <w:color w:val="auto"/>
        </w:rPr>
      </w:pPr>
    </w:p>
    <w:p>
      <w:pPr>
        <w:ind w:left="980" w:right="260" w:firstLine="153"/>
        <w:spacing w:after="0" w:line="287" w:lineRule="auto"/>
        <w:tabs>
          <w:tab w:leader="none" w:pos="1415" w:val="left"/>
        </w:tabs>
        <w:numPr>
          <w:ilvl w:val="4"/>
          <w:numId w:val="19"/>
        </w:numPr>
        <w:rPr>
          <w:rFonts w:ascii="Arial" w:cs="Arial" w:eastAsia="Arial" w:hAnsi="Arial"/>
          <w:sz w:val="16"/>
          <w:szCs w:val="16"/>
          <w:color w:val="auto"/>
        </w:rPr>
      </w:pPr>
      <w:r>
        <w:rPr>
          <w:rFonts w:ascii="Arial" w:cs="Arial" w:eastAsia="Arial" w:hAnsi="Arial"/>
          <w:sz w:val="16"/>
          <w:szCs w:val="16"/>
          <w:color w:val="auto"/>
        </w:rPr>
        <w:t>a reduction in the amount of any Company liability to the Optionee, including any liability attributable to the Optionee's participation in any Company sponsored deferred compensation program or arrangement;</w:t>
      </w:r>
    </w:p>
    <w:p>
      <w:pPr>
        <w:spacing w:after="0" w:line="155" w:lineRule="exact"/>
        <w:rPr>
          <w:rFonts w:ascii="Arial" w:cs="Arial" w:eastAsia="Arial" w:hAnsi="Arial"/>
          <w:sz w:val="16"/>
          <w:szCs w:val="16"/>
          <w:color w:val="auto"/>
        </w:rPr>
      </w:pPr>
    </w:p>
    <w:p>
      <w:pPr>
        <w:ind w:left="1420" w:hanging="327"/>
        <w:spacing w:after="0"/>
        <w:tabs>
          <w:tab w:leader="none" w:pos="1420" w:val="left"/>
        </w:tabs>
        <w:numPr>
          <w:ilvl w:val="3"/>
          <w:numId w:val="19"/>
        </w:numPr>
        <w:rPr>
          <w:rFonts w:ascii="Arial" w:cs="Arial" w:eastAsia="Arial" w:hAnsi="Arial"/>
          <w:sz w:val="16"/>
          <w:szCs w:val="16"/>
          <w:color w:val="auto"/>
        </w:rPr>
      </w:pPr>
      <w:r>
        <w:rPr>
          <w:rFonts w:ascii="Arial" w:cs="Arial" w:eastAsia="Arial" w:hAnsi="Arial"/>
          <w:sz w:val="16"/>
          <w:szCs w:val="16"/>
          <w:color w:val="auto"/>
        </w:rPr>
        <w:t>any combination of the foregoing methods of payment; or</w:t>
      </w:r>
    </w:p>
    <w:p>
      <w:pPr>
        <w:spacing w:after="0" w:line="213" w:lineRule="exact"/>
        <w:rPr>
          <w:rFonts w:ascii="Arial" w:cs="Arial" w:eastAsia="Arial" w:hAnsi="Arial"/>
          <w:sz w:val="16"/>
          <w:szCs w:val="16"/>
          <w:color w:val="auto"/>
        </w:rPr>
      </w:pPr>
    </w:p>
    <w:p>
      <w:pPr>
        <w:ind w:left="1460" w:hanging="367"/>
        <w:spacing w:after="0"/>
        <w:tabs>
          <w:tab w:leader="none" w:pos="1460" w:val="left"/>
        </w:tabs>
        <w:numPr>
          <w:ilvl w:val="3"/>
          <w:numId w:val="19"/>
        </w:numPr>
        <w:rPr>
          <w:rFonts w:ascii="Arial" w:cs="Arial" w:eastAsia="Arial" w:hAnsi="Arial"/>
          <w:sz w:val="15"/>
          <w:szCs w:val="15"/>
          <w:color w:val="auto"/>
        </w:rPr>
      </w:pPr>
      <w:r>
        <w:rPr>
          <w:rFonts w:ascii="Arial" w:cs="Arial" w:eastAsia="Arial" w:hAnsi="Arial"/>
          <w:sz w:val="15"/>
          <w:szCs w:val="15"/>
          <w:color w:val="auto"/>
        </w:rPr>
        <w:t>such other consideration and method of payment for the issuance of Shares to the extent approved by the Administrator and permitted by Applicable</w:t>
      </w:r>
    </w:p>
    <w:p>
      <w:pPr>
        <w:spacing w:after="0" w:line="33"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6"/>
          <w:szCs w:val="16"/>
          <w:color w:val="auto"/>
        </w:rPr>
        <w:t>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20" w:hanging="279"/>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Exercise of Option.</w:t>
      </w:r>
    </w:p>
    <w:p>
      <w:pPr>
        <w:spacing w:after="0" w:line="213" w:lineRule="exact"/>
        <w:rPr>
          <w:sz w:val="20"/>
          <w:szCs w:val="20"/>
          <w:color w:val="auto"/>
        </w:rPr>
      </w:pPr>
    </w:p>
    <w:p>
      <w:pPr>
        <w:ind w:left="480" w:right="280" w:firstLine="157"/>
        <w:spacing w:after="0" w:line="287" w:lineRule="auto"/>
        <w:tabs>
          <w:tab w:leader="none" w:pos="90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Procedure for Exercise; Rights as a Shareholder. </w:t>
      </w:r>
      <w:r>
        <w:rPr>
          <w:rFonts w:ascii="Arial" w:cs="Arial" w:eastAsia="Arial" w:hAnsi="Arial"/>
          <w:sz w:val="16"/>
          <w:szCs w:val="16"/>
          <w:color w:val="auto"/>
        </w:rPr>
        <w:t>Any Option granted thereunder shall be exercisable according to the terms of the Plan and at such times and</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such conditions as determined by the Administrator and set forth in the Option Agreement.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 Option may not be exercised for a fraction of a Share.</w:t>
      </w:r>
    </w:p>
    <w:p>
      <w:pPr>
        <w:spacing w:after="0" w:line="213" w:lineRule="exact"/>
        <w:rPr>
          <w:sz w:val="20"/>
          <w:szCs w:val="20"/>
          <w:color w:val="auto"/>
        </w:rPr>
      </w:pPr>
    </w:p>
    <w:p>
      <w:pPr>
        <w:ind w:left="480" w:firstLine="152"/>
        <w:spacing w:after="0" w:line="283" w:lineRule="auto"/>
        <w:rPr>
          <w:sz w:val="20"/>
          <w:szCs w:val="20"/>
          <w:color w:val="auto"/>
        </w:rPr>
      </w:pPr>
      <w:r>
        <w:rPr>
          <w:rFonts w:ascii="Arial" w:cs="Arial" w:eastAsia="Arial" w:hAnsi="Arial"/>
          <w:sz w:val="15"/>
          <w:szCs w:val="15"/>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65" w:lineRule="exact"/>
        <w:rPr>
          <w:sz w:val="20"/>
          <w:szCs w:val="20"/>
          <w:color w:val="auto"/>
        </w:rPr>
      </w:pPr>
    </w:p>
    <w:p>
      <w:pPr>
        <w:ind w:left="480" w:right="420" w:firstLine="161"/>
        <w:spacing w:after="0" w:line="287" w:lineRule="auto"/>
        <w:rPr>
          <w:sz w:val="20"/>
          <w:szCs w:val="20"/>
          <w:color w:val="auto"/>
        </w:rPr>
      </w:pPr>
      <w:r>
        <w:rPr>
          <w:rFonts w:ascii="Arial" w:cs="Arial" w:eastAsia="Arial" w:hAnsi="Arial"/>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56" w:lineRule="exact"/>
        <w:rPr>
          <w:sz w:val="20"/>
          <w:szCs w:val="20"/>
          <w:color w:val="auto"/>
        </w:rPr>
      </w:pPr>
    </w:p>
    <w:p>
      <w:pPr>
        <w:ind w:left="480" w:firstLine="157"/>
        <w:spacing w:after="0" w:line="263" w:lineRule="auto"/>
        <w:tabs>
          <w:tab w:leader="none" w:pos="91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w:t>
      </w:r>
      <w:r>
        <w:rPr>
          <w:rFonts w:ascii="Arial" w:cs="Arial" w:eastAsia="Arial" w:hAnsi="Arial"/>
          <w:sz w:val="16"/>
          <w:szCs w:val="16"/>
          <w:color w:val="auto"/>
        </w:rPr>
        <w:t>Upon termination of an Optionee's Continuous Status as an Employee or Consultant, other than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480" w:firstLine="157"/>
        <w:spacing w:after="0" w:line="264" w:lineRule="auto"/>
        <w:tabs>
          <w:tab w:leader="none" w:pos="90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In the event that an Optionee's Continuous Status as an Employee or Consultant terminates as a result of the Optionee's Disability,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ectPr>
          <w:pgSz w:w="11900" w:h="16884" w:orient="portrait"/>
          <w:cols w:equalWidth="0" w:num="1">
            <w:col w:w="11380"/>
          </w:cols>
          <w:pgMar w:left="260" w:top="131" w:right="259" w:bottom="0" w:gutter="0" w:footer="0" w:header="0"/>
        </w:sectPr>
      </w:pPr>
    </w:p>
    <w:bookmarkStart w:id="17" w:name="page18"/>
    <w:bookmarkEnd w:id="17"/>
    <w:p>
      <w:pPr>
        <w:spacing w:after="0" w:line="8" w:lineRule="exact"/>
        <w:rPr>
          <w:sz w:val="20"/>
          <w:szCs w:val="20"/>
          <w:color w:val="auto"/>
        </w:rPr>
      </w:pPr>
    </w:p>
    <w:p>
      <w:pPr>
        <w:ind w:left="500" w:right="20" w:firstLine="157"/>
        <w:spacing w:after="0" w:line="268" w:lineRule="auto"/>
        <w:tabs>
          <w:tab w:leader="none" w:pos="93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Death of Optionee. </w:t>
      </w:r>
      <w:r>
        <w:rPr>
          <w:rFonts w:ascii="Arial" w:cs="Arial" w:eastAsia="Arial" w:hAnsi="Arial"/>
          <w:sz w:val="16"/>
          <w:szCs w:val="16"/>
          <w:color w:val="auto"/>
        </w:rPr>
        <w:t>In the event of the death of an Optionee, the Option may be exercised at any time within twelve (12) months following the date of death (but</w:t>
      </w:r>
      <w:r>
        <w:rPr>
          <w:rFonts w:ascii="Arial" w:cs="Arial" w:eastAsia="Arial" w:hAnsi="Arial"/>
          <w:sz w:val="16"/>
          <w:szCs w:val="16"/>
          <w:i w:val="1"/>
          <w:iCs w:val="1"/>
          <w:color w:val="auto"/>
        </w:rPr>
        <w:t xml:space="preserve"> </w:t>
      </w:r>
      <w:r>
        <w:rPr>
          <w:rFonts w:ascii="Arial" w:cs="Arial" w:eastAsia="Arial" w:hAnsi="Arial"/>
          <w:sz w:val="16"/>
          <w:szCs w:val="16"/>
          <w:color w:val="auto"/>
        </w:rPr>
        <w:t>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500" w:right="20"/>
        <w:spacing w:after="0" w:line="273" w:lineRule="auto"/>
        <w:rPr>
          <w:sz w:val="20"/>
          <w:szCs w:val="20"/>
          <w:color w:val="auto"/>
        </w:rPr>
      </w:pPr>
      <w:r>
        <w:rPr>
          <w:rFonts w:ascii="Arial" w:cs="Arial" w:eastAsia="Arial" w:hAnsi="Arial"/>
          <w:sz w:val="16"/>
          <w:szCs w:val="16"/>
          <w:color w:val="auto"/>
        </w:rPr>
        <w:t>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6" w:lineRule="exact"/>
        <w:rPr>
          <w:sz w:val="20"/>
          <w:szCs w:val="20"/>
          <w:color w:val="auto"/>
        </w:rPr>
      </w:pPr>
    </w:p>
    <w:p>
      <w:pPr>
        <w:ind w:left="500" w:firstLine="157"/>
        <w:spacing w:after="0" w:line="299" w:lineRule="auto"/>
        <w:tabs>
          <w:tab w:leader="none" w:pos="921"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Suspension. </w:t>
      </w:r>
      <w:r>
        <w:rPr>
          <w:rFonts w:ascii="Arial" w:cs="Arial" w:eastAsia="Arial" w:hAnsi="Arial"/>
          <w:sz w:val="15"/>
          <w:szCs w:val="15"/>
          <w:color w:val="auto"/>
        </w:rPr>
        <w:t>Any Optionee who is also a participant in the Retirement at Micron ("RAM") Section 401(k) Plan and who requests and receives a hardship</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49" w:lineRule="exact"/>
        <w:rPr>
          <w:rFonts w:ascii="Arial" w:cs="Arial" w:eastAsia="Arial" w:hAnsi="Arial"/>
          <w:sz w:val="15"/>
          <w:szCs w:val="15"/>
          <w:color w:val="auto"/>
        </w:rPr>
      </w:pPr>
    </w:p>
    <w:p>
      <w:pPr>
        <w:ind w:right="60" w:firstLine="161"/>
        <w:spacing w:after="0" w:line="299" w:lineRule="auto"/>
        <w:tabs>
          <w:tab w:leader="none" w:pos="438"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 xml:space="preserve">Non-Transferability of Options. </w:t>
      </w:r>
      <w:r>
        <w:rPr>
          <w:rFonts w:ascii="Arial" w:cs="Arial" w:eastAsia="Arial" w:hAnsi="Arial"/>
          <w:sz w:val="15"/>
          <w:szCs w:val="15"/>
          <w:color w:val="auto"/>
        </w:rPr>
        <w:t>Unless determined otherwise by the Administrator, an Option may not be sold, pledged, assigned, hypothecated, transferred, or disposed</w:t>
      </w:r>
      <w:r>
        <w:rPr>
          <w:rFonts w:ascii="Arial" w:cs="Arial" w:eastAsia="Arial" w:hAnsi="Arial"/>
          <w:sz w:val="15"/>
          <w:szCs w:val="15"/>
          <w:i w:val="1"/>
          <w:iCs w:val="1"/>
          <w:color w:val="auto"/>
        </w:rPr>
        <w:t xml:space="preserve"> </w:t>
      </w:r>
      <w:r>
        <w:rPr>
          <w:rFonts w:ascii="Arial" w:cs="Arial" w:eastAsia="Arial" w:hAnsi="Arial"/>
          <w:sz w:val="15"/>
          <w:szCs w:val="15"/>
          <w:color w:val="auto"/>
        </w:rPr>
        <w:t>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49" w:lineRule="exact"/>
        <w:rPr>
          <w:rFonts w:ascii="Arial" w:cs="Arial" w:eastAsia="Arial" w:hAnsi="Arial"/>
          <w:sz w:val="15"/>
          <w:szCs w:val="15"/>
          <w:color w:val="auto"/>
        </w:rPr>
      </w:pPr>
    </w:p>
    <w:p>
      <w:pPr>
        <w:ind w:left="440" w:hanging="279"/>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Adjustments Upon Changes in Capitalization, Dissolution, Corporate Transaction, or Change in Control.</w:t>
      </w:r>
    </w:p>
    <w:p>
      <w:pPr>
        <w:spacing w:after="0" w:line="213" w:lineRule="exact"/>
        <w:rPr>
          <w:rFonts w:ascii="Arial" w:cs="Arial" w:eastAsia="Arial" w:hAnsi="Arial"/>
          <w:sz w:val="16"/>
          <w:szCs w:val="16"/>
          <w:color w:val="auto"/>
        </w:rPr>
      </w:pPr>
    </w:p>
    <w:p>
      <w:pPr>
        <w:ind w:left="500" w:firstLine="157"/>
        <w:spacing w:after="0" w:line="303" w:lineRule="auto"/>
        <w:tabs>
          <w:tab w:leader="none" w:pos="921" w:val="left"/>
        </w:tabs>
        <w:numPr>
          <w:ilvl w:val="1"/>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Changes in Capitalization. </w:t>
      </w:r>
      <w:r>
        <w:rPr>
          <w:rFonts w:ascii="Arial" w:cs="Arial" w:eastAsia="Arial" w:hAnsi="Arial"/>
          <w:sz w:val="14"/>
          <w:szCs w:val="14"/>
          <w:color w:val="auto"/>
        </w:rPr>
        <w:t>In the event of a corporate transaction involving the Company (including, without limitation, any stock dividend,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in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51" w:lineRule="exact"/>
        <w:rPr>
          <w:rFonts w:ascii="Arial" w:cs="Arial" w:eastAsia="Arial" w:hAnsi="Arial"/>
          <w:sz w:val="14"/>
          <w:szCs w:val="14"/>
          <w:color w:val="auto"/>
        </w:rPr>
      </w:pPr>
    </w:p>
    <w:p>
      <w:pPr>
        <w:ind w:left="500" w:firstLine="157"/>
        <w:spacing w:after="0" w:line="266" w:lineRule="auto"/>
        <w:tabs>
          <w:tab w:leader="none" w:pos="93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To the extent not previously exercised, Options will terminate immediately prior to the consummation of any proposed dissolution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71" w:lineRule="exact"/>
        <w:rPr>
          <w:rFonts w:ascii="Arial" w:cs="Arial" w:eastAsia="Arial" w:hAnsi="Arial"/>
          <w:sz w:val="16"/>
          <w:szCs w:val="16"/>
          <w:color w:val="auto"/>
        </w:rPr>
      </w:pPr>
    </w:p>
    <w:p>
      <w:pPr>
        <w:ind w:left="500" w:right="240" w:firstLine="157"/>
        <w:spacing w:after="0" w:line="266" w:lineRule="auto"/>
        <w:tabs>
          <w:tab w:leader="none" w:pos="921"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In the event of a reorganization, merger, consolidation, statutory share exchange or similar form of corporate transaction involving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80"/>
        <w:spacing w:after="0" w:line="264" w:lineRule="auto"/>
        <w:rPr>
          <w:sz w:val="20"/>
          <w:szCs w:val="20"/>
          <w:color w:val="auto"/>
        </w:rPr>
      </w:pPr>
      <w:r>
        <w:rPr>
          <w:rFonts w:ascii="Arial" w:cs="Arial" w:eastAsia="Arial" w:hAnsi="Arial"/>
          <w:sz w:val="16"/>
          <w:szCs w:val="16"/>
          <w:color w:val="auto"/>
        </w:rPr>
        <w:t>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76" w:lineRule="exact"/>
        <w:rPr>
          <w:sz w:val="20"/>
          <w:szCs w:val="20"/>
          <w:color w:val="auto"/>
        </w:rPr>
      </w:pPr>
    </w:p>
    <w:p>
      <w:pPr>
        <w:ind w:left="500" w:right="100" w:firstLine="157"/>
        <w:spacing w:after="0" w:line="273" w:lineRule="auto"/>
        <w:tabs>
          <w:tab w:leader="none" w:pos="93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the unexercised portion of each Option then outstanding shall become wholly vested and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To the extent that this provision causes Incentive Stock Options to exceed the dollar limitation set forth in Section 6(a), the excess Options shall be deemed to be Nonstatutory Stock Options.</w:t>
      </w:r>
    </w:p>
    <w:p>
      <w:pPr>
        <w:spacing w:after="0" w:line="166" w:lineRule="exact"/>
        <w:rPr>
          <w:rFonts w:ascii="Arial" w:cs="Arial" w:eastAsia="Arial" w:hAnsi="Arial"/>
          <w:sz w:val="16"/>
          <w:szCs w:val="16"/>
          <w:color w:val="auto"/>
        </w:rPr>
      </w:pPr>
    </w:p>
    <w:p>
      <w:pPr>
        <w:ind w:right="20" w:firstLine="161"/>
        <w:spacing w:after="0" w:line="322" w:lineRule="auto"/>
        <w:tabs>
          <w:tab w:leader="none" w:pos="444"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Date of Grant. </w:t>
      </w:r>
      <w:r>
        <w:rPr>
          <w:rFonts w:ascii="Arial" w:cs="Arial" w:eastAsia="Arial" w:hAnsi="Arial"/>
          <w:sz w:val="15"/>
          <w:szCs w:val="15"/>
          <w:color w:val="auto"/>
        </w:rPr>
        <w:t>The date of grant of an Option shall be, for all purposes, the date on which the Administrator makes the determination granting such Option, or such other</w:t>
      </w:r>
      <w:r>
        <w:rPr>
          <w:rFonts w:ascii="Arial" w:cs="Arial" w:eastAsia="Arial" w:hAnsi="Arial"/>
          <w:sz w:val="15"/>
          <w:szCs w:val="15"/>
          <w:i w:val="1"/>
          <w:iCs w:val="1"/>
          <w:color w:val="auto"/>
        </w:rPr>
        <w:t xml:space="preserve"> </w:t>
      </w:r>
      <w:r>
        <w:rPr>
          <w:rFonts w:ascii="Arial" w:cs="Arial" w:eastAsia="Arial" w:hAnsi="Arial"/>
          <w:sz w:val="15"/>
          <w:szCs w:val="15"/>
          <w:color w:val="auto"/>
        </w:rPr>
        <w:t>later date as is determined by the Administrator. Notice of the determination shall be provided to each Optionee within a reasonable time after the date of such grant.</w:t>
      </w:r>
    </w:p>
    <w:p>
      <w:pPr>
        <w:spacing w:after="0" w:line="132" w:lineRule="exact"/>
        <w:rPr>
          <w:rFonts w:ascii="Arial" w:cs="Arial" w:eastAsia="Arial" w:hAnsi="Arial"/>
          <w:sz w:val="15"/>
          <w:szCs w:val="15"/>
          <w:color w:val="auto"/>
        </w:rPr>
      </w:pPr>
    </w:p>
    <w:p>
      <w:pPr>
        <w:ind w:left="440" w:hanging="279"/>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Amendment and Termination of the Plan.</w:t>
      </w:r>
    </w:p>
    <w:p>
      <w:pPr>
        <w:spacing w:after="0" w:line="213" w:lineRule="exact"/>
        <w:rPr>
          <w:rFonts w:ascii="Arial" w:cs="Arial" w:eastAsia="Arial" w:hAnsi="Arial"/>
          <w:sz w:val="16"/>
          <w:szCs w:val="16"/>
          <w:color w:val="auto"/>
        </w:rPr>
      </w:pPr>
    </w:p>
    <w:p>
      <w:pPr>
        <w:ind w:left="500" w:right="40" w:firstLine="157"/>
        <w:spacing w:after="0" w:line="273" w:lineRule="auto"/>
        <w:tabs>
          <w:tab w:leader="none" w:pos="918"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may at any time amend, alter, suspend, or terminate the Plan without shareholder approval; provided, however,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may condition any amendment or modification on the approval of shareholders of the Company if such approval is necessary or deemed advisable with respect to tax, securities or other applicable laws, policies or regulations.</w:t>
      </w:r>
    </w:p>
    <w:p>
      <w:pPr>
        <w:spacing w:after="0" w:line="166" w:lineRule="exact"/>
        <w:rPr>
          <w:rFonts w:ascii="Arial" w:cs="Arial" w:eastAsia="Arial" w:hAnsi="Arial"/>
          <w:sz w:val="16"/>
          <w:szCs w:val="16"/>
          <w:color w:val="auto"/>
        </w:rPr>
      </w:pPr>
    </w:p>
    <w:p>
      <w:pPr>
        <w:ind w:left="500" w:right="180" w:firstLine="157"/>
        <w:spacing w:after="0" w:line="322" w:lineRule="auto"/>
        <w:tabs>
          <w:tab w:leader="none" w:pos="930" w:val="left"/>
        </w:tabs>
        <w:numPr>
          <w:ilvl w:val="1"/>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Effect of Amendment or Termination. </w:t>
      </w:r>
      <w:r>
        <w:rPr>
          <w:rFonts w:ascii="Arial" w:cs="Arial" w:eastAsia="Arial" w:hAnsi="Arial"/>
          <w:sz w:val="15"/>
          <w:szCs w:val="15"/>
          <w:color w:val="auto"/>
        </w:rPr>
        <w:t>No amendment, alteration, suspension, or termination of the Plan shall impair the rights of any Optionee, unless mutually</w:t>
      </w:r>
      <w:r>
        <w:rPr>
          <w:rFonts w:ascii="Arial" w:cs="Arial" w:eastAsia="Arial" w:hAnsi="Arial"/>
          <w:sz w:val="15"/>
          <w:szCs w:val="15"/>
          <w:i w:val="1"/>
          <w:iCs w:val="1"/>
          <w:color w:val="auto"/>
        </w:rPr>
        <w:t xml:space="preserve"> </w:t>
      </w:r>
      <w:r>
        <w:rPr>
          <w:rFonts w:ascii="Arial" w:cs="Arial" w:eastAsia="Arial" w:hAnsi="Arial"/>
          <w:sz w:val="15"/>
          <w:szCs w:val="15"/>
          <w:color w:val="auto"/>
        </w:rPr>
        <w:t>agreed otherwise between the Optionee and the Administrator, which agreement must be in writing and signed by the Optionee and the Company.</w:t>
      </w:r>
    </w:p>
    <w:p>
      <w:pPr>
        <w:spacing w:after="0" w:line="132" w:lineRule="exact"/>
        <w:rPr>
          <w:rFonts w:ascii="Arial" w:cs="Arial" w:eastAsia="Arial" w:hAnsi="Arial"/>
          <w:sz w:val="15"/>
          <w:szCs w:val="15"/>
          <w:color w:val="auto"/>
        </w:rPr>
      </w:pPr>
    </w:p>
    <w:p>
      <w:pPr>
        <w:ind w:left="440" w:hanging="279"/>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Conditions Upon Issuance of Shares.</w:t>
      </w:r>
    </w:p>
    <w:p>
      <w:pPr>
        <w:spacing w:after="0" w:line="213" w:lineRule="exact"/>
        <w:rPr>
          <w:rFonts w:ascii="Arial" w:cs="Arial" w:eastAsia="Arial" w:hAnsi="Arial"/>
          <w:sz w:val="16"/>
          <w:szCs w:val="16"/>
          <w:color w:val="auto"/>
        </w:rPr>
      </w:pPr>
    </w:p>
    <w:p>
      <w:pPr>
        <w:ind w:left="500" w:right="320" w:firstLine="157"/>
        <w:spacing w:after="0" w:line="291" w:lineRule="auto"/>
        <w:tabs>
          <w:tab w:leader="none" w:pos="921" w:val="left"/>
        </w:tabs>
        <w:numPr>
          <w:ilvl w:val="1"/>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Legal Compliance. </w:t>
      </w:r>
      <w:r>
        <w:rPr>
          <w:rFonts w:ascii="Arial" w:cs="Arial" w:eastAsia="Arial" w:hAnsi="Arial"/>
          <w:sz w:val="15"/>
          <w:szCs w:val="15"/>
          <w:color w:val="auto"/>
        </w:rPr>
        <w:t>Shares shall not be issued pursuant to the exercise of an Option unless the exercise of such Option and the issuance and delivery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6" w:lineRule="exact"/>
        <w:rPr>
          <w:rFonts w:ascii="Arial" w:cs="Arial" w:eastAsia="Arial" w:hAnsi="Arial"/>
          <w:sz w:val="15"/>
          <w:szCs w:val="15"/>
          <w:color w:val="auto"/>
        </w:rPr>
      </w:pPr>
    </w:p>
    <w:p>
      <w:pPr>
        <w:jc w:val="both"/>
        <w:ind w:left="500" w:right="40" w:firstLine="157"/>
        <w:spacing w:after="0" w:line="273" w:lineRule="auto"/>
        <w:tabs>
          <w:tab w:leader="none" w:pos="93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Investment Representations. </w:t>
      </w:r>
      <w:r>
        <w:rPr>
          <w:rFonts w:ascii="Arial" w:cs="Arial" w:eastAsia="Arial" w:hAnsi="Arial"/>
          <w:sz w:val="16"/>
          <w:szCs w:val="16"/>
          <w:color w:val="auto"/>
        </w:rPr>
        <w:t>As a condition to the exercise of an Option, the Company may require the person exercising such Option to represent and warrant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any such exercise that the Shares are being purchased only for investment and without any present intention to sell or distribute such Shares if, in the opinion of counsel for the Company, such a representation is required.</w:t>
      </w:r>
    </w:p>
    <w:p>
      <w:pPr>
        <w:spacing w:after="0" w:line="166" w:lineRule="exact"/>
        <w:rPr>
          <w:rFonts w:ascii="Arial" w:cs="Arial" w:eastAsia="Arial" w:hAnsi="Arial"/>
          <w:sz w:val="16"/>
          <w:szCs w:val="16"/>
          <w:color w:val="auto"/>
        </w:rPr>
      </w:pPr>
    </w:p>
    <w:p>
      <w:pPr>
        <w:ind w:left="440" w:hanging="279"/>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Liability of Company.</w:t>
      </w:r>
    </w:p>
    <w:p>
      <w:pPr>
        <w:sectPr>
          <w:pgSz w:w="11900" w:h="16846" w:orient="portrait"/>
          <w:cols w:equalWidth="0" w:num="1">
            <w:col w:w="11420"/>
          </w:cols>
          <w:pgMar w:left="240" w:top="131" w:right="239" w:bottom="0" w:gutter="0" w:footer="0" w:header="0"/>
        </w:sectPr>
      </w:pPr>
    </w:p>
    <w:bookmarkStart w:id="18" w:name="page19"/>
    <w:bookmarkEnd w:id="18"/>
    <w:p>
      <w:pPr>
        <w:ind w:left="500" w:firstLine="157"/>
        <w:spacing w:after="0" w:line="273" w:lineRule="auto"/>
        <w:tabs>
          <w:tab w:leader="none" w:pos="92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Obtain Authority. </w:t>
      </w:r>
      <w:r>
        <w:rPr>
          <w:rFonts w:ascii="Arial" w:cs="Arial" w:eastAsia="Arial" w:hAnsi="Arial"/>
          <w:sz w:val="16"/>
          <w:szCs w:val="16"/>
          <w:color w:val="auto"/>
        </w:rPr>
        <w:t>The inability of the Company to obtain authority from any regulatory body having jurisdiction, which authority is deemed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40" w:firstLine="157"/>
        <w:spacing w:after="0" w:line="299" w:lineRule="auto"/>
        <w:tabs>
          <w:tab w:leader="none" w:pos="930" w:val="left"/>
        </w:tabs>
        <w:numPr>
          <w:ilvl w:val="1"/>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Grants Exceeding Allotted Shares. </w:t>
      </w:r>
      <w:r>
        <w:rPr>
          <w:rFonts w:ascii="Arial" w:cs="Arial" w:eastAsia="Arial" w:hAnsi="Arial"/>
          <w:sz w:val="15"/>
          <w:szCs w:val="15"/>
          <w:color w:val="auto"/>
        </w:rPr>
        <w:t>If the Optioned Stock covered by an Option exceeds, as of the date of grant, the number of Shares which may be issued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49" w:lineRule="exact"/>
        <w:rPr>
          <w:rFonts w:ascii="Arial" w:cs="Arial" w:eastAsia="Arial" w:hAnsi="Arial"/>
          <w:sz w:val="15"/>
          <w:szCs w:val="15"/>
          <w:color w:val="auto"/>
        </w:rPr>
      </w:pPr>
    </w:p>
    <w:p>
      <w:pPr>
        <w:ind w:right="80" w:firstLine="161"/>
        <w:spacing w:after="0" w:line="287" w:lineRule="auto"/>
        <w:tabs>
          <w:tab w:leader="none" w:pos="44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Reservation of Shares. </w:t>
      </w:r>
      <w:r>
        <w:rPr>
          <w:rFonts w:ascii="Arial" w:cs="Arial" w:eastAsia="Arial" w:hAnsi="Arial"/>
          <w:sz w:val="16"/>
          <w:szCs w:val="16"/>
          <w:color w:val="auto"/>
        </w:rPr>
        <w:t>The Company, during the term of this Plan, will at all times reserve and keep available such number of Shares as shall be sufficient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Plan.</w:t>
      </w:r>
    </w:p>
    <w:p>
      <w:pPr>
        <w:spacing w:after="0" w:line="155" w:lineRule="exact"/>
        <w:rPr>
          <w:rFonts w:ascii="Arial" w:cs="Arial" w:eastAsia="Arial" w:hAnsi="Arial"/>
          <w:sz w:val="16"/>
          <w:szCs w:val="16"/>
          <w:color w:val="auto"/>
        </w:rPr>
      </w:pPr>
    </w:p>
    <w:p>
      <w:pPr>
        <w:ind w:right="160" w:firstLine="161"/>
        <w:spacing w:after="0" w:line="322" w:lineRule="auto"/>
        <w:tabs>
          <w:tab w:leader="none" w:pos="444"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Shareholder Approval. </w:t>
      </w:r>
      <w:r>
        <w:rPr>
          <w:rFonts w:ascii="Arial" w:cs="Arial" w:eastAsia="Arial" w:hAnsi="Arial"/>
          <w:sz w:val="15"/>
          <w:szCs w:val="15"/>
          <w:color w:val="auto"/>
        </w:rPr>
        <w:t>Continuance of the Plan shall be subject to approval by the shareholders of the Company within twelve (12) months before or after the date the</w:t>
      </w:r>
      <w:r>
        <w:rPr>
          <w:rFonts w:ascii="Arial" w:cs="Arial" w:eastAsia="Arial" w:hAnsi="Arial"/>
          <w:sz w:val="15"/>
          <w:szCs w:val="15"/>
          <w:i w:val="1"/>
          <w:iCs w:val="1"/>
          <w:color w:val="auto"/>
        </w:rPr>
        <w:t xml:space="preserve"> </w:t>
      </w:r>
      <w:r>
        <w:rPr>
          <w:rFonts w:ascii="Arial" w:cs="Arial" w:eastAsia="Arial" w:hAnsi="Arial"/>
          <w:sz w:val="15"/>
          <w:szCs w:val="15"/>
          <w:color w:val="auto"/>
        </w:rPr>
        <w:t>Plan is adopted. Such shareholder approval shall be obtained in the manner and to the degree required under applicable federal and Delaware law.</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Directions to the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2001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5082540" cy="3813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82540" cy="381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Micron's Headquarters</w:t>
      </w:r>
    </w:p>
    <w:p>
      <w:pPr>
        <w:jc w:val="center"/>
        <w:ind w:right="-39"/>
        <w:spacing w:after="0" w:line="233" w:lineRule="auto"/>
        <w:rPr>
          <w:sz w:val="20"/>
          <w:szCs w:val="20"/>
          <w:color w:val="auto"/>
        </w:rPr>
      </w:pPr>
      <w:r>
        <w:rPr>
          <w:rFonts w:ascii="Arial" w:cs="Arial" w:eastAsia="Arial" w:hAnsi="Arial"/>
          <w:sz w:val="30"/>
          <w:szCs w:val="30"/>
          <w:b w:val="1"/>
          <w:bCs w:val="1"/>
          <w:color w:val="auto"/>
        </w:rPr>
        <w:t>8000 S. Federal Way, Boise, ID</w:t>
      </w:r>
    </w:p>
    <w:p>
      <w:pPr>
        <w:jc w:val="center"/>
        <w:ind w:right="-39"/>
        <w:spacing w:after="0"/>
        <w:rPr>
          <w:sz w:val="20"/>
          <w:szCs w:val="20"/>
          <w:color w:val="auto"/>
        </w:rPr>
      </w:pPr>
      <w:r>
        <w:rPr>
          <w:rFonts w:ascii="Arial" w:cs="Arial" w:eastAsia="Arial" w:hAnsi="Arial"/>
          <w:sz w:val="30"/>
          <w:szCs w:val="30"/>
          <w:b w:val="1"/>
          <w:bCs w:val="1"/>
          <w:color w:val="auto"/>
        </w:rPr>
        <w:t>Tuesday, November 27, 2001, 9:00 a.m.</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Security will direct you to special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133350</wp:posOffset>
            </wp:positionV>
            <wp:extent cx="1024255"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42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2001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NOVEMBER 27, 2001</w:t>
      </w:r>
    </w:p>
    <w:p>
      <w:pPr>
        <w:spacing w:after="0" w:line="187" w:lineRule="exact"/>
        <w:rPr>
          <w:sz w:val="20"/>
          <w:szCs w:val="20"/>
          <w:color w:val="auto"/>
        </w:rPr>
      </w:pPr>
    </w:p>
    <w:p>
      <w:pPr>
        <w:ind w:firstLine="60"/>
        <w:spacing w:after="0" w:line="245"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2001 Annual Meeting of Shareholders and Proxy Statement, each dated October 24, 2001, and hereby appoints Steven R. Appleton and W. G. Stover, Jr., and each of them, proxies and attorneys-in-fact, with full power to each of substitution, on behalf and in the name of the undersigned, to represent the undersigned at the 2001 Annual Meeting of Shareholders of Micron Technology, Inc., to be held November 27, 2001, at 9:00 a.m., Mountain Standard Time, at the </w:t>
      </w:r>
      <w:r>
        <w:rPr>
          <w:rFonts w:ascii="Arial" w:cs="Arial" w:eastAsia="Arial" w:hAnsi="Arial"/>
          <w:sz w:val="12"/>
          <w:szCs w:val="12"/>
          <w:b w:val="1"/>
          <w:bCs w:val="1"/>
          <w:color w:val="auto"/>
        </w:rPr>
        <w:t>Company's headquarters located at 8000 S. Federal Way, Boise, Idaho 83716-9632</w:t>
      </w:r>
      <w:r>
        <w:rPr>
          <w:rFonts w:ascii="Arial" w:cs="Arial" w:eastAsia="Arial" w:hAnsi="Arial"/>
          <w:sz w:val="12"/>
          <w:szCs w:val="12"/>
          <w:color w:val="auto"/>
        </w:rPr>
        <w:t>, and at any adjournment or adjournments thereof, and to vote (including cumulatively, if required) all shares of Common Stock which the undersigned would be entitled to vote if then and there personally present, on the</w:t>
      </w:r>
      <w:r>
        <w:rPr>
          <w:rFonts w:ascii="Arial" w:cs="Arial" w:eastAsia="Arial" w:hAnsi="Arial"/>
          <w:sz w:val="12"/>
          <w:szCs w:val="12"/>
          <w:b w:val="1"/>
          <w:bCs w:val="1"/>
          <w:color w:val="auto"/>
        </w:rPr>
        <w:t xml:space="preserve"> </w:t>
      </w:r>
      <w:r>
        <w:rPr>
          <w:rFonts w:ascii="Arial" w:cs="Arial" w:eastAsia="Arial" w:hAnsi="Arial"/>
          <w:sz w:val="12"/>
          <w:szCs w:val="12"/>
          <w:color w:val="auto"/>
        </w:rPr>
        <w:t>matters set forth below:</w:t>
      </w:r>
    </w:p>
    <w:p>
      <w:pPr>
        <w:sectPr>
          <w:pgSz w:w="11900" w:h="16838" w:orient="portrait"/>
          <w:cols w:equalWidth="0" w:num="1">
            <w:col w:w="11380"/>
          </w:cols>
          <w:pgMar w:left="240" w:top="131" w:right="279" w:bottom="0" w:gutter="0" w:footer="0" w:header="0"/>
        </w:sectPr>
      </w:pPr>
    </w:p>
    <w:p>
      <w:pPr>
        <w:spacing w:after="0" w:line="177" w:lineRule="exact"/>
        <w:rPr>
          <w:sz w:val="20"/>
          <w:szCs w:val="20"/>
          <w:color w:val="auto"/>
        </w:rPr>
      </w:pPr>
    </w:p>
    <w:p>
      <w:pPr>
        <w:spacing w:after="0"/>
        <w:tabs>
          <w:tab w:leader="none" w:pos="3880" w:val="left"/>
        </w:tabs>
        <w:rPr>
          <w:sz w:val="20"/>
          <w:szCs w:val="20"/>
          <w:color w:val="auto"/>
        </w:rPr>
      </w:pPr>
      <w:r>
        <w:rPr>
          <w:rFonts w:ascii="Arial" w:cs="Arial" w:eastAsia="Arial" w:hAnsi="Arial"/>
          <w:sz w:val="12"/>
          <w:szCs w:val="12"/>
          <w:color w:val="auto"/>
        </w:rPr>
        <w:t>1. ELECTION OF DIRECTORS</w:t>
      </w:r>
      <w:r>
        <w:rPr>
          <w:sz w:val="20"/>
          <w:szCs w:val="20"/>
          <w:color w:val="auto"/>
        </w:rPr>
        <w:tab/>
      </w:r>
      <w:r>
        <w:rPr>
          <w:rFonts w:ascii="Arial" w:cs="Arial" w:eastAsia="Arial" w:hAnsi="Arial"/>
          <w:sz w:val="11"/>
          <w:szCs w:val="11"/>
          <w:color w:val="auto"/>
        </w:rPr>
        <w:t>/ / FOR nominees listed below</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(except as indicated)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620"/>
        <w:spacing w:after="0" w:line="269" w:lineRule="auto"/>
        <w:tabs>
          <w:tab w:leader="none" w:pos="65" w:val="left"/>
        </w:tabs>
        <w:numPr>
          <w:ilvl w:val="0"/>
          <w:numId w:val="31"/>
        </w:numPr>
        <w:rPr>
          <w:rFonts w:ascii="Arial" w:cs="Arial" w:eastAsia="Arial" w:hAnsi="Arial"/>
          <w:sz w:val="12"/>
          <w:szCs w:val="12"/>
          <w:color w:val="auto"/>
        </w:rPr>
      </w:pPr>
      <w:r>
        <w:rPr>
          <w:rFonts w:ascii="Arial" w:cs="Arial" w:eastAsia="Arial" w:hAnsi="Arial"/>
          <w:sz w:val="12"/>
          <w:szCs w:val="12"/>
          <w:color w:val="auto"/>
        </w:rPr>
        <w:t>/ WITHHOLD authority to vote for all nominees listed below</w:t>
      </w:r>
    </w:p>
    <w:p>
      <w:pPr>
        <w:spacing w:after="0" w:line="158" w:lineRule="exact"/>
        <w:rPr>
          <w:sz w:val="20"/>
          <w:szCs w:val="20"/>
          <w:color w:val="auto"/>
        </w:rPr>
      </w:pPr>
    </w:p>
    <w:p>
      <w:pPr>
        <w:sectPr>
          <w:pgSz w:w="11900" w:h="16838" w:orient="portrait"/>
          <w:cols w:equalWidth="0" w:num="2">
            <w:col w:w="7060" w:space="720"/>
            <w:col w:w="3600"/>
          </w:cols>
          <w:pgMar w:left="240" w:top="131" w:right="279" w:bottom="0" w:gutter="0" w:footer="0" w:header="0"/>
          <w:type w:val="continuous"/>
        </w:sectPr>
      </w:pPr>
    </w:p>
    <w:p>
      <w:pPr>
        <w:ind w:left="60"/>
        <w:spacing w:after="0"/>
        <w:rPr>
          <w:sz w:val="20"/>
          <w:szCs w:val="20"/>
          <w:color w:val="auto"/>
        </w:rPr>
      </w:pPr>
      <w:r>
        <w:rPr>
          <w:rFonts w:ascii="Arial" w:cs="Arial" w:eastAsia="Arial" w:hAnsi="Arial"/>
          <w:sz w:val="11"/>
          <w:szCs w:val="11"/>
          <w:b w:val="1"/>
          <w:bCs w:val="1"/>
          <w:color w:val="auto"/>
        </w:rPr>
        <w:t>If you wish to withhold authority to vote for any individual nominee, strike a line through that nominee's name in the list below:</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Steven R. Appleton; James W. Bagley; Robert A. Lothrop; Thomas T. Nicholson; Don J. Simplot; Gordon C. Smith; William P. Weber</w:t>
      </w:r>
    </w:p>
    <w:p>
      <w:pPr>
        <w:sectPr>
          <w:pgSz w:w="11900" w:h="16838" w:orient="portrait"/>
          <w:cols w:equalWidth="0" w:num="1">
            <w:col w:w="11380"/>
          </w:cols>
          <w:pgMar w:left="240" w:top="131" w:right="27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2"/>
          <w:szCs w:val="12"/>
          <w:color w:val="auto"/>
        </w:rPr>
        <w:t>2. PROPOSAL BY THE COMPANY TO APPROVE THE 2001 STOCK OPTION PLAN</w:t>
      </w:r>
    </w:p>
    <w:p>
      <w:pPr>
        <w:spacing w:after="0" w:line="197" w:lineRule="exact"/>
        <w:rPr>
          <w:sz w:val="20"/>
          <w:szCs w:val="20"/>
          <w:color w:val="auto"/>
        </w:rPr>
      </w:pPr>
    </w:p>
    <w:p>
      <w:pPr>
        <w:ind w:left="4240"/>
        <w:spacing w:after="0"/>
        <w:tabs>
          <w:tab w:leader="none" w:pos="5220" w:val="left"/>
          <w:tab w:leader="none" w:pos="648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1"/>
          <w:szCs w:val="11"/>
          <w:color w:val="auto"/>
        </w:rPr>
        <w:t>/ / ABSTAIN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(continued from other side)</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3. PROPOSAL BY THE COMPANY TO RATIFY THE APPOINTMENT OF PRICEWATERHOUSECOOPERS LLP AS THE COMPANY'S INDEPENDENT ACCOUNTANTS FOR FISCAL 2002</w:t>
      </w:r>
    </w:p>
    <w:p>
      <w:pPr>
        <w:spacing w:after="0" w:line="197" w:lineRule="exact"/>
        <w:rPr>
          <w:sz w:val="20"/>
          <w:szCs w:val="20"/>
          <w:color w:val="auto"/>
        </w:rPr>
      </w:pPr>
    </w:p>
    <w:p>
      <w:pPr>
        <w:ind w:left="4240"/>
        <w:spacing w:after="0"/>
        <w:tabs>
          <w:tab w:leader="none" w:pos="5220" w:val="left"/>
          <w:tab w:leader="none" w:pos="648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1"/>
          <w:szCs w:val="11"/>
          <w:color w:val="auto"/>
        </w:rPr>
        <w:t>/ / ABSTAIN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4. PROPOSAL BY A SHAREHOLDER REGARDING THE NOMINATION OF CANDIDATES TO THE COMPANY'S BOARD OF DIRECTORS</w:t>
      </w:r>
    </w:p>
    <w:p>
      <w:pPr>
        <w:spacing w:after="0" w:line="197" w:lineRule="exact"/>
        <w:rPr>
          <w:sz w:val="20"/>
          <w:szCs w:val="20"/>
          <w:color w:val="auto"/>
        </w:rPr>
      </w:pPr>
    </w:p>
    <w:p>
      <w:pPr>
        <w:ind w:left="4240"/>
        <w:spacing w:after="0"/>
        <w:tabs>
          <w:tab w:leader="none" w:pos="5220" w:val="left"/>
          <w:tab w:leader="none" w:pos="648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1"/>
          <w:szCs w:val="11"/>
          <w:color w:val="auto"/>
        </w:rPr>
        <w:t>/ / ABSTAIN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and in their discretion, upon such other matter or matters which may properly come before the meeting or any adjournment or adjournments thereof.</w:t>
      </w:r>
    </w:p>
    <w:p>
      <w:pPr>
        <w:spacing w:after="0" w:line="193" w:lineRule="exact"/>
        <w:rPr>
          <w:sz w:val="20"/>
          <w:szCs w:val="20"/>
          <w:color w:val="auto"/>
        </w:rPr>
      </w:pPr>
    </w:p>
    <w:p>
      <w:pPr>
        <w:ind w:right="420" w:firstLine="60"/>
        <w:spacing w:after="0" w:line="257"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herein by the undersigned shareholder(s). </w:t>
      </w:r>
      <w:r>
        <w:rPr>
          <w:rFonts w:ascii="Arial" w:cs="Arial" w:eastAsia="Arial" w:hAnsi="Arial"/>
          <w:sz w:val="12"/>
          <w:szCs w:val="12"/>
          <w:b w:val="1"/>
          <w:bCs w:val="1"/>
          <w:color w:val="auto"/>
        </w:rPr>
        <w:t>If no direction is made, this proxy will be voted FOR items 1, 2 and 3 and</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AGAINST Item 4. </w:t>
      </w:r>
      <w:r>
        <w:rPr>
          <w:rFonts w:ascii="Arial" w:cs="Arial" w:eastAsia="Arial" w:hAnsi="Arial"/>
          <w:sz w:val="12"/>
          <w:szCs w:val="12"/>
          <w:color w:val="auto"/>
        </w:rPr>
        <w:t>If any other matters properly come before the meeting, or if cumulative voting is required, the persons named in this proxy will vote, in their discretion, provided that they will not vote in the election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for persons for whom authority to vote has been withheld.</w:t>
      </w: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-75565</wp:posOffset>
            </wp:positionV>
            <wp:extent cx="277876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78760" cy="2032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207010</wp:posOffset>
            </wp:positionV>
            <wp:extent cx="318833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318833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w:t>
      </w:r>
    </w:p>
    <w:p>
      <w:pPr>
        <w:spacing w:after="0" w:line="197" w:lineRule="exact"/>
        <w:rPr>
          <w:sz w:val="20"/>
          <w:szCs w:val="20"/>
          <w:color w:val="auto"/>
        </w:rPr>
      </w:pPr>
    </w:p>
    <w:p>
      <w:pPr>
        <w:ind w:right="20" w:firstLine="62"/>
        <w:spacing w:after="0" w:line="269" w:lineRule="auto"/>
        <w:rPr>
          <w:sz w:val="20"/>
          <w:szCs w:val="20"/>
          <w:color w:val="auto"/>
        </w:rPr>
      </w:pPr>
      <w:r>
        <w:rPr>
          <w:rFonts w:ascii="Arial" w:cs="Arial" w:eastAsia="Arial" w:hAnsi="Arial"/>
          <w:sz w:val="12"/>
          <w:szCs w:val="12"/>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6249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250825</wp:posOffset>
            </wp:positionV>
            <wp:extent cx="2301240" cy="6616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012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2001 ANNUAL MEETING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NOVEMBER 27, 2001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Company's Headquarters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8000 S. Federal Way,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Boise, Idaho 83716-9632</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Micron Technology, Inc.</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26249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w:t>
      </w:r>
    </w:p>
    <w:p>
      <w:pPr>
        <w:spacing w:after="0" w:line="211" w:lineRule="exact"/>
        <w:rPr>
          <w:sz w:val="20"/>
          <w:szCs w:val="20"/>
          <w:color w:val="auto"/>
        </w:rPr>
      </w:pPr>
    </w:p>
    <w:p>
      <w:pPr>
        <w:sectPr>
          <w:pgSz w:w="11900" w:h="16838" w:orient="portrait"/>
          <w:cols w:equalWidth="0" w:num="2">
            <w:col w:w="10300" w:space="720"/>
            <w:col w:w="400"/>
          </w:cols>
          <w:pgMar w:left="240" w:top="131" w:right="23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The undersigned shareholder(s) of Micron Technology, Inc., a Delaware corporation, hereby acknowledge(s) receipt of the Notice of 2001 Annual Meeting of Shareholders and Proxy Statement, each dated October 24, 2001, and hereby appoints Steven R. Appleton and W. G. Stover, Jr., and each of them, proxies and attorneys-in-fact, with full power to each of substitution, on behalf and in the name of the undersigned, to represent the undersigned at the 2001 Annual Meeting of Shareholders of Micron Technology, Inc., to be held November 27, 2001, at 9:00 a.m., Mountain Standard Time, at the </w:t>
      </w:r>
      <w:r>
        <w:rPr>
          <w:rFonts w:ascii="Arial" w:cs="Arial" w:eastAsia="Arial" w:hAnsi="Arial"/>
          <w:sz w:val="16"/>
          <w:szCs w:val="16"/>
          <w:b w:val="1"/>
          <w:bCs w:val="1"/>
          <w:color w:val="auto"/>
        </w:rPr>
        <w:t>Company's headquarters located at 8000 S. Federal Way, Boise, Idaho 83716-9632</w:t>
      </w:r>
      <w:r>
        <w:rPr>
          <w:rFonts w:ascii="Arial" w:cs="Arial" w:eastAsia="Arial" w:hAnsi="Arial"/>
          <w:sz w:val="16"/>
          <w:szCs w:val="16"/>
          <w:color w:val="auto"/>
        </w:rPr>
        <w:t>, and at any adjournment or adjournments thereof, and to vote (including cumulatively, if required) all shares of Common Stock which the undersigned would be entitled to vote if then and there personally present, on the matters set forth on the reverse.</w:t>
      </w:r>
    </w:p>
    <w:p>
      <w:pPr>
        <w:spacing w:after="0" w:line="172"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 xml:space="preserve">The shares represented by this proxy when properly executed will be voted in the manner directed herein by the undersigned shareholder(s). </w:t>
      </w:r>
      <w:r>
        <w:rPr>
          <w:rFonts w:ascii="Arial" w:cs="Arial" w:eastAsia="Arial" w:hAnsi="Arial"/>
          <w:sz w:val="15"/>
          <w:szCs w:val="15"/>
          <w:b w:val="1"/>
          <w:bCs w:val="1"/>
          <w:color w:val="auto"/>
        </w:rPr>
        <w:t>If no direction is made, this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will be voted FOR items 1, 2 and 3 and AGAINST Item 4. </w:t>
      </w:r>
      <w:r>
        <w:rPr>
          <w:rFonts w:ascii="Arial" w:cs="Arial" w:eastAsia="Arial" w:hAnsi="Arial"/>
          <w:sz w:val="15"/>
          <w:szCs w:val="15"/>
          <w:color w:val="auto"/>
        </w:rPr>
        <w:t>If any other matters properly come before the meeting, or if cumulative voting is required, the persons named in</w:t>
      </w:r>
      <w:r>
        <w:rPr>
          <w:rFonts w:ascii="Arial" w:cs="Arial" w:eastAsia="Arial" w:hAnsi="Arial"/>
          <w:sz w:val="15"/>
          <w:szCs w:val="15"/>
          <w:b w:val="1"/>
          <w:bCs w:val="1"/>
          <w:color w:val="auto"/>
        </w:rPr>
        <w:t xml:space="preserve"> </w:t>
      </w:r>
      <w:r>
        <w:rPr>
          <w:rFonts w:ascii="Arial" w:cs="Arial" w:eastAsia="Arial" w:hAnsi="Arial"/>
          <w:sz w:val="15"/>
          <w:szCs w:val="15"/>
          <w:color w:val="auto"/>
        </w:rPr>
        <w:t>this proxy will vote, in their discretion, provided that they will not vote in the election of directors for persons for whom authority to vote has been withheld.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280670</wp:posOffset>
            </wp:positionV>
            <wp:extent cx="174625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COMPANY #</w:t>
      </w:r>
    </w:p>
    <w:p>
      <w:pPr>
        <w:spacing w:after="0" w:line="26"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71120</wp:posOffset>
            </wp:positionV>
            <wp:extent cx="174625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0" w:name="page21"/>
    <w:bookmarkEnd w:id="20"/>
    <w:p>
      <w:pPr>
        <w:spacing w:after="0" w:line="194" w:lineRule="auto"/>
        <w:framePr w:w="1020" w:h="177" w:wrap="auto" w:vAnchor="page" w:hAnchor="page" w:x="200" w:y="9643"/>
        <w:rPr>
          <w:rFonts w:ascii="Arial" w:cs="Arial" w:eastAsia="Arial" w:hAnsi="Arial"/>
          <w:sz w:val="19"/>
          <w:szCs w:val="19"/>
          <w:color w:val="auto"/>
        </w:rPr>
      </w:pPr>
      <w:r>
        <w:rPr>
          <w:rFonts w:ascii="Arial" w:cs="Arial" w:eastAsia="Arial" w:hAnsi="Arial"/>
          <w:sz w:val="19"/>
          <w:szCs w:val="19"/>
          <w:color w:val="auto"/>
        </w:rPr>
        <w:t>QuickLinks</w:t>
      </w:r>
    </w:p>
    <w:p>
      <w:pPr>
        <w:spacing w:after="0" w:line="214" w:lineRule="auto"/>
        <w:framePr w:w="4520" w:h="144" w:wrap="auto" w:vAnchor="page" w:hAnchor="page" w:x="200" w:y="10073"/>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Notice of 2001 Annual Meeting of Shareholders November 27, 2001</w:t>
        </w:r>
      </w:hyperlink>
    </w:p>
    <w:p>
      <w:pPr>
        <w:spacing w:after="0" w:line="200" w:lineRule="auto"/>
        <w:framePr w:w="5440" w:h="144" w:wrap="auto" w:vAnchor="page" w:hAnchor="page" w:x="200" w:y="10272"/>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YOUR VOTE IS IMPORTANT. PLEASE SUBMIT YOUR PROXY PROMPTLY.</w:t>
        </w:r>
      </w:hyperlink>
    </w:p>
    <w:p>
      <w:pPr>
        <w:spacing w:after="0" w:line="200" w:lineRule="auto"/>
        <w:framePr w:w="6340" w:h="144" w:wrap="auto" w:vAnchor="page" w:hAnchor="page" w:x="200" w:y="1047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PROXY STATEMENT 2001 ANNUAL MEETING OF SHAREHOLDERS November 27, 2001</w:t>
        </w:r>
      </w:hyperlink>
    </w:p>
    <w:p>
      <w:pPr>
        <w:spacing w:after="0" w:line="235" w:lineRule="auto"/>
        <w:framePr w:w="4460" w:h="541" w:wrap="auto" w:vAnchor="page" w:hAnchor="page" w:x="200" w:y="10669"/>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INFORMATION CONCERNING SOLICITATION AND VOTING</w:t>
        </w:r>
      </w:hyperlink>
      <w:r>
        <w:rPr>
          <w:rFonts w:ascii="Arial" w:cs="Arial" w:eastAsia="Arial" w:hAnsi="Arial"/>
          <w:sz w:val="16"/>
          <w:szCs w:val="16"/>
          <w:u w:val="single" w:color="auto"/>
          <w:color w:val="0000EE"/>
        </w:rPr>
        <w:t xml:space="preserve"> </w:t>
      </w:r>
      <w:hyperlink w:anchor="page3">
        <w:r>
          <w:rPr>
            <w:rFonts w:ascii="Arial" w:cs="Arial" w:eastAsia="Arial" w:hAnsi="Arial"/>
            <w:sz w:val="16"/>
            <w:szCs w:val="16"/>
            <w:u w:val="single" w:color="auto"/>
            <w:color w:val="0000EE"/>
          </w:rPr>
          <w:t>VOTING SECURITIES AND PRINCIPAL HOLDERS</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BUSINESS TO BE TRANSACTED</w:t>
        </w:r>
      </w:hyperlink>
    </w:p>
    <w:p>
      <w:pPr>
        <w:spacing w:after="0" w:line="223" w:lineRule="auto"/>
        <w:framePr w:w="4640" w:h="342" w:wrap="auto" w:vAnchor="page" w:hAnchor="page" w:x="200" w:y="11264"/>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COMPENSATION OF DIRECTORS AND EXECUTIVE OFFICERS</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SUMMARY COMPENSATION TABLE</w:t>
        </w:r>
      </w:hyperlink>
    </w:p>
    <w:p>
      <w:pPr>
        <w:spacing w:after="0" w:line="200" w:lineRule="auto"/>
        <w:framePr w:w="3080" w:h="144" w:wrap="auto" w:vAnchor="page" w:hAnchor="page" w:x="200" w:y="11661"/>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OPTION GRANTS IN LAST FISCAL YEAR</w:t>
        </w:r>
      </w:hyperlink>
    </w:p>
    <w:p>
      <w:pPr>
        <w:spacing w:after="0" w:line="223" w:lineRule="auto"/>
        <w:framePr w:w="7560" w:h="342" w:wrap="auto" w:vAnchor="page" w:hAnchor="page" w:x="200" w:y="1186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AGGREGATED OPTION EXERCISES IN LAST FISCAL YEAR AND FISCAL YEAR-END OPTION VALUES</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REPORT OF THE AUDIT COMMITTEE OF THE BOARD OF DIRECTORS</w:t>
        </w:r>
      </w:hyperlink>
    </w:p>
    <w:p>
      <w:pPr>
        <w:spacing w:after="0" w:line="223" w:lineRule="auto"/>
        <w:framePr w:w="9180" w:h="342" w:wrap="auto" w:vAnchor="page" w:hAnchor="page" w:x="200" w:y="12257"/>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REPORT OF THE COMPENSATION COMMITTEE OF THE BOARD OF DIRECTORS REGARDING EXECUTIVE COMPENSATION</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PERFORMANCE GRAPH</w:t>
        </w:r>
      </w:hyperlink>
    </w:p>
    <w:p>
      <w:pPr>
        <w:spacing w:after="0" w:line="223" w:lineRule="auto"/>
        <w:framePr w:w="11020" w:h="342" w:wrap="auto" w:vAnchor="page" w:hAnchor="page" w:x="200" w:y="12654"/>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COMPARISON OF 5 YEAR CUMULATIVE TOTAL RETURN* AMONG MICRON TECHNOLOGY, INC., THE S&amp;P 500 INDEX AND THE S&amp;P ELECTRONICS</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(SEMICONDUCTORS) INDEX</w:t>
        </w:r>
      </w:hyperlink>
    </w:p>
    <w:p>
      <w:pPr>
        <w:spacing w:after="0" w:line="200" w:lineRule="auto"/>
        <w:framePr w:w="5640" w:h="144" w:wrap="auto" w:vAnchor="page" w:hAnchor="page" w:x="200" w:y="13051"/>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MICRON TECHNOLOGY, INC. AUDIT COMMITTEE CHARTER March 29, 2000</w:t>
        </w:r>
      </w:hyperlink>
    </w:p>
    <w:p>
      <w:pPr>
        <w:spacing w:after="0" w:line="200" w:lineRule="auto"/>
        <w:framePr w:w="4260" w:h="144" w:wrap="auto" w:vAnchor="page" w:hAnchor="page" w:x="200" w:y="1325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MICRON TECHNOLOGY, INC. 2001 STOCK OPTION PLAN</w:t>
        </w:r>
      </w:hyperlink>
    </w:p>
    <w:p>
      <w:pPr>
        <w:ind w:left="1"/>
        <w:spacing w:after="0"/>
        <w:rPr>
          <w:sz w:val="20"/>
          <w:szCs w:val="20"/>
          <w:color w:val="auto"/>
        </w:rPr>
      </w:pPr>
      <w:r>
        <w:rPr>
          <w:rFonts w:ascii="Arial" w:cs="Arial" w:eastAsia="Arial" w:hAnsi="Arial"/>
          <w:sz w:val="16"/>
          <w:szCs w:val="16"/>
          <w:b w:val="1"/>
          <w:bCs w:val="1"/>
          <w:color w:val="auto"/>
        </w:rPr>
        <w:t>There are three ways to vote your Proxy</w:t>
      </w:r>
    </w:p>
    <w:p>
      <w:pPr>
        <w:spacing w:after="0" w:line="213" w:lineRule="exact"/>
        <w:rPr>
          <w:rFonts w:ascii="Arial" w:cs="Arial" w:eastAsia="Arial" w:hAnsi="Arial"/>
          <w:sz w:val="15"/>
          <w:szCs w:val="15"/>
          <w:u w:val="single" w:color="auto"/>
          <w:color w:val="0000EE"/>
        </w:rPr>
      </w:pPr>
    </w:p>
    <w:p>
      <w:pPr>
        <w:ind w:left="1" w:right="660"/>
        <w:spacing w:after="0" w:line="395" w:lineRule="auto"/>
        <w:rPr>
          <w:sz w:val="20"/>
          <w:szCs w:val="20"/>
          <w:color w:val="auto"/>
        </w:rPr>
      </w:pPr>
      <w:r>
        <w:rPr>
          <w:rFonts w:ascii="Arial" w:cs="Arial" w:eastAsia="Arial" w:hAnsi="Arial"/>
          <w:sz w:val="16"/>
          <w:szCs w:val="16"/>
          <w:b w:val="1"/>
          <w:bCs w:val="1"/>
          <w:color w:val="auto"/>
        </w:rPr>
        <w:t>Your telephone or Internet vote authorizes the Named Proxies to vote your shares in the same manner as if you marked, signed and returned your proxy card. VOTE BY PHONE—TOLL FREE—1-800-240-6326—QUICK***EASY***IMMEDIATE</w:t>
      </w:r>
    </w:p>
    <w:p>
      <w:pPr>
        <w:spacing w:after="0" w:line="1" w:lineRule="exact"/>
        <w:rPr>
          <w:rFonts w:ascii="Arial" w:cs="Arial" w:eastAsia="Arial" w:hAnsi="Arial"/>
          <w:sz w:val="15"/>
          <w:szCs w:val="15"/>
          <w:u w:val="single" w:color="auto"/>
          <w:color w:val="0000EE"/>
        </w:rPr>
      </w:pPr>
    </w:p>
    <w:p>
      <w:pPr>
        <w:ind w:left="641" w:hanging="641"/>
        <w:spacing w:after="0"/>
        <w:tabs>
          <w:tab w:leader="none" w:pos="6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Use any touch-tone telephone to vote your proxy 24 hours a day, 7 days a week, until 12:00 p.m. (ET) on November 26, 2001.</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You will be prompted to enter your 3-digit Company Number and your 7-digit Control Number which are located above.</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Follow the simple instructions the Voice provides you.</w:t>
      </w:r>
    </w:p>
    <w:p>
      <w:pPr>
        <w:spacing w:after="0" w:line="227" w:lineRule="exact"/>
        <w:rPr>
          <w:rFonts w:ascii="Arial" w:cs="Arial" w:eastAsia="Arial" w:hAnsi="Arial"/>
          <w:sz w:val="15"/>
          <w:szCs w:val="15"/>
          <w:u w:val="single" w:color="auto"/>
          <w:color w:val="0000EE"/>
        </w:rPr>
      </w:pPr>
    </w:p>
    <w:p>
      <w:pPr>
        <w:ind w:left="1"/>
        <w:spacing w:after="0"/>
        <w:rPr>
          <w:sz w:val="20"/>
          <w:szCs w:val="20"/>
          <w:color w:val="auto"/>
        </w:rPr>
      </w:pPr>
      <w:r>
        <w:rPr>
          <w:rFonts w:ascii="Arial" w:cs="Arial" w:eastAsia="Arial" w:hAnsi="Arial"/>
          <w:sz w:val="16"/>
          <w:szCs w:val="16"/>
          <w:b w:val="1"/>
          <w:bCs w:val="1"/>
          <w:color w:val="auto"/>
        </w:rPr>
        <w:t>VOTE BY INTERNET—http://www.eproxy.com/mu/—QUICK***EASY***IMMEDIATE</w:t>
      </w:r>
    </w:p>
    <w:p>
      <w:pPr>
        <w:spacing w:after="0" w:line="26" w:lineRule="exact"/>
        <w:rPr>
          <w:rFonts w:ascii="Arial" w:cs="Arial" w:eastAsia="Arial" w:hAnsi="Arial"/>
          <w:sz w:val="15"/>
          <w:szCs w:val="15"/>
          <w:u w:val="single" w:color="auto"/>
          <w:color w:val="0000EE"/>
        </w:rPr>
      </w:pPr>
    </w:p>
    <w:p>
      <w:pPr>
        <w:ind w:left="641" w:hanging="641"/>
        <w:spacing w:after="0"/>
        <w:tabs>
          <w:tab w:leader="none" w:pos="6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November 26, 2001.</w:t>
      </w:r>
    </w:p>
    <w:p>
      <w:pPr>
        <w:spacing w:after="0" w:line="14" w:lineRule="exact"/>
        <w:rPr>
          <w:rFonts w:ascii="Arial" w:cs="Arial" w:eastAsia="Arial" w:hAnsi="Arial"/>
          <w:sz w:val="16"/>
          <w:szCs w:val="16"/>
          <w:color w:val="auto"/>
        </w:rPr>
      </w:pPr>
    </w:p>
    <w:p>
      <w:pPr>
        <w:ind w:left="641" w:hanging="641"/>
        <w:spacing w:after="0"/>
        <w:tabs>
          <w:tab w:leader="none" w:pos="641" w:val="left"/>
        </w:tabs>
        <w:numPr>
          <w:ilvl w:val="0"/>
          <w:numId w:val="33"/>
        </w:numPr>
        <w:rPr>
          <w:rFonts w:ascii="Arial" w:cs="Arial" w:eastAsia="Arial" w:hAnsi="Arial"/>
          <w:sz w:val="14"/>
          <w:szCs w:val="14"/>
          <w:color w:val="auto"/>
        </w:rPr>
      </w:pPr>
      <w:r>
        <w:rPr>
          <w:rFonts w:ascii="Arial" w:cs="Arial" w:eastAsia="Arial" w:hAnsi="Arial"/>
          <w:sz w:val="14"/>
          <w:szCs w:val="14"/>
          <w:color w:val="auto"/>
        </w:rPr>
        <w:t>You will be prompted to enter your 3-digit Company Number and your 7-digit Control Number which are located above to obtain your records and create an electronic b</w:t>
      </w:r>
    </w:p>
    <w:p>
      <w:pPr>
        <w:spacing w:after="0" w:line="250" w:lineRule="exact"/>
        <w:rPr>
          <w:rFonts w:ascii="Arial" w:cs="Arial" w:eastAsia="Arial" w:hAnsi="Arial"/>
          <w:sz w:val="15"/>
          <w:szCs w:val="15"/>
          <w:u w:val="single" w:color="auto"/>
          <w:color w:val="0000EE"/>
        </w:rPr>
      </w:pPr>
    </w:p>
    <w:p>
      <w:pPr>
        <w:ind w:left="1"/>
        <w:spacing w:after="0"/>
        <w:rPr>
          <w:sz w:val="20"/>
          <w:szCs w:val="20"/>
          <w:color w:val="auto"/>
        </w:rPr>
      </w:pPr>
      <w:r>
        <w:rPr>
          <w:rFonts w:ascii="Arial" w:cs="Arial" w:eastAsia="Arial" w:hAnsi="Arial"/>
          <w:sz w:val="16"/>
          <w:szCs w:val="16"/>
          <w:b w:val="1"/>
          <w:bCs w:val="1"/>
          <w:color w:val="auto"/>
        </w:rPr>
        <w:t>VOTE BY MAIL</w:t>
      </w:r>
    </w:p>
    <w:p>
      <w:pPr>
        <w:spacing w:after="0" w:line="26" w:lineRule="exact"/>
        <w:rPr>
          <w:rFonts w:ascii="Arial" w:cs="Arial" w:eastAsia="Arial" w:hAnsi="Arial"/>
          <w:sz w:val="15"/>
          <w:szCs w:val="15"/>
          <w:u w:val="single" w:color="auto"/>
          <w:color w:val="0000EE"/>
        </w:rPr>
      </w:pPr>
    </w:p>
    <w:p>
      <w:pPr>
        <w:ind w:left="1" w:right="20"/>
        <w:spacing w:after="0" w:line="215" w:lineRule="auto"/>
        <w:rPr>
          <w:sz w:val="20"/>
          <w:szCs w:val="20"/>
          <w:color w:val="auto"/>
        </w:rPr>
      </w:pPr>
      <w:r>
        <w:rPr>
          <w:rFonts w:ascii="Arial" w:cs="Arial" w:eastAsia="Arial" w:hAnsi="Arial"/>
          <w:sz w:val="16"/>
          <w:szCs w:val="16"/>
          <w:color w:val="auto"/>
        </w:rPr>
        <w:t xml:space="preserve">Mark, sign and date your proxy card and return it in the postage-paid envelope we've provided or return it to </w:t>
      </w:r>
      <w:r>
        <w:rPr>
          <w:rFonts w:ascii="Arial" w:cs="Arial" w:eastAsia="Arial" w:hAnsi="Arial"/>
          <w:sz w:val="16"/>
          <w:szCs w:val="16"/>
          <w:b w:val="1"/>
          <w:bCs w:val="1"/>
          <w:color w:val="auto"/>
        </w:rPr>
        <w:t>Micron Technology, Inc.</w:t>
      </w:r>
      <w:r>
        <w:rPr>
          <w:rFonts w:ascii="Arial" w:cs="Arial" w:eastAsia="Arial" w:hAnsi="Arial"/>
          <w:sz w:val="16"/>
          <w:szCs w:val="16"/>
          <w:color w:val="auto"/>
        </w:rPr>
        <w:t>, c/o Shareowner Services</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P.O. Box 648 MN 55164-0873. </w:t>
      </w:r>
      <w:r>
        <w:rPr>
          <w:rFonts w:ascii="Arial" w:cs="Arial" w:eastAsia="Arial" w:hAnsi="Arial"/>
          <w:sz w:val="16"/>
          <w:szCs w:val="16"/>
          <w:b w:val="1"/>
          <w:bCs w:val="1"/>
          <w:color w:val="auto"/>
        </w:rPr>
        <w:t>If you vote by Phone or Internet, please do not mail your Proxy Card</w:t>
      </w:r>
    </w:p>
    <w:p>
      <w:pPr>
        <w:spacing w:after="0" w:line="193" w:lineRule="exact"/>
        <w:rPr>
          <w:rFonts w:ascii="Arial" w:cs="Arial" w:eastAsia="Arial" w:hAnsi="Arial"/>
          <w:sz w:val="15"/>
          <w:szCs w:val="15"/>
          <w:u w:val="single" w:color="auto"/>
          <w:color w:val="0000EE"/>
        </w:rPr>
      </w:pPr>
    </w:p>
    <w:tbl>
      <w:tblPr>
        <w:tblLayout w:type="fixed"/>
        <w:tblInd w:w="1"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Arial" w:cs="Arial" w:eastAsia="Arial" w:hAnsi="Arial"/>
                <w:sz w:val="16"/>
                <w:szCs w:val="16"/>
                <w:color w:val="auto"/>
                <w:w w:val="95"/>
              </w:rPr>
              <w:t xml:space="preserve">V </w:t>
            </w:r>
            <w:r>
              <w:rPr>
                <w:rFonts w:ascii="Arial" w:cs="Arial" w:eastAsia="Arial" w:hAnsi="Arial"/>
                <w:sz w:val="16"/>
                <w:szCs w:val="16"/>
                <w:i w:val="1"/>
                <w:iCs w:val="1"/>
                <w:color w:val="auto"/>
                <w:w w:val="95"/>
              </w:rPr>
              <w:t>Please detach here</w:t>
            </w:r>
          </w:p>
        </w:tc>
        <w:tc>
          <w:tcPr>
            <w:tcW w:w="1720" w:type="dxa"/>
            <w:vAlign w:val="bottom"/>
            <w:gridSpan w:val="4"/>
          </w:tcPr>
          <w:p>
            <w:pPr>
              <w:jc w:val="right"/>
              <w:ind w:right="1580"/>
              <w:spacing w:after="0"/>
              <w:rPr>
                <w:sz w:val="20"/>
                <w:szCs w:val="20"/>
                <w:color w:val="auto"/>
              </w:rPr>
            </w:pPr>
            <w:r>
              <w:rPr>
                <w:rFonts w:ascii="Arial" w:cs="Arial" w:eastAsia="Arial" w:hAnsi="Arial"/>
                <w:sz w:val="16"/>
                <w:szCs w:val="16"/>
                <w:color w:val="auto"/>
              </w:rPr>
              <w:t>V</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40" w:type="dxa"/>
            <w:vAlign w:val="bottom"/>
            <w:gridSpan w:val="8"/>
          </w:tcPr>
          <w:p>
            <w:pPr>
              <w:ind w:left="680"/>
              <w:spacing w:after="0"/>
              <w:rPr>
                <w:sz w:val="20"/>
                <w:szCs w:val="20"/>
                <w:color w:val="auto"/>
              </w:rPr>
            </w:pPr>
            <w:r>
              <w:rPr>
                <w:rFonts w:ascii="Arial" w:cs="Arial" w:eastAsia="Arial" w:hAnsi="Arial"/>
                <w:sz w:val="16"/>
                <w:szCs w:val="16"/>
                <w:b w:val="1"/>
                <w:bCs w:val="1"/>
                <w:color w:val="auto"/>
                <w:w w:val="95"/>
              </w:rPr>
              <w:t>The Board of Directors Recommends a Vote FOR Items 1, 2 and 3 and AGAINST Item 4.</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20" w:type="dxa"/>
            <w:vAlign w:val="bottom"/>
          </w:tcPr>
          <w:p>
            <w:pPr>
              <w:spacing w:after="0"/>
              <w:rPr>
                <w:sz w:val="20"/>
                <w:szCs w:val="20"/>
                <w:color w:val="auto"/>
              </w:rPr>
            </w:pPr>
            <w:r>
              <w:rPr>
                <w:rFonts w:ascii="Arial" w:cs="Arial" w:eastAsia="Arial" w:hAnsi="Arial"/>
                <w:sz w:val="12"/>
                <w:szCs w:val="12"/>
                <w:b w:val="1"/>
                <w:bCs w:val="1"/>
                <w:color w:val="auto"/>
              </w:rPr>
              <w:t>1.</w:t>
            </w:r>
          </w:p>
        </w:tc>
        <w:tc>
          <w:tcPr>
            <w:tcW w:w="1120" w:type="dxa"/>
            <w:vAlign w:val="bottom"/>
          </w:tcPr>
          <w:p>
            <w:pPr>
              <w:ind w:left="120"/>
              <w:spacing w:after="0"/>
              <w:rPr>
                <w:sz w:val="20"/>
                <w:szCs w:val="20"/>
                <w:color w:val="auto"/>
              </w:rPr>
            </w:pPr>
            <w:r>
              <w:rPr>
                <w:rFonts w:ascii="Arial" w:cs="Arial" w:eastAsia="Arial" w:hAnsi="Arial"/>
                <w:sz w:val="12"/>
                <w:szCs w:val="12"/>
                <w:color w:val="auto"/>
              </w:rPr>
              <w:t>ELECTION OF</w:t>
            </w:r>
          </w:p>
        </w:tc>
        <w:tc>
          <w:tcPr>
            <w:tcW w:w="620" w:type="dxa"/>
            <w:vAlign w:val="bottom"/>
          </w:tcPr>
          <w:p>
            <w:pPr>
              <w:spacing w:after="0"/>
              <w:rPr>
                <w:sz w:val="24"/>
                <w:szCs w:val="24"/>
                <w:color w:val="auto"/>
              </w:rPr>
            </w:pPr>
          </w:p>
        </w:tc>
        <w:tc>
          <w:tcPr>
            <w:tcW w:w="2840" w:type="dxa"/>
            <w:vAlign w:val="bottom"/>
          </w:tcPr>
          <w:p>
            <w:pPr>
              <w:ind w:left="560"/>
              <w:spacing w:after="0"/>
              <w:rPr>
                <w:sz w:val="20"/>
                <w:szCs w:val="20"/>
                <w:color w:val="auto"/>
              </w:rPr>
            </w:pPr>
            <w:r>
              <w:rPr>
                <w:rFonts w:ascii="Arial" w:cs="Arial" w:eastAsia="Arial" w:hAnsi="Arial"/>
                <w:sz w:val="12"/>
                <w:szCs w:val="12"/>
                <w:color w:val="auto"/>
              </w:rPr>
              <w:t>01 Steven R. Appleton</w:t>
            </w:r>
          </w:p>
        </w:tc>
        <w:tc>
          <w:tcPr>
            <w:tcW w:w="1580" w:type="dxa"/>
            <w:vAlign w:val="bottom"/>
          </w:tcPr>
          <w:p>
            <w:pPr>
              <w:ind w:left="260"/>
              <w:spacing w:after="0"/>
              <w:rPr>
                <w:sz w:val="20"/>
                <w:szCs w:val="20"/>
                <w:color w:val="auto"/>
              </w:rPr>
            </w:pPr>
            <w:r>
              <w:rPr>
                <w:rFonts w:ascii="Arial" w:cs="Arial" w:eastAsia="Arial" w:hAnsi="Arial"/>
                <w:sz w:val="12"/>
                <w:szCs w:val="12"/>
                <w:color w:val="auto"/>
              </w:rPr>
              <w:t>02 James W. Bagley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2"/>
                <w:szCs w:val="12"/>
                <w:color w:val="auto"/>
                <w:w w:val="94"/>
              </w:rPr>
              <w:t>/ /FOR nominees</w:t>
            </w:r>
          </w:p>
        </w:tc>
        <w:tc>
          <w:tcPr>
            <w:tcW w:w="38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Arial" w:cs="Arial" w:eastAsia="Arial" w:hAnsi="Arial"/>
                <w:sz w:val="12"/>
                <w:szCs w:val="12"/>
                <w:color w:val="auto"/>
              </w:rPr>
              <w:t>/ /WITHHOLD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1120" w:type="dxa"/>
            <w:vAlign w:val="bottom"/>
          </w:tcPr>
          <w:p>
            <w:pPr>
              <w:ind w:left="120"/>
              <w:spacing w:after="0" w:line="137" w:lineRule="exact"/>
              <w:rPr>
                <w:sz w:val="20"/>
                <w:szCs w:val="20"/>
                <w:color w:val="auto"/>
              </w:rPr>
            </w:pPr>
            <w:r>
              <w:rPr>
                <w:rFonts w:ascii="Arial" w:cs="Arial" w:eastAsia="Arial" w:hAnsi="Arial"/>
                <w:sz w:val="12"/>
                <w:szCs w:val="12"/>
                <w:color w:val="auto"/>
              </w:rPr>
              <w:t>DIRECTORS</w:t>
            </w:r>
          </w:p>
        </w:tc>
        <w:tc>
          <w:tcPr>
            <w:tcW w:w="620" w:type="dxa"/>
            <w:vAlign w:val="bottom"/>
          </w:tcPr>
          <w:p>
            <w:pPr>
              <w:spacing w:after="0"/>
              <w:rPr>
                <w:sz w:val="11"/>
                <w:szCs w:val="11"/>
                <w:color w:val="auto"/>
              </w:rPr>
            </w:pPr>
          </w:p>
        </w:tc>
        <w:tc>
          <w:tcPr>
            <w:tcW w:w="2840" w:type="dxa"/>
            <w:vAlign w:val="bottom"/>
          </w:tcPr>
          <w:p>
            <w:pPr>
              <w:ind w:left="560"/>
              <w:spacing w:after="0" w:line="137" w:lineRule="exact"/>
              <w:rPr>
                <w:sz w:val="20"/>
                <w:szCs w:val="20"/>
                <w:color w:val="auto"/>
              </w:rPr>
            </w:pPr>
            <w:r>
              <w:rPr>
                <w:rFonts w:ascii="Arial" w:cs="Arial" w:eastAsia="Arial" w:hAnsi="Arial"/>
                <w:sz w:val="12"/>
                <w:szCs w:val="12"/>
                <w:color w:val="auto"/>
              </w:rPr>
              <w:t>04 Thomas T. Nicholson</w:t>
            </w:r>
          </w:p>
        </w:tc>
        <w:tc>
          <w:tcPr>
            <w:tcW w:w="1580" w:type="dxa"/>
            <w:vAlign w:val="bottom"/>
          </w:tcPr>
          <w:p>
            <w:pPr>
              <w:ind w:left="260"/>
              <w:spacing w:after="0" w:line="137" w:lineRule="exact"/>
              <w:rPr>
                <w:sz w:val="20"/>
                <w:szCs w:val="20"/>
                <w:color w:val="auto"/>
              </w:rPr>
            </w:pPr>
            <w:r>
              <w:rPr>
                <w:rFonts w:ascii="Arial" w:cs="Arial" w:eastAsia="Arial" w:hAnsi="Arial"/>
                <w:sz w:val="12"/>
                <w:szCs w:val="12"/>
                <w:color w:val="auto"/>
              </w:rPr>
              <w:t>05 Don J. Simplot</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3"/>
          </w:tcPr>
          <w:p>
            <w:pPr>
              <w:ind w:left="340"/>
              <w:spacing w:after="0" w:line="137" w:lineRule="exact"/>
              <w:rPr>
                <w:sz w:val="20"/>
                <w:szCs w:val="20"/>
                <w:color w:val="auto"/>
              </w:rPr>
            </w:pPr>
            <w:r>
              <w:rPr>
                <w:rFonts w:ascii="Arial" w:cs="Arial" w:eastAsia="Arial" w:hAnsi="Arial"/>
                <w:sz w:val="12"/>
                <w:szCs w:val="12"/>
                <w:color w:val="auto"/>
              </w:rPr>
              <w:t>listed (except as</w:t>
            </w:r>
          </w:p>
        </w:tc>
        <w:tc>
          <w:tcPr>
            <w:tcW w:w="380" w:type="dxa"/>
            <w:vAlign w:val="bottom"/>
          </w:tcPr>
          <w:p>
            <w:pPr>
              <w:spacing w:after="0"/>
              <w:rPr>
                <w:sz w:val="11"/>
                <w:szCs w:val="11"/>
                <w:color w:val="auto"/>
              </w:rPr>
            </w:pPr>
          </w:p>
        </w:tc>
        <w:tc>
          <w:tcPr>
            <w:tcW w:w="2420" w:type="dxa"/>
            <w:vAlign w:val="bottom"/>
            <w:gridSpan w:val="3"/>
          </w:tcPr>
          <w:p>
            <w:pPr>
              <w:ind w:left="540"/>
              <w:spacing w:after="0" w:line="137" w:lineRule="exact"/>
              <w:rPr>
                <w:sz w:val="20"/>
                <w:szCs w:val="20"/>
                <w:color w:val="auto"/>
              </w:rPr>
            </w:pPr>
            <w:r>
              <w:rPr>
                <w:rFonts w:ascii="Arial" w:cs="Arial" w:eastAsia="Arial" w:hAnsi="Arial"/>
                <w:sz w:val="12"/>
                <w:szCs w:val="12"/>
                <w:color w:val="auto"/>
              </w:rPr>
              <w:t>authority to vote for</w:t>
            </w: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174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03 Robert A. Lothrop</w:t>
            </w:r>
          </w:p>
        </w:tc>
        <w:tc>
          <w:tcPr>
            <w:tcW w:w="2840" w:type="dxa"/>
            <w:vAlign w:val="bottom"/>
          </w:tcPr>
          <w:p>
            <w:pPr>
              <w:ind w:left="560"/>
              <w:spacing w:after="0" w:line="137" w:lineRule="exact"/>
              <w:rPr>
                <w:sz w:val="20"/>
                <w:szCs w:val="20"/>
                <w:color w:val="auto"/>
              </w:rPr>
            </w:pPr>
            <w:r>
              <w:rPr>
                <w:rFonts w:ascii="Arial" w:cs="Arial" w:eastAsia="Arial" w:hAnsi="Arial"/>
                <w:sz w:val="12"/>
                <w:szCs w:val="12"/>
                <w:color w:val="auto"/>
              </w:rPr>
              <w:t>07 William P. Weber</w:t>
            </w:r>
          </w:p>
        </w:tc>
        <w:tc>
          <w:tcPr>
            <w:tcW w:w="1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indicated)</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2"/>
          </w:tcPr>
          <w:p>
            <w:pPr>
              <w:ind w:left="540"/>
              <w:spacing w:after="0" w:line="137" w:lineRule="exact"/>
              <w:rPr>
                <w:sz w:val="20"/>
                <w:szCs w:val="20"/>
                <w:color w:val="auto"/>
              </w:rPr>
            </w:pPr>
            <w:r>
              <w:rPr>
                <w:rFonts w:ascii="Arial" w:cs="Arial" w:eastAsia="Arial" w:hAnsi="Arial"/>
                <w:sz w:val="12"/>
                <w:szCs w:val="12"/>
                <w:color w:val="auto"/>
                <w:w w:val="93"/>
              </w:rPr>
              <w:t>all nominees listed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1120" w:type="dxa"/>
            <w:vAlign w:val="bottom"/>
          </w:tcPr>
          <w:p>
            <w:pPr>
              <w:ind w:left="120"/>
              <w:spacing w:after="0"/>
              <w:rPr>
                <w:sz w:val="20"/>
                <w:szCs w:val="20"/>
                <w:color w:val="auto"/>
              </w:rPr>
            </w:pPr>
            <w:r>
              <w:rPr>
                <w:rFonts w:ascii="Arial" w:cs="Arial" w:eastAsia="Arial" w:hAnsi="Arial"/>
                <w:sz w:val="12"/>
                <w:szCs w:val="12"/>
                <w:color w:val="auto"/>
                <w:w w:val="92"/>
              </w:rPr>
              <w:t>06 Gordon C. Smith</w:t>
            </w:r>
          </w:p>
        </w:tc>
        <w:tc>
          <w:tcPr>
            <w:tcW w:w="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4800" w:type="dxa"/>
            <w:vAlign w:val="bottom"/>
            <w:gridSpan w:val="4"/>
          </w:tcPr>
          <w:p>
            <w:pPr>
              <w:spacing w:after="0"/>
              <w:rPr>
                <w:sz w:val="20"/>
                <w:szCs w:val="20"/>
                <w:color w:val="auto"/>
              </w:rPr>
            </w:pPr>
            <w:r>
              <w:rPr>
                <w:rFonts w:ascii="Arial" w:cs="Arial" w:eastAsia="Arial" w:hAnsi="Arial"/>
                <w:sz w:val="12"/>
                <w:szCs w:val="12"/>
                <w:b w:val="1"/>
                <w:bCs w:val="1"/>
                <w:color w:val="auto"/>
              </w:rPr>
              <w:t>(Instructions: To withhold authority to vote for any individual nominee, write the</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00" w:type="dxa"/>
            <w:vAlign w:val="bottom"/>
            <w:gridSpan w:val="4"/>
          </w:tcPr>
          <w:p>
            <w:pPr>
              <w:spacing w:after="0"/>
              <w:rPr>
                <w:sz w:val="20"/>
                <w:szCs w:val="20"/>
                <w:color w:val="auto"/>
              </w:rPr>
            </w:pPr>
            <w:r>
              <w:rPr>
                <w:rFonts w:ascii="Arial" w:cs="Arial" w:eastAsia="Arial" w:hAnsi="Arial"/>
                <w:sz w:val="12"/>
                <w:szCs w:val="12"/>
                <w:b w:val="1"/>
                <w:bCs w:val="1"/>
                <w:color w:val="auto"/>
              </w:rPr>
              <w:t>number(s) of the nominee(s) in the box provided to the right.)</w:t>
            </w: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2.</w:t>
            </w:r>
          </w:p>
        </w:tc>
        <w:tc>
          <w:tcPr>
            <w:tcW w:w="4580" w:type="dxa"/>
            <w:vAlign w:val="bottom"/>
            <w:gridSpan w:val="3"/>
          </w:tcPr>
          <w:p>
            <w:pPr>
              <w:spacing w:after="0"/>
              <w:rPr>
                <w:sz w:val="8"/>
                <w:szCs w:val="8"/>
                <w:color w:val="auto"/>
              </w:rPr>
            </w:pPr>
          </w:p>
        </w:tc>
        <w:tc>
          <w:tcPr>
            <w:tcW w:w="1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20" w:type="dxa"/>
            <w:vAlign w:val="bottom"/>
            <w:vMerge w:val="continue"/>
          </w:tcPr>
          <w:p>
            <w:pPr>
              <w:spacing w:after="0"/>
              <w:rPr>
                <w:sz w:val="21"/>
                <w:szCs w:val="21"/>
                <w:color w:val="auto"/>
              </w:rPr>
            </w:pPr>
          </w:p>
        </w:tc>
        <w:tc>
          <w:tcPr>
            <w:tcW w:w="4580" w:type="dxa"/>
            <w:vAlign w:val="bottom"/>
            <w:gridSpan w:val="3"/>
          </w:tcPr>
          <w:p>
            <w:pPr>
              <w:ind w:left="120"/>
              <w:spacing w:after="0"/>
              <w:rPr>
                <w:sz w:val="20"/>
                <w:szCs w:val="20"/>
                <w:color w:val="auto"/>
              </w:rPr>
            </w:pPr>
            <w:r>
              <w:rPr>
                <w:rFonts w:ascii="Arial" w:cs="Arial" w:eastAsia="Arial" w:hAnsi="Arial"/>
                <w:sz w:val="12"/>
                <w:szCs w:val="12"/>
                <w:color w:val="auto"/>
                <w:w w:val="99"/>
              </w:rPr>
              <w:t>PROPOSAL BY THE COMPANY TO APPROVE THE 2001 STOCK OPTION PLAN</w:t>
            </w:r>
          </w:p>
        </w:tc>
        <w:tc>
          <w:tcPr>
            <w:tcW w:w="1580" w:type="dxa"/>
            <w:vAlign w:val="bottom"/>
          </w:tcPr>
          <w:p>
            <w:pPr>
              <w:spacing w:after="0"/>
              <w:rPr>
                <w:sz w:val="21"/>
                <w:szCs w:val="21"/>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2"/>
                <w:szCs w:val="12"/>
                <w:color w:val="auto"/>
              </w:rPr>
              <w:t>/ /</w:t>
            </w:r>
          </w:p>
        </w:tc>
        <w:tc>
          <w:tcPr>
            <w:tcW w:w="520" w:type="dxa"/>
            <w:vAlign w:val="bottom"/>
          </w:tcPr>
          <w:p>
            <w:pPr>
              <w:ind w:left="120"/>
              <w:spacing w:after="0"/>
              <w:rPr>
                <w:sz w:val="20"/>
                <w:szCs w:val="20"/>
                <w:color w:val="auto"/>
              </w:rPr>
            </w:pPr>
            <w:r>
              <w:rPr>
                <w:rFonts w:ascii="Arial" w:cs="Arial" w:eastAsia="Arial" w:hAnsi="Arial"/>
                <w:sz w:val="12"/>
                <w:szCs w:val="12"/>
                <w:color w:val="auto"/>
              </w:rPr>
              <w:t>FOR</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900" w:type="dxa"/>
            <w:vAlign w:val="bottom"/>
          </w:tcPr>
          <w:p>
            <w:pPr>
              <w:ind w:left="100"/>
              <w:spacing w:after="0"/>
              <w:rPr>
                <w:sz w:val="20"/>
                <w:szCs w:val="20"/>
                <w:color w:val="auto"/>
              </w:rPr>
            </w:pPr>
            <w:r>
              <w:rPr>
                <w:rFonts w:ascii="Arial" w:cs="Arial" w:eastAsia="Arial" w:hAnsi="Arial"/>
                <w:sz w:val="12"/>
                <w:szCs w:val="12"/>
                <w:color w:val="auto"/>
              </w:rPr>
              <w:t>AGAINST</w:t>
            </w:r>
          </w:p>
        </w:tc>
        <w:tc>
          <w:tcPr>
            <w:tcW w:w="580" w:type="dxa"/>
            <w:vAlign w:val="bottom"/>
          </w:tcPr>
          <w:p>
            <w:pPr>
              <w:jc w:val="right"/>
              <w:ind w:right="158"/>
              <w:spacing w:after="0"/>
              <w:rPr>
                <w:sz w:val="20"/>
                <w:szCs w:val="20"/>
                <w:color w:val="auto"/>
              </w:rPr>
            </w:pPr>
            <w:r>
              <w:rPr>
                <w:rFonts w:ascii="Arial" w:cs="Arial" w:eastAsia="Arial" w:hAnsi="Arial"/>
                <w:sz w:val="12"/>
                <w:szCs w:val="12"/>
                <w:color w:val="auto"/>
              </w:rPr>
              <w:t>/ /</w:t>
            </w:r>
          </w:p>
        </w:tc>
        <w:tc>
          <w:tcPr>
            <w:tcW w:w="940" w:type="dxa"/>
            <w:vAlign w:val="bottom"/>
          </w:tcPr>
          <w:p>
            <w:pPr>
              <w:spacing w:after="0"/>
              <w:rPr>
                <w:sz w:val="20"/>
                <w:szCs w:val="20"/>
                <w:color w:val="auto"/>
              </w:rPr>
            </w:pPr>
            <w:r>
              <w:rPr>
                <w:rFonts w:ascii="Arial" w:cs="Arial" w:eastAsia="Arial" w:hAnsi="Arial"/>
                <w:sz w:val="12"/>
                <w:szCs w:val="12"/>
                <w:color w:val="auto"/>
              </w:rPr>
              <w:t>ABSTAIN</w:t>
            </w:r>
          </w:p>
        </w:tc>
        <w:tc>
          <w:tcPr>
            <w:tcW w:w="0" w:type="dxa"/>
            <w:vAlign w:val="bottom"/>
          </w:tcPr>
          <w:p>
            <w:pPr>
              <w:spacing w:after="0"/>
              <w:rPr>
                <w:sz w:val="1"/>
                <w:szCs w:val="1"/>
                <w:color w:val="auto"/>
              </w:rPr>
            </w:pPr>
          </w:p>
        </w:tc>
      </w:tr>
      <w:tr>
        <w:trPr>
          <w:trHeight w:val="253"/>
        </w:trPr>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3.</w:t>
            </w:r>
          </w:p>
        </w:tc>
        <w:tc>
          <w:tcPr>
            <w:tcW w:w="4580" w:type="dxa"/>
            <w:vAlign w:val="bottom"/>
            <w:gridSpan w:val="3"/>
          </w:tcPr>
          <w:p>
            <w:pPr>
              <w:ind w:left="120"/>
              <w:spacing w:after="0"/>
              <w:rPr>
                <w:sz w:val="20"/>
                <w:szCs w:val="20"/>
                <w:color w:val="auto"/>
              </w:rPr>
            </w:pPr>
            <w:r>
              <w:rPr>
                <w:rFonts w:ascii="Arial" w:cs="Arial" w:eastAsia="Arial" w:hAnsi="Arial"/>
                <w:sz w:val="12"/>
                <w:szCs w:val="12"/>
                <w:color w:val="auto"/>
              </w:rPr>
              <w:t>PROPOSAL BY THE COMPANY TO RATIFY THE APPOINTMENT OF</w:t>
            </w:r>
          </w:p>
        </w:tc>
        <w:tc>
          <w:tcPr>
            <w:tcW w:w="1580" w:type="dxa"/>
            <w:vAlign w:val="bottom"/>
          </w:tcPr>
          <w:p>
            <w:pPr>
              <w:spacing w:after="0"/>
              <w:rPr>
                <w:sz w:val="21"/>
                <w:szCs w:val="21"/>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2"/>
                <w:szCs w:val="12"/>
                <w:color w:val="auto"/>
              </w:rPr>
              <w:t>/ /</w:t>
            </w:r>
          </w:p>
        </w:tc>
        <w:tc>
          <w:tcPr>
            <w:tcW w:w="520" w:type="dxa"/>
            <w:vAlign w:val="bottom"/>
          </w:tcPr>
          <w:p>
            <w:pPr>
              <w:ind w:left="120"/>
              <w:spacing w:after="0"/>
              <w:rPr>
                <w:sz w:val="20"/>
                <w:szCs w:val="20"/>
                <w:color w:val="auto"/>
              </w:rPr>
            </w:pPr>
            <w:r>
              <w:rPr>
                <w:rFonts w:ascii="Arial" w:cs="Arial" w:eastAsia="Arial" w:hAnsi="Arial"/>
                <w:sz w:val="12"/>
                <w:szCs w:val="12"/>
                <w:color w:val="auto"/>
              </w:rPr>
              <w:t>FOR</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900" w:type="dxa"/>
            <w:vAlign w:val="bottom"/>
          </w:tcPr>
          <w:p>
            <w:pPr>
              <w:ind w:left="100"/>
              <w:spacing w:after="0"/>
              <w:rPr>
                <w:sz w:val="20"/>
                <w:szCs w:val="20"/>
                <w:color w:val="auto"/>
              </w:rPr>
            </w:pPr>
            <w:r>
              <w:rPr>
                <w:rFonts w:ascii="Arial" w:cs="Arial" w:eastAsia="Arial" w:hAnsi="Arial"/>
                <w:sz w:val="12"/>
                <w:szCs w:val="12"/>
                <w:color w:val="auto"/>
              </w:rPr>
              <w:t>AGAINST</w:t>
            </w:r>
          </w:p>
        </w:tc>
        <w:tc>
          <w:tcPr>
            <w:tcW w:w="580" w:type="dxa"/>
            <w:vAlign w:val="bottom"/>
          </w:tcPr>
          <w:p>
            <w:pPr>
              <w:jc w:val="right"/>
              <w:ind w:right="158"/>
              <w:spacing w:after="0"/>
              <w:rPr>
                <w:sz w:val="20"/>
                <w:szCs w:val="20"/>
                <w:color w:val="auto"/>
              </w:rPr>
            </w:pPr>
            <w:r>
              <w:rPr>
                <w:rFonts w:ascii="Arial" w:cs="Arial" w:eastAsia="Arial" w:hAnsi="Arial"/>
                <w:sz w:val="12"/>
                <w:szCs w:val="12"/>
                <w:color w:val="auto"/>
              </w:rPr>
              <w:t>/ /</w:t>
            </w:r>
          </w:p>
        </w:tc>
        <w:tc>
          <w:tcPr>
            <w:tcW w:w="940" w:type="dxa"/>
            <w:vAlign w:val="bottom"/>
          </w:tcPr>
          <w:p>
            <w:pPr>
              <w:spacing w:after="0"/>
              <w:rPr>
                <w:sz w:val="20"/>
                <w:szCs w:val="20"/>
                <w:color w:val="auto"/>
              </w:rPr>
            </w:pPr>
            <w:r>
              <w:rPr>
                <w:rFonts w:ascii="Arial" w:cs="Arial" w:eastAsia="Arial" w:hAnsi="Arial"/>
                <w:sz w:val="12"/>
                <w:szCs w:val="12"/>
                <w:color w:val="auto"/>
              </w:rPr>
              <w:t>ABSTAIN</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6160" w:type="dxa"/>
            <w:vAlign w:val="bottom"/>
            <w:gridSpan w:val="4"/>
            <w:vMerge w:val="restart"/>
          </w:tcPr>
          <w:p>
            <w:pPr>
              <w:ind w:left="120"/>
              <w:spacing w:after="0"/>
              <w:rPr>
                <w:sz w:val="20"/>
                <w:szCs w:val="20"/>
                <w:color w:val="auto"/>
              </w:rPr>
            </w:pPr>
            <w:r>
              <w:rPr>
                <w:rFonts w:ascii="Arial" w:cs="Arial" w:eastAsia="Arial" w:hAnsi="Arial"/>
                <w:sz w:val="12"/>
                <w:szCs w:val="12"/>
                <w:color w:val="auto"/>
                <w:w w:val="97"/>
              </w:rPr>
              <w:t>PRICEWATERHOUSECOOPERS LLP AS THE COMPANY'S INDEPENDENT ACCOUNTANTS FOR FISCAL 2002</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6160" w:type="dxa"/>
            <w:vAlign w:val="bottom"/>
            <w:gridSpan w:val="4"/>
            <w:vMerge w:val="continue"/>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4580" w:type="dxa"/>
            <w:vAlign w:val="bottom"/>
            <w:gridSpan w:val="3"/>
          </w:tcPr>
          <w:p>
            <w:pPr>
              <w:ind w:left="120"/>
              <w:spacing w:after="0"/>
              <w:rPr>
                <w:sz w:val="20"/>
                <w:szCs w:val="20"/>
                <w:color w:val="auto"/>
              </w:rPr>
            </w:pPr>
            <w:r>
              <w:rPr>
                <w:rFonts w:ascii="Arial" w:cs="Arial" w:eastAsia="Arial" w:hAnsi="Arial"/>
                <w:sz w:val="12"/>
                <w:szCs w:val="12"/>
                <w:color w:val="auto"/>
              </w:rPr>
              <w:t>PROPOSAL BY A SHAREHOLDER REGARDING THE NOMINATION OF</w:t>
            </w:r>
          </w:p>
        </w:tc>
        <w:tc>
          <w:tcPr>
            <w:tcW w:w="1580" w:type="dxa"/>
            <w:vAlign w:val="bottom"/>
          </w:tcPr>
          <w:p>
            <w:pPr>
              <w:spacing w:after="0"/>
              <w:rPr>
                <w:sz w:val="21"/>
                <w:szCs w:val="21"/>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2"/>
                <w:szCs w:val="12"/>
                <w:color w:val="auto"/>
              </w:rPr>
              <w:t>/ /</w:t>
            </w:r>
          </w:p>
        </w:tc>
        <w:tc>
          <w:tcPr>
            <w:tcW w:w="520" w:type="dxa"/>
            <w:vAlign w:val="bottom"/>
          </w:tcPr>
          <w:p>
            <w:pPr>
              <w:ind w:left="120"/>
              <w:spacing w:after="0"/>
              <w:rPr>
                <w:sz w:val="20"/>
                <w:szCs w:val="20"/>
                <w:color w:val="auto"/>
              </w:rPr>
            </w:pPr>
            <w:r>
              <w:rPr>
                <w:rFonts w:ascii="Arial" w:cs="Arial" w:eastAsia="Arial" w:hAnsi="Arial"/>
                <w:sz w:val="12"/>
                <w:szCs w:val="12"/>
                <w:color w:val="auto"/>
              </w:rPr>
              <w:t>FOR</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900" w:type="dxa"/>
            <w:vAlign w:val="bottom"/>
          </w:tcPr>
          <w:p>
            <w:pPr>
              <w:ind w:left="100"/>
              <w:spacing w:after="0"/>
              <w:rPr>
                <w:sz w:val="20"/>
                <w:szCs w:val="20"/>
                <w:color w:val="auto"/>
              </w:rPr>
            </w:pPr>
            <w:r>
              <w:rPr>
                <w:rFonts w:ascii="Arial" w:cs="Arial" w:eastAsia="Arial" w:hAnsi="Arial"/>
                <w:sz w:val="12"/>
                <w:szCs w:val="12"/>
                <w:color w:val="auto"/>
              </w:rPr>
              <w:t>AGAINST</w:t>
            </w:r>
          </w:p>
        </w:tc>
        <w:tc>
          <w:tcPr>
            <w:tcW w:w="580" w:type="dxa"/>
            <w:vAlign w:val="bottom"/>
          </w:tcPr>
          <w:p>
            <w:pPr>
              <w:jc w:val="right"/>
              <w:ind w:right="158"/>
              <w:spacing w:after="0"/>
              <w:rPr>
                <w:sz w:val="20"/>
                <w:szCs w:val="20"/>
                <w:color w:val="auto"/>
              </w:rPr>
            </w:pPr>
            <w:r>
              <w:rPr>
                <w:rFonts w:ascii="Arial" w:cs="Arial" w:eastAsia="Arial" w:hAnsi="Arial"/>
                <w:sz w:val="12"/>
                <w:szCs w:val="12"/>
                <w:color w:val="auto"/>
              </w:rPr>
              <w:t>/ /</w:t>
            </w:r>
          </w:p>
        </w:tc>
        <w:tc>
          <w:tcPr>
            <w:tcW w:w="940" w:type="dxa"/>
            <w:vAlign w:val="bottom"/>
          </w:tcPr>
          <w:p>
            <w:pPr>
              <w:spacing w:after="0"/>
              <w:rPr>
                <w:sz w:val="20"/>
                <w:szCs w:val="20"/>
                <w:color w:val="auto"/>
              </w:rPr>
            </w:pPr>
            <w:r>
              <w:rPr>
                <w:rFonts w:ascii="Arial" w:cs="Arial" w:eastAsia="Arial" w:hAnsi="Arial"/>
                <w:sz w:val="12"/>
                <w:szCs w:val="12"/>
                <w:color w:val="auto"/>
              </w:rPr>
              <w:t>ABSTAIN</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2"/>
                <w:szCs w:val="12"/>
                <w:color w:val="auto"/>
              </w:rPr>
              <w:t>CANDIDATES TO THE COMPANY'S BOARD OF DIRECTORS</w:t>
            </w:r>
          </w:p>
        </w:tc>
        <w:tc>
          <w:tcPr>
            <w:tcW w:w="1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458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8100" w:type="dxa"/>
            <w:vAlign w:val="bottom"/>
            <w:gridSpan w:val="9"/>
          </w:tcPr>
          <w:p>
            <w:pPr>
              <w:spacing w:after="0"/>
              <w:rPr>
                <w:sz w:val="20"/>
                <w:szCs w:val="20"/>
                <w:color w:val="auto"/>
              </w:rPr>
            </w:pPr>
            <w:r>
              <w:rPr>
                <w:rFonts w:ascii="Arial" w:cs="Arial" w:eastAsia="Arial" w:hAnsi="Arial"/>
                <w:sz w:val="12"/>
                <w:szCs w:val="12"/>
                <w:b w:val="1"/>
                <w:bCs w:val="1"/>
                <w:color w:val="auto"/>
                <w:w w:val="95"/>
              </w:rPr>
              <w:t>and in their discretion, upon such other matter or matters which may properly come before the meeting or any adjournment or adjournments thereof</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40" w:type="dxa"/>
            <w:vAlign w:val="bottom"/>
            <w:gridSpan w:val="2"/>
            <w:vMerge w:val="restart"/>
          </w:tcPr>
          <w:p>
            <w:pPr>
              <w:spacing w:after="0"/>
              <w:rPr>
                <w:sz w:val="20"/>
                <w:szCs w:val="20"/>
                <w:color w:val="auto"/>
              </w:rPr>
            </w:pPr>
            <w:r>
              <w:rPr>
                <w:rFonts w:ascii="Arial" w:cs="Arial" w:eastAsia="Arial" w:hAnsi="Arial"/>
                <w:sz w:val="12"/>
                <w:szCs w:val="12"/>
                <w:color w:val="auto"/>
              </w:rPr>
              <w:t>Address change / /</w:t>
            </w:r>
          </w:p>
        </w:tc>
        <w:tc>
          <w:tcPr>
            <w:tcW w:w="3460" w:type="dxa"/>
            <w:vAlign w:val="bottom"/>
            <w:gridSpan w:val="2"/>
            <w:vMerge w:val="restart"/>
          </w:tcPr>
          <w:p>
            <w:pPr>
              <w:ind w:left="20"/>
              <w:spacing w:after="0"/>
              <w:rPr>
                <w:sz w:val="20"/>
                <w:szCs w:val="20"/>
                <w:color w:val="auto"/>
              </w:rPr>
            </w:pPr>
            <w:r>
              <w:rPr>
                <w:rFonts w:ascii="Arial" w:cs="Arial" w:eastAsia="Arial" w:hAnsi="Arial"/>
                <w:sz w:val="12"/>
                <w:szCs w:val="12"/>
                <w:color w:val="auto"/>
              </w:rPr>
              <w:t>Indicate changes below:</w:t>
            </w:r>
          </w:p>
        </w:tc>
        <w:tc>
          <w:tcPr>
            <w:tcW w:w="1580" w:type="dxa"/>
            <w:vAlign w:val="bottom"/>
          </w:tcPr>
          <w:p>
            <w:pPr>
              <w:spacing w:after="0"/>
              <w:rPr>
                <w:sz w:val="10"/>
                <w:szCs w:val="10"/>
                <w:color w:val="auto"/>
              </w:rPr>
            </w:pPr>
          </w:p>
        </w:tc>
        <w:tc>
          <w:tcPr>
            <w:tcW w:w="1280" w:type="dxa"/>
            <w:vAlign w:val="bottom"/>
            <w:gridSpan w:val="3"/>
          </w:tcPr>
          <w:p>
            <w:pPr>
              <w:ind w:left="720"/>
              <w:spacing w:after="0" w:line="117" w:lineRule="exact"/>
              <w:rPr>
                <w:sz w:val="20"/>
                <w:szCs w:val="20"/>
                <w:color w:val="auto"/>
              </w:rPr>
            </w:pPr>
            <w:r>
              <w:rPr>
                <w:rFonts w:ascii="Arial" w:cs="Arial" w:eastAsia="Arial" w:hAnsi="Arial"/>
                <w:sz w:val="12"/>
                <w:szCs w:val="12"/>
                <w:color w:val="auto"/>
              </w:rPr>
              <w:t>Date</w:t>
            </w:r>
          </w:p>
        </w:tc>
        <w:tc>
          <w:tcPr>
            <w:tcW w:w="4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340" w:type="dxa"/>
            <w:vAlign w:val="bottom"/>
            <w:gridSpan w:val="2"/>
            <w:vMerge w:val="continue"/>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7247255</wp:posOffset>
            </wp:positionH>
            <wp:positionV relativeFrom="paragraph">
              <wp:posOffset>-1731645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-1731645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-1558290</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-1558290</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-581025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-581025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-297180</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-297180</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-13335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67" w:lineRule="exact"/>
        <w:rPr>
          <w:rFonts w:ascii="Arial" w:cs="Arial" w:eastAsia="Arial" w:hAnsi="Arial"/>
          <w:sz w:val="15"/>
          <w:szCs w:val="15"/>
          <w:u w:val="single" w:color="auto"/>
          <w:color w:val="0000EE"/>
        </w:rPr>
      </w:pPr>
    </w:p>
    <w:p>
      <w:pPr>
        <w:ind w:left="7101"/>
        <w:spacing w:after="0"/>
        <w:rPr>
          <w:sz w:val="20"/>
          <w:szCs w:val="20"/>
          <w:color w:val="auto"/>
        </w:rPr>
      </w:pPr>
      <w:r>
        <w:rPr>
          <w:rFonts w:ascii="Arial" w:cs="Arial" w:eastAsia="Arial" w:hAnsi="Arial"/>
          <w:sz w:val="12"/>
          <w:szCs w:val="12"/>
          <w:color w:val="auto"/>
        </w:rPr>
        <w:t>Signature(s) in Box</w:t>
      </w:r>
    </w:p>
    <w:p>
      <w:pPr>
        <w:spacing w:after="0" w:line="9" w:lineRule="exact"/>
        <w:rPr>
          <w:rFonts w:ascii="Arial" w:cs="Arial" w:eastAsia="Arial" w:hAnsi="Arial"/>
          <w:sz w:val="15"/>
          <w:szCs w:val="15"/>
          <w:u w:val="single" w:color="auto"/>
          <w:color w:val="0000EE"/>
        </w:rPr>
      </w:pPr>
    </w:p>
    <w:p>
      <w:pPr>
        <w:ind w:left="7101"/>
        <w:spacing w:after="0"/>
        <w:rPr>
          <w:sz w:val="20"/>
          <w:szCs w:val="20"/>
          <w:color w:val="auto"/>
        </w:rPr>
      </w:pPr>
      <w:r>
        <w:rPr>
          <w:rFonts w:ascii="Arial" w:cs="Arial" w:eastAsia="Arial" w:hAnsi="Arial"/>
          <w:sz w:val="11"/>
          <w:szCs w:val="11"/>
          <w:color w:val="auto"/>
        </w:rPr>
        <w:t>(This proxy should be voted, signed, and dated by the shareholder(s) exactly as his or</w:t>
      </w:r>
    </w:p>
    <w:p>
      <w:pPr>
        <w:spacing w:after="0" w:line="10" w:lineRule="exact"/>
        <w:rPr>
          <w:rFonts w:ascii="Arial" w:cs="Arial" w:eastAsia="Arial" w:hAnsi="Arial"/>
          <w:sz w:val="15"/>
          <w:szCs w:val="15"/>
          <w:u w:val="single" w:color="auto"/>
          <w:color w:val="0000EE"/>
        </w:rPr>
      </w:pPr>
    </w:p>
    <w:p>
      <w:pPr>
        <w:ind w:left="7101"/>
        <w:spacing w:after="0"/>
        <w:rPr>
          <w:sz w:val="20"/>
          <w:szCs w:val="20"/>
          <w:color w:val="auto"/>
        </w:rPr>
      </w:pPr>
      <w:r>
        <w:rPr>
          <w:rFonts w:ascii="Arial" w:cs="Arial" w:eastAsia="Arial" w:hAnsi="Arial"/>
          <w:sz w:val="11"/>
          <w:szCs w:val="11"/>
          <w:color w:val="auto"/>
        </w:rPr>
        <w:t>her name appears hereon, and returned promptly in the enclosed envelope. Persons</w:t>
      </w:r>
    </w:p>
    <w:p>
      <w:pPr>
        <w:spacing w:after="0" w:line="10" w:lineRule="exact"/>
        <w:rPr>
          <w:rFonts w:ascii="Arial" w:cs="Arial" w:eastAsia="Arial" w:hAnsi="Arial"/>
          <w:sz w:val="15"/>
          <w:szCs w:val="15"/>
          <w:u w:val="single" w:color="auto"/>
          <w:color w:val="0000EE"/>
        </w:rPr>
      </w:pPr>
    </w:p>
    <w:p>
      <w:pPr>
        <w:ind w:left="7101"/>
        <w:spacing w:after="0"/>
        <w:rPr>
          <w:sz w:val="20"/>
          <w:szCs w:val="20"/>
          <w:color w:val="auto"/>
        </w:rPr>
      </w:pPr>
      <w:r>
        <w:rPr>
          <w:rFonts w:ascii="Arial" w:cs="Arial" w:eastAsia="Arial" w:hAnsi="Arial"/>
          <w:sz w:val="11"/>
          <w:szCs w:val="11"/>
          <w:color w:val="auto"/>
        </w:rPr>
        <w:t>signing in a fiduciary capacity should so indicate. If shares are held by joint tenants or</w:t>
      </w:r>
    </w:p>
    <w:p>
      <w:pPr>
        <w:spacing w:after="0" w:line="10" w:lineRule="exact"/>
        <w:rPr>
          <w:rFonts w:ascii="Arial" w:cs="Arial" w:eastAsia="Arial" w:hAnsi="Arial"/>
          <w:sz w:val="15"/>
          <w:szCs w:val="15"/>
          <w:u w:val="single" w:color="auto"/>
          <w:color w:val="0000EE"/>
        </w:rPr>
      </w:pPr>
    </w:p>
    <w:p>
      <w:pPr>
        <w:ind w:left="7101"/>
        <w:spacing w:after="0"/>
        <w:rPr>
          <w:sz w:val="20"/>
          <w:szCs w:val="20"/>
          <w:color w:val="auto"/>
        </w:rPr>
      </w:pPr>
      <w:r>
        <w:rPr>
          <w:rFonts w:ascii="Arial" w:cs="Arial" w:eastAsia="Arial" w:hAnsi="Arial"/>
          <w:sz w:val="12"/>
          <w:szCs w:val="12"/>
          <w:color w:val="auto"/>
        </w:rPr>
        <w:t>as community property, both should sign.)</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6249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sectPr>
      <w:pgSz w:w="11900" w:h="16838" w:orient="portrait"/>
      <w:cols w:equalWidth="0" w:num="1">
        <w:col w:w="11521"/>
      </w:cols>
      <w:pgMar w:left="239" w:top="12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lowerRoman"/>
      <w:start w:val="1"/>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2"/>
    </w:lvl>
    <w:lvl w:ilvl="1">
      <w:lvlJc w:val="left"/>
      <w:lvlText w:val="(%2)"/>
      <w:numFmt w:val="lowerLetter"/>
      <w:start w:val="1"/>
    </w:lvl>
  </w:abstractNum>
  <w:abstractNum w:abstractNumId="8">
    <w:nsid w:val="628C895D"/>
    <w:multiLevelType w:val="hybridMultilevel"/>
    <w:lvl w:ilvl="0">
      <w:lvlJc w:val="left"/>
      <w:lvlText w:val="(%1)"/>
      <w:numFmt w:val="lowerLetter"/>
      <w:start w:val="2"/>
    </w:lvl>
  </w:abstractNum>
  <w:abstractNum w:abstractNumId="9">
    <w:nsid w:val="333AB105"/>
    <w:multiLevelType w:val="hybridMultilevel"/>
    <w:lvl w:ilvl="0">
      <w:lvlJc w:val="left"/>
      <w:lvlText w:val="(%1)"/>
      <w:numFmt w:val="lowerLetter"/>
      <w:start w:val="13"/>
    </w:lvl>
    <w:lvl w:ilvl="1">
      <w:lvlJc w:val="left"/>
      <w:lvlText w:val="(%2)"/>
      <w:numFmt w:val="lowerRoman"/>
      <w:start w:val="1"/>
    </w:lvl>
    <w:lvl w:ilvl="2">
      <w:lvlJc w:val="left"/>
      <w:lvlText w:val="(%3)"/>
      <w:numFmt w:val="lowerLetter"/>
      <w:start w:val="61"/>
    </w:lvl>
  </w:abstractNum>
  <w:abstractNum w:abstractNumId="10">
    <w:nsid w:val="721DA317"/>
    <w:multiLevelType w:val="hybridMultilevel"/>
    <w:lvl w:ilvl="0">
      <w:lvlJc w:val="left"/>
      <w:lvlText w:val="(%1)"/>
      <w:numFmt w:val="lowerLetter"/>
      <w:start w:val="27"/>
    </w:lvl>
  </w:abstractNum>
  <w:abstractNum w:abstractNumId="11">
    <w:nsid w:val="2443A858"/>
    <w:multiLevelType w:val="hybridMultilevel"/>
    <w:lvl w:ilvl="0">
      <w:lvlJc w:val="left"/>
      <w:lvlText w:val="%1"/>
      <w:numFmt w:val="decimal"/>
      <w:start w:val="1"/>
    </w:lvl>
    <w:lvl w:ilvl="1">
      <w:lvlJc w:val="left"/>
      <w:lvlText w:val="(%2)"/>
      <w:numFmt w:val="lowerLetter"/>
      <w:start w:val="28"/>
    </w:lvl>
  </w:abstractNum>
  <w:abstractNum w:abstractNumId="12">
    <w:nsid w:val="2D1D5AE9"/>
    <w:multiLevelType w:val="hybridMultilevel"/>
    <w:lvl w:ilvl="0">
      <w:lvlJc w:val="left"/>
      <w:lvlText w:val="%1."/>
      <w:numFmt w:val="decimal"/>
      <w:start w:val="3"/>
    </w:lvl>
    <w:lvl w:ilvl="1">
      <w:lvlJc w:val="left"/>
      <w:lvlText w:val="%2"/>
      <w:numFmt w:val="lowerLetter"/>
      <w:start w:val="1"/>
    </w:lvl>
  </w:abstractNum>
  <w:abstractNum w:abstractNumId="13">
    <w:nsid w:val="676384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4">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lowerRoman"/>
      <w:start w:val="9"/>
    </w:lvl>
    <w:lvl w:ilvl="4">
      <w:lvlJc w:val="left"/>
      <w:lvlText w:val="%5"/>
      <w:numFmt w:val="lowerRoman"/>
      <w:start w:val="1"/>
    </w:lvl>
  </w:abstractNum>
  <w:abstractNum w:abstractNumId="15">
    <w:nsid w:val="8EDBD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6">
    <w:nsid w:val="79838CB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Roman"/>
      <w:start w:val="3"/>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1"/>
      <w:numFmt w:val="decimal"/>
      <w:start w:val="1"/>
    </w:lvl>
    <w:lvl w:ilvl="1">
      <w:lvlJc w:val="left"/>
      <w:lvlText w:val="(%2)"/>
      <w:numFmt w:val="lowerLetter"/>
      <w:start w:val="5"/>
    </w:lvl>
  </w:abstractNum>
  <w:abstractNum w:abstractNumId="24">
    <w:nsid w:val="2901D82"/>
    <w:multiLevelType w:val="hybridMultilevel"/>
    <w:lvl w:ilvl="0">
      <w:lvlJc w:val="left"/>
      <w:lvlText w:val="%1."/>
      <w:numFmt w:val="decimal"/>
      <w:start w:val="11"/>
    </w:lvl>
    <w:lvl w:ilvl="1">
      <w:lvlJc w:val="left"/>
      <w:lvlText w:val="(%2)"/>
      <w:numFmt w:val="lowerLetter"/>
      <w:start w:val="1"/>
    </w:lvl>
  </w:abstractNum>
  <w:abstractNum w:abstractNumId="25">
    <w:nsid w:val="3A95F874"/>
    <w:multiLevelType w:val="hybridMultilevel"/>
    <w:lvl w:ilvl="0">
      <w:lvlJc w:val="left"/>
      <w:lvlText w:val="%1"/>
      <w:numFmt w:val="decimal"/>
      <w:start w:val="1"/>
    </w:lvl>
    <w:lvl w:ilvl="1">
      <w:lvlJc w:val="left"/>
      <w:lvlText w:val="(%2)"/>
      <w:numFmt w:val="lowerLetter"/>
      <w:start w:val="4"/>
    </w:lvl>
  </w:abstractNum>
  <w:abstractNum w:abstractNumId="26">
    <w:nsid w:val="8138641"/>
    <w:multiLevelType w:val="hybridMultilevel"/>
    <w:lvl w:ilvl="0">
      <w:lvlJc w:val="left"/>
      <w:lvlText w:val="%1."/>
      <w:numFmt w:val="decimal"/>
      <w:start w:val="13"/>
    </w:lvl>
    <w:lvl w:ilvl="1">
      <w:lvlJc w:val="left"/>
      <w:lvlText w:val="(%2)"/>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2"/>
    </w:lvl>
  </w:abstractNum>
  <w:abstractNum w:abstractNumId="29">
    <w:nsid w:val="737B8DDC"/>
    <w:multiLevelType w:val="hybridMultilevel"/>
    <w:lvl w:ilvl="0">
      <w:lvlJc w:val="left"/>
      <w:lvlText w:val="%1."/>
      <w:numFmt w:val="decimal"/>
      <w:start w:val="17"/>
    </w:lvl>
    <w:lvl w:ilvl="1">
      <w:lvlJc w:val="left"/>
      <w:lvlText w:val="%2"/>
      <w:numFmt w:val="lowerLetter"/>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2019-12-13T13:19:43Z</dcterms:created>
  <dcterms:modified xsi:type="dcterms:W3CDTF">2019-12-13T13:19:43Z</dcterms:modified>
</cp:coreProperties>
</file>