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Registration No. 333-249838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Issuer Free Writing Prospectus dated October 18,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Relating to Preliminary Prospectus Supplement dated October 18,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OCTOBER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142875</wp:posOffset>
            </wp:positionV>
            <wp:extent cx="190309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$1,000,000,000 2.703% SENIOR NOTES DUE 2032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$500,000,000 3.366% SENIOR NOTES DUE 2041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$500,000,000 3.477% SENIOR NOTES DUE 2051</w:t>
      </w:r>
    </w:p>
    <w:p>
      <w:pPr>
        <w:spacing w:after="0" w:line="211" w:lineRule="exact"/>
        <w:rPr>
          <w:sz w:val="24"/>
          <w:szCs w:val="24"/>
          <w:color w:val="auto"/>
        </w:rPr>
      </w:pPr>
    </w:p>
    <w:p>
      <w:pPr>
        <w:ind w:right="160" w:firstLine="653"/>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October 18, 2021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703%</w:t>
            </w:r>
            <w:r>
              <w:rPr>
                <w:rFonts w:ascii="Arial" w:cs="Arial" w:eastAsia="Arial" w:hAnsi="Arial"/>
                <w:sz w:val="18"/>
                <w:szCs w:val="18"/>
                <w:b w:val="1"/>
                <w:bCs w:val="1"/>
                <w:color w:val="auto"/>
              </w:rPr>
              <w:t xml:space="preserve"> Senior Notes due 2032</w:t>
            </w:r>
          </w:p>
        </w:tc>
        <w:tc>
          <w:tcPr>
            <w:tcW w:w="7820" w:type="dxa"/>
            <w:vAlign w:val="bottom"/>
          </w:tcPr>
          <w:p>
            <w:pPr>
              <w:spacing w:after="0"/>
              <w:rPr>
                <w:sz w:val="17"/>
                <w:szCs w:val="17"/>
                <w:color w:val="auto"/>
              </w:rPr>
            </w:pPr>
          </w:p>
        </w:tc>
      </w:tr>
      <w:tr>
        <w:trPr>
          <w:trHeight w:val="453"/>
        </w:trPr>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Issuer:</w:t>
            </w:r>
          </w:p>
        </w:tc>
        <w:tc>
          <w:tcPr>
            <w:tcW w:w="1080" w:type="dxa"/>
            <w:vAlign w:val="bottom"/>
          </w:tcPr>
          <w:p>
            <w:pPr>
              <w:spacing w:after="0"/>
              <w:rPr>
                <w:sz w:val="24"/>
                <w:szCs w:val="24"/>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Micron Technology, Inc. (Nasdaq: MU)</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7820" w:type="dxa"/>
            <w:vAlign w:val="bottom"/>
          </w:tcPr>
          <w:p>
            <w:pPr>
              <w:ind w:left="740"/>
              <w:spacing w:after="0"/>
              <w:rPr>
                <w:sz w:val="20"/>
                <w:szCs w:val="20"/>
                <w:color w:val="auto"/>
              </w:rPr>
            </w:pPr>
            <w:r>
              <w:rPr>
                <w:rFonts w:ascii="Arial" w:cs="Arial" w:eastAsia="Arial" w:hAnsi="Arial"/>
                <w:sz w:val="18"/>
                <w:szCs w:val="18"/>
                <w:color w:val="auto"/>
              </w:rPr>
              <w:t>2.703% Senior Notes due 2032 (the “green bonds”)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Principal Amount:</w:t>
            </w:r>
          </w:p>
        </w:tc>
        <w:tc>
          <w:tcPr>
            <w:tcW w:w="7820" w:type="dxa"/>
            <w:vAlign w:val="bottom"/>
          </w:tcPr>
          <w:p>
            <w:pPr>
              <w:ind w:left="740"/>
              <w:spacing w:after="0"/>
              <w:rPr>
                <w:sz w:val="20"/>
                <w:szCs w:val="20"/>
                <w:color w:val="auto"/>
              </w:rPr>
            </w:pPr>
            <w:r>
              <w:rPr>
                <w:rFonts w:ascii="Arial" w:cs="Arial" w:eastAsia="Arial" w:hAnsi="Arial"/>
                <w:sz w:val="18"/>
                <w:szCs w:val="18"/>
                <w:color w:val="auto"/>
              </w:rPr>
              <w:t>$1,000,000,000</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Maturity Date:</w:t>
            </w:r>
          </w:p>
        </w:tc>
        <w:tc>
          <w:tcPr>
            <w:tcW w:w="7820" w:type="dxa"/>
            <w:vAlign w:val="bottom"/>
          </w:tcPr>
          <w:p>
            <w:pPr>
              <w:ind w:left="740"/>
              <w:spacing w:after="0"/>
              <w:rPr>
                <w:sz w:val="20"/>
                <w:szCs w:val="20"/>
                <w:color w:val="auto"/>
              </w:rPr>
            </w:pPr>
            <w:r>
              <w:rPr>
                <w:rFonts w:ascii="Arial" w:cs="Arial" w:eastAsia="Arial" w:hAnsi="Arial"/>
                <w:sz w:val="18"/>
                <w:szCs w:val="18"/>
                <w:color w:val="auto"/>
              </w:rPr>
              <w:t>April 15, 2032</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7820" w:type="dxa"/>
            <w:vAlign w:val="bottom"/>
          </w:tcPr>
          <w:p>
            <w:pPr>
              <w:ind w:left="740"/>
              <w:spacing w:after="0"/>
              <w:rPr>
                <w:sz w:val="20"/>
                <w:szCs w:val="20"/>
                <w:color w:val="auto"/>
              </w:rPr>
            </w:pPr>
            <w:r>
              <w:rPr>
                <w:rFonts w:ascii="Arial" w:cs="Arial" w:eastAsia="Arial" w:hAnsi="Arial"/>
                <w:sz w:val="18"/>
                <w:szCs w:val="18"/>
                <w:color w:val="auto"/>
              </w:rPr>
              <w:t>2.703% per year</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7820" w:type="dxa"/>
            <w:vAlign w:val="bottom"/>
          </w:tcPr>
          <w:p>
            <w:pPr>
              <w:ind w:left="740"/>
              <w:spacing w:after="0"/>
              <w:rPr>
                <w:sz w:val="20"/>
                <w:szCs w:val="20"/>
                <w:color w:val="auto"/>
              </w:rPr>
            </w:pPr>
            <w:r>
              <w:rPr>
                <w:rFonts w:ascii="Arial" w:cs="Arial" w:eastAsia="Arial" w:hAnsi="Arial"/>
                <w:sz w:val="18"/>
                <w:szCs w:val="18"/>
                <w:color w:val="auto"/>
              </w:rPr>
              <w:t>April 15 and October 15, beginning April 15, 2022, accruing from November 1, 2021</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Record Dates:</w:t>
            </w:r>
          </w:p>
        </w:tc>
        <w:tc>
          <w:tcPr>
            <w:tcW w:w="7820" w:type="dxa"/>
            <w:vAlign w:val="bottom"/>
          </w:tcPr>
          <w:p>
            <w:pPr>
              <w:ind w:left="740"/>
              <w:spacing w:after="0"/>
              <w:rPr>
                <w:sz w:val="20"/>
                <w:szCs w:val="20"/>
                <w:color w:val="auto"/>
              </w:rPr>
            </w:pPr>
            <w:r>
              <w:rPr>
                <w:rFonts w:ascii="Arial" w:cs="Arial" w:eastAsia="Arial" w:hAnsi="Arial"/>
                <w:sz w:val="18"/>
                <w:szCs w:val="18"/>
                <w:color w:val="auto"/>
              </w:rPr>
              <w:t>April 1 and October 1</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Price to Public:</w:t>
            </w:r>
          </w:p>
        </w:tc>
        <w:tc>
          <w:tcPr>
            <w:tcW w:w="7820" w:type="dxa"/>
            <w:vAlign w:val="bottom"/>
          </w:tcPr>
          <w:p>
            <w:pPr>
              <w:ind w:left="740"/>
              <w:spacing w:after="0"/>
              <w:rPr>
                <w:sz w:val="20"/>
                <w:szCs w:val="20"/>
                <w:color w:val="auto"/>
              </w:rPr>
            </w:pPr>
            <w:r>
              <w:rPr>
                <w:rFonts w:ascii="Arial" w:cs="Arial" w:eastAsia="Arial" w:hAnsi="Arial"/>
                <w:sz w:val="18"/>
                <w:szCs w:val="18"/>
                <w:color w:val="auto"/>
              </w:rPr>
              <w:t>100.000% of the principal amount</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Underwriting Discount:</w:t>
            </w:r>
          </w:p>
        </w:tc>
        <w:tc>
          <w:tcPr>
            <w:tcW w:w="7820" w:type="dxa"/>
            <w:vAlign w:val="bottom"/>
          </w:tcPr>
          <w:p>
            <w:pPr>
              <w:ind w:left="740"/>
              <w:spacing w:after="0"/>
              <w:rPr>
                <w:sz w:val="20"/>
                <w:szCs w:val="20"/>
                <w:color w:val="auto"/>
              </w:rPr>
            </w:pPr>
            <w:r>
              <w:rPr>
                <w:rFonts w:ascii="Arial" w:cs="Arial" w:eastAsia="Arial" w:hAnsi="Arial"/>
                <w:sz w:val="18"/>
                <w:szCs w:val="18"/>
                <w:color w:val="auto"/>
              </w:rPr>
              <w:t>0.400% per note</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7820" w:type="dxa"/>
            <w:vAlign w:val="bottom"/>
          </w:tcPr>
          <w:p>
            <w:pPr>
              <w:ind w:left="740"/>
              <w:spacing w:after="0"/>
              <w:rPr>
                <w:sz w:val="20"/>
                <w:szCs w:val="20"/>
                <w:color w:val="auto"/>
              </w:rPr>
            </w:pPr>
            <w:r>
              <w:rPr>
                <w:rFonts w:ascii="Arial" w:cs="Arial" w:eastAsia="Arial" w:hAnsi="Arial"/>
                <w:sz w:val="18"/>
                <w:szCs w:val="18"/>
                <w:color w:val="auto"/>
              </w:rPr>
              <w:t>UST 1.250% due August 15, 2031</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 Price / Yield:</w:t>
            </w:r>
          </w:p>
        </w:tc>
        <w:tc>
          <w:tcPr>
            <w:tcW w:w="7820" w:type="dxa"/>
            <w:vAlign w:val="bottom"/>
          </w:tcPr>
          <w:p>
            <w:pPr>
              <w:ind w:left="740"/>
              <w:spacing w:after="0"/>
              <w:rPr>
                <w:sz w:val="20"/>
                <w:szCs w:val="20"/>
                <w:color w:val="auto"/>
              </w:rPr>
            </w:pPr>
            <w:r>
              <w:rPr>
                <w:rFonts w:ascii="Arial" w:cs="Arial" w:eastAsia="Arial" w:hAnsi="Arial"/>
                <w:sz w:val="18"/>
                <w:szCs w:val="18"/>
                <w:color w:val="auto"/>
              </w:rPr>
              <w:t>96-31+ / 1.583%</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 Treasury:</w:t>
            </w:r>
          </w:p>
        </w:tc>
        <w:tc>
          <w:tcPr>
            <w:tcW w:w="7820" w:type="dxa"/>
            <w:vAlign w:val="bottom"/>
          </w:tcPr>
          <w:p>
            <w:pPr>
              <w:ind w:left="740"/>
              <w:spacing w:after="0"/>
              <w:rPr>
                <w:sz w:val="20"/>
                <w:szCs w:val="20"/>
                <w:color w:val="auto"/>
              </w:rPr>
            </w:pPr>
            <w:r>
              <w:rPr>
                <w:rFonts w:ascii="Arial" w:cs="Arial" w:eastAsia="Arial" w:hAnsi="Arial"/>
                <w:sz w:val="18"/>
                <w:szCs w:val="18"/>
                <w:color w:val="auto"/>
              </w:rPr>
              <w:t>+112 basis points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7820" w:type="dxa"/>
            <w:vAlign w:val="bottom"/>
          </w:tcPr>
          <w:p>
            <w:pPr>
              <w:ind w:left="740"/>
              <w:spacing w:after="0"/>
              <w:rPr>
                <w:sz w:val="20"/>
                <w:szCs w:val="20"/>
                <w:color w:val="auto"/>
              </w:rPr>
            </w:pPr>
            <w:r>
              <w:rPr>
                <w:rFonts w:ascii="Arial" w:cs="Arial" w:eastAsia="Arial" w:hAnsi="Arial"/>
                <w:sz w:val="18"/>
                <w:szCs w:val="18"/>
                <w:color w:val="auto"/>
              </w:rPr>
              <w:t>2.703%</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7820" w:type="dxa"/>
            <w:vAlign w:val="bottom"/>
          </w:tcPr>
          <w:p>
            <w:pPr>
              <w:ind w:left="740"/>
              <w:spacing w:after="0"/>
              <w:rPr>
                <w:sz w:val="20"/>
                <w:szCs w:val="20"/>
                <w:color w:val="auto"/>
              </w:rPr>
            </w:pPr>
            <w:r>
              <w:rPr>
                <w:rFonts w:ascii="Arial" w:cs="Arial" w:eastAsia="Arial" w:hAnsi="Arial"/>
                <w:sz w:val="18"/>
                <w:szCs w:val="18"/>
                <w:color w:val="auto"/>
              </w:rPr>
              <w:t>595112 BS1</w:t>
            </w:r>
          </w:p>
        </w:tc>
      </w:tr>
      <w:tr>
        <w:trPr>
          <w:trHeight w:val="648"/>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ISIN Number:</w:t>
            </w:r>
          </w:p>
        </w:tc>
        <w:tc>
          <w:tcPr>
            <w:tcW w:w="7820" w:type="dxa"/>
            <w:vAlign w:val="bottom"/>
          </w:tcPr>
          <w:p>
            <w:pPr>
              <w:ind w:left="740"/>
              <w:spacing w:after="0"/>
              <w:rPr>
                <w:sz w:val="20"/>
                <w:szCs w:val="20"/>
                <w:color w:val="auto"/>
              </w:rPr>
            </w:pPr>
            <w:r>
              <w:rPr>
                <w:rFonts w:ascii="Arial" w:cs="Arial" w:eastAsia="Arial" w:hAnsi="Arial"/>
                <w:sz w:val="18"/>
                <w:szCs w:val="18"/>
                <w:color w:val="auto"/>
              </w:rPr>
              <w:t>US595112BS19</w:t>
            </w:r>
          </w:p>
        </w:tc>
      </w:tr>
      <w:tr>
        <w:trPr>
          <w:trHeight w:val="675"/>
        </w:trPr>
        <w:tc>
          <w:tcPr>
            <w:tcW w:w="2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9"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Redemption at Micron’s Option:</w:t>
            </w:r>
          </w:p>
        </w:tc>
        <w:tc>
          <w:tcPr>
            <w:tcW w:w="7900" w:type="dxa"/>
            <w:vAlign w:val="bottom"/>
          </w:tcPr>
          <w:p>
            <w:pPr>
              <w:ind w:left="820"/>
              <w:spacing w:after="0"/>
              <w:rPr>
                <w:sz w:val="20"/>
                <w:szCs w:val="20"/>
                <w:color w:val="auto"/>
              </w:rPr>
            </w:pPr>
            <w:r>
              <w:rPr>
                <w:rFonts w:ascii="Arial" w:cs="Arial" w:eastAsia="Arial" w:hAnsi="Arial"/>
                <w:sz w:val="18"/>
                <w:szCs w:val="18"/>
                <w:color w:val="auto"/>
                <w:w w:val="93"/>
              </w:rPr>
              <w:t>Micron may redeem the green bonds, in whole or in part, at any time and from time to time, at a</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1"/>
              </w:rPr>
              <w:t>redemption price equal to the greater of (i) 100% of the principal amount of the green bonds to be</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0"/>
              </w:rPr>
              <w:t>redeemed and (ii) the sum of the present values of the remaining scheduled payments of principal</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4"/>
              </w:rPr>
              <w:t>and interest thereon that would be due if the green bonds matured on the Par Call Date for the</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3"/>
              </w:rPr>
              <w:t>green bonds (exclusive of interest accrued to the date of redemption), discounted to the date of</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0"/>
              </w:rPr>
              <w:t>redemption on a semi-annual basis (assuming a 360-day year consisting of twelve 30-day months)</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4"/>
              </w:rPr>
              <w:t>at the then current Treasury Rate plus 20 basis points, plus, in each case, accrued and unpaid</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2"/>
              </w:rPr>
              <w:t>interest, if any, on the amount being redeemed to, but excluding, the date of redemption. Micron</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2"/>
              </w:rPr>
              <w:t>may redeem any green bonds on or after the Par Call Date for the green bonds at a redemption</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6"/>
              </w:rPr>
              <w:t>price equal to 100% of the principal amount of the green bonds redeemed, plus accrued and</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7"/>
              </w:rPr>
              <w:t>unpaid interest, if any, to, but excluding, the date of redemption. The “Par Call Date” for the</w:t>
            </w: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green bonds means January 15, 2032 (three months prior to the maturity date).</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Joint Book-Running Managers:</w:t>
            </w:r>
          </w:p>
        </w:tc>
        <w:tc>
          <w:tcPr>
            <w:tcW w:w="7900" w:type="dxa"/>
            <w:vAlign w:val="bottom"/>
          </w:tcPr>
          <w:p>
            <w:pPr>
              <w:ind w:left="820"/>
              <w:spacing w:after="0"/>
              <w:rPr>
                <w:sz w:val="20"/>
                <w:szCs w:val="20"/>
                <w:color w:val="auto"/>
              </w:rPr>
            </w:pPr>
            <w:r>
              <w:rPr>
                <w:rFonts w:ascii="Arial" w:cs="Arial" w:eastAsia="Arial" w:hAnsi="Arial"/>
                <w:sz w:val="18"/>
                <w:szCs w:val="18"/>
                <w:color w:val="auto"/>
              </w:rPr>
              <w:t>Barclays Capital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Mizuho Securities USA LLC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Wells Fargo Securities, LLC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HSBC Securities (USA) Inc.</w:t>
            </w: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Morgan Stanley &amp; Co. LLC</w:t>
            </w:r>
          </w:p>
        </w:tc>
      </w:tr>
      <w:tr>
        <w:trPr>
          <w:trHeight w:val="418"/>
        </w:trPr>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ANZ Securities,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BofA Securities,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Goldman Sachs &amp; Co. LLC</w:t>
            </w: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RBC Capital Markets, LLC</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Co-Managers:</w:t>
            </w:r>
          </w:p>
        </w:tc>
        <w:tc>
          <w:tcPr>
            <w:tcW w:w="7900" w:type="dxa"/>
            <w:vAlign w:val="bottom"/>
          </w:tcPr>
          <w:p>
            <w:pPr>
              <w:ind w:left="820"/>
              <w:spacing w:after="0"/>
              <w:rPr>
                <w:sz w:val="20"/>
                <w:szCs w:val="20"/>
                <w:color w:val="auto"/>
              </w:rPr>
            </w:pPr>
            <w:r>
              <w:rPr>
                <w:rFonts w:ascii="Arial" w:cs="Arial" w:eastAsia="Arial" w:hAnsi="Arial"/>
                <w:sz w:val="18"/>
                <w:szCs w:val="18"/>
                <w:color w:val="auto"/>
              </w:rPr>
              <w:t>Academy Securities,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ICBC Standard Bank Plc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J.P. Morgan Securities LLC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R. Seelaus &amp; Co., LLC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Samuel A. Ramirez &amp; Company,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Scotia Capital (USA) Inc.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Siebert Williams Shank &amp; Co., LLC</w:t>
            </w:r>
          </w:p>
        </w:tc>
      </w:tr>
      <w:tr>
        <w:trPr>
          <w:trHeight w:val="216"/>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TD Securities (USA) LLC</w:t>
            </w: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U.S. Bancorp Investments, Inc.</w:t>
            </w:r>
          </w:p>
        </w:tc>
      </w:tr>
      <w:tr>
        <w:trPr>
          <w:trHeight w:val="391"/>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366%</w:t>
            </w:r>
            <w:r>
              <w:rPr>
                <w:rFonts w:ascii="Arial" w:cs="Arial" w:eastAsia="Arial" w:hAnsi="Arial"/>
                <w:sz w:val="18"/>
                <w:szCs w:val="18"/>
                <w:b w:val="1"/>
                <w:bCs w:val="1"/>
                <w:color w:val="auto"/>
              </w:rPr>
              <w:t xml:space="preserve"> Senior Notes due 2041</w:t>
            </w:r>
          </w:p>
        </w:tc>
        <w:tc>
          <w:tcPr>
            <w:tcW w:w="7900" w:type="dxa"/>
            <w:vAlign w:val="bottom"/>
          </w:tcPr>
          <w:p>
            <w:pPr>
              <w:spacing w:after="0"/>
              <w:rPr>
                <w:sz w:val="24"/>
                <w:szCs w:val="24"/>
                <w:color w:val="auto"/>
              </w:rPr>
            </w:pPr>
          </w:p>
        </w:tc>
      </w:tr>
      <w:tr>
        <w:trPr>
          <w:trHeight w:val="453"/>
        </w:trPr>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Issuer:</w:t>
            </w:r>
          </w:p>
        </w:tc>
        <w:tc>
          <w:tcPr>
            <w:tcW w:w="1000" w:type="dxa"/>
            <w:vAlign w:val="bottom"/>
          </w:tcPr>
          <w:p>
            <w:pPr>
              <w:spacing w:after="0"/>
              <w:rPr>
                <w:sz w:val="24"/>
                <w:szCs w:val="24"/>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Micron Technology, Inc. (Nasdaq: MU)</w:t>
            </w: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7900" w:type="dxa"/>
            <w:vAlign w:val="bottom"/>
          </w:tcPr>
          <w:p>
            <w:pPr>
              <w:ind w:left="820"/>
              <w:spacing w:after="0"/>
              <w:rPr>
                <w:sz w:val="20"/>
                <w:szCs w:val="20"/>
                <w:color w:val="auto"/>
              </w:rPr>
            </w:pPr>
            <w:r>
              <w:rPr>
                <w:rFonts w:ascii="Arial" w:cs="Arial" w:eastAsia="Arial" w:hAnsi="Arial"/>
                <w:sz w:val="18"/>
                <w:szCs w:val="18"/>
                <w:color w:val="auto"/>
              </w:rPr>
              <w:t>3.366% Senior Notes due 2041 (the “2041 notes”)</w:t>
            </w: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Principal Amount:</w:t>
            </w:r>
          </w:p>
        </w:tc>
        <w:tc>
          <w:tcPr>
            <w:tcW w:w="7900" w:type="dxa"/>
            <w:vAlign w:val="bottom"/>
          </w:tcPr>
          <w:p>
            <w:pPr>
              <w:ind w:left="820"/>
              <w:spacing w:after="0"/>
              <w:rPr>
                <w:sz w:val="20"/>
                <w:szCs w:val="20"/>
                <w:color w:val="auto"/>
              </w:rPr>
            </w:pPr>
            <w:r>
              <w:rPr>
                <w:rFonts w:ascii="Arial" w:cs="Arial" w:eastAsia="Arial" w:hAnsi="Arial"/>
                <w:sz w:val="18"/>
                <w:szCs w:val="18"/>
                <w:color w:val="auto"/>
              </w:rPr>
              <w:t>$500,000,000</w:t>
            </w: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Maturity Date:</w:t>
            </w:r>
          </w:p>
        </w:tc>
        <w:tc>
          <w:tcPr>
            <w:tcW w:w="7900" w:type="dxa"/>
            <w:vAlign w:val="bottom"/>
          </w:tcPr>
          <w:p>
            <w:pPr>
              <w:ind w:left="820"/>
              <w:spacing w:after="0"/>
              <w:rPr>
                <w:sz w:val="20"/>
                <w:szCs w:val="20"/>
                <w:color w:val="auto"/>
              </w:rPr>
            </w:pPr>
            <w:r>
              <w:rPr>
                <w:rFonts w:ascii="Arial" w:cs="Arial" w:eastAsia="Arial" w:hAnsi="Arial"/>
                <w:sz w:val="18"/>
                <w:szCs w:val="18"/>
                <w:color w:val="auto"/>
              </w:rPr>
              <w:t>November 1, 2041</w:t>
            </w: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7900" w:type="dxa"/>
            <w:vAlign w:val="bottom"/>
          </w:tcPr>
          <w:p>
            <w:pPr>
              <w:ind w:left="820"/>
              <w:spacing w:after="0"/>
              <w:rPr>
                <w:sz w:val="20"/>
                <w:szCs w:val="20"/>
                <w:color w:val="auto"/>
              </w:rPr>
            </w:pPr>
            <w:r>
              <w:rPr>
                <w:rFonts w:ascii="Arial" w:cs="Arial" w:eastAsia="Arial" w:hAnsi="Arial"/>
                <w:sz w:val="18"/>
                <w:szCs w:val="18"/>
                <w:color w:val="auto"/>
              </w:rPr>
              <w:t>3.366% per year</w:t>
            </w:r>
          </w:p>
        </w:tc>
      </w:tr>
      <w:tr>
        <w:trPr>
          <w:trHeight w:val="675"/>
        </w:trPr>
        <w:tc>
          <w:tcPr>
            <w:tcW w:w="2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820" w:type="dxa"/>
            <w:vAlign w:val="bottom"/>
          </w:tcPr>
          <w:p>
            <w:pPr>
              <w:ind w:left="740"/>
              <w:spacing w:after="0"/>
              <w:rPr>
                <w:sz w:val="20"/>
                <w:szCs w:val="20"/>
                <w:color w:val="auto"/>
              </w:rPr>
            </w:pPr>
            <w:r>
              <w:rPr>
                <w:rFonts w:ascii="Arial" w:cs="Arial" w:eastAsia="Arial" w:hAnsi="Arial"/>
                <w:sz w:val="18"/>
                <w:szCs w:val="18"/>
                <w:color w:val="auto"/>
              </w:rPr>
              <w:t>May 1 and November 1, beginning May 1, 2022, accruing from November 1, 2021</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7820" w:type="dxa"/>
            <w:vAlign w:val="bottom"/>
          </w:tcPr>
          <w:p>
            <w:pPr>
              <w:ind w:left="740"/>
              <w:spacing w:after="0"/>
              <w:rPr>
                <w:sz w:val="20"/>
                <w:szCs w:val="20"/>
                <w:color w:val="auto"/>
              </w:rPr>
            </w:pPr>
            <w:r>
              <w:rPr>
                <w:rFonts w:ascii="Arial" w:cs="Arial" w:eastAsia="Arial" w:hAnsi="Arial"/>
                <w:sz w:val="18"/>
                <w:szCs w:val="18"/>
                <w:color w:val="auto"/>
              </w:rPr>
              <w:t>April 15 and October 15</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7820" w:type="dxa"/>
            <w:vAlign w:val="bottom"/>
          </w:tcPr>
          <w:p>
            <w:pPr>
              <w:ind w:left="740"/>
              <w:spacing w:after="0"/>
              <w:rPr>
                <w:sz w:val="20"/>
                <w:szCs w:val="20"/>
                <w:color w:val="auto"/>
              </w:rPr>
            </w:pPr>
            <w:r>
              <w:rPr>
                <w:rFonts w:ascii="Arial" w:cs="Arial" w:eastAsia="Arial" w:hAnsi="Arial"/>
                <w:sz w:val="18"/>
                <w:szCs w:val="18"/>
                <w:color w:val="auto"/>
              </w:rPr>
              <w:t>100.000% of the principal amount</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7820" w:type="dxa"/>
            <w:vAlign w:val="bottom"/>
          </w:tcPr>
          <w:p>
            <w:pPr>
              <w:ind w:left="740"/>
              <w:spacing w:after="0"/>
              <w:rPr>
                <w:sz w:val="20"/>
                <w:szCs w:val="20"/>
                <w:color w:val="auto"/>
              </w:rPr>
            </w:pPr>
            <w:r>
              <w:rPr>
                <w:rFonts w:ascii="Arial" w:cs="Arial" w:eastAsia="Arial" w:hAnsi="Arial"/>
                <w:sz w:val="18"/>
                <w:szCs w:val="18"/>
                <w:color w:val="auto"/>
              </w:rPr>
              <w:t>0.550% per note</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7820" w:type="dxa"/>
            <w:vAlign w:val="bottom"/>
          </w:tcPr>
          <w:p>
            <w:pPr>
              <w:ind w:left="740"/>
              <w:spacing w:after="0"/>
              <w:rPr>
                <w:sz w:val="20"/>
                <w:szCs w:val="20"/>
                <w:color w:val="auto"/>
              </w:rPr>
            </w:pPr>
            <w:r>
              <w:rPr>
                <w:rFonts w:ascii="Arial" w:cs="Arial" w:eastAsia="Arial" w:hAnsi="Arial"/>
                <w:sz w:val="18"/>
                <w:szCs w:val="18"/>
                <w:color w:val="auto"/>
              </w:rPr>
              <w:t>UST 1.750% due August 15, 2041</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Benchmark Treasury Price / Yield:</w:t>
            </w:r>
          </w:p>
        </w:tc>
        <w:tc>
          <w:tcPr>
            <w:tcW w:w="7820" w:type="dxa"/>
            <w:vAlign w:val="bottom"/>
          </w:tcPr>
          <w:p>
            <w:pPr>
              <w:ind w:left="740"/>
              <w:spacing w:after="0"/>
              <w:rPr>
                <w:sz w:val="20"/>
                <w:szCs w:val="20"/>
                <w:color w:val="auto"/>
              </w:rPr>
            </w:pPr>
            <w:r>
              <w:rPr>
                <w:rFonts w:ascii="Arial" w:cs="Arial" w:eastAsia="Arial" w:hAnsi="Arial"/>
                <w:sz w:val="18"/>
                <w:szCs w:val="18"/>
                <w:color w:val="auto"/>
              </w:rPr>
              <w:t>95-31+ / 1.996%</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7820" w:type="dxa"/>
            <w:vAlign w:val="bottom"/>
          </w:tcPr>
          <w:p>
            <w:pPr>
              <w:ind w:left="740"/>
              <w:spacing w:after="0"/>
              <w:rPr>
                <w:sz w:val="20"/>
                <w:szCs w:val="20"/>
                <w:color w:val="auto"/>
              </w:rPr>
            </w:pPr>
            <w:r>
              <w:rPr>
                <w:rFonts w:ascii="Arial" w:cs="Arial" w:eastAsia="Arial" w:hAnsi="Arial"/>
                <w:sz w:val="18"/>
                <w:szCs w:val="18"/>
                <w:color w:val="auto"/>
              </w:rPr>
              <w:t>+137 basis points</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7820" w:type="dxa"/>
            <w:vAlign w:val="bottom"/>
          </w:tcPr>
          <w:p>
            <w:pPr>
              <w:ind w:left="740"/>
              <w:spacing w:after="0"/>
              <w:rPr>
                <w:sz w:val="20"/>
                <w:szCs w:val="20"/>
                <w:color w:val="auto"/>
              </w:rPr>
            </w:pPr>
            <w:r>
              <w:rPr>
                <w:rFonts w:ascii="Arial" w:cs="Arial" w:eastAsia="Arial" w:hAnsi="Arial"/>
                <w:sz w:val="18"/>
                <w:szCs w:val="18"/>
                <w:color w:val="auto"/>
              </w:rPr>
              <w:t>3.366%</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7820" w:type="dxa"/>
            <w:vAlign w:val="bottom"/>
          </w:tcPr>
          <w:p>
            <w:pPr>
              <w:ind w:left="740"/>
              <w:spacing w:after="0"/>
              <w:rPr>
                <w:sz w:val="20"/>
                <w:szCs w:val="20"/>
                <w:color w:val="auto"/>
              </w:rPr>
            </w:pPr>
            <w:r>
              <w:rPr>
                <w:rFonts w:ascii="Arial" w:cs="Arial" w:eastAsia="Arial" w:hAnsi="Arial"/>
                <w:sz w:val="18"/>
                <w:szCs w:val="18"/>
                <w:color w:val="auto"/>
              </w:rPr>
              <w:t>595112 BT9</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ISIN Number:</w:t>
            </w:r>
          </w:p>
        </w:tc>
        <w:tc>
          <w:tcPr>
            <w:tcW w:w="7820" w:type="dxa"/>
            <w:vAlign w:val="bottom"/>
          </w:tcPr>
          <w:p>
            <w:pPr>
              <w:ind w:left="740"/>
              <w:spacing w:after="0"/>
              <w:rPr>
                <w:sz w:val="20"/>
                <w:szCs w:val="20"/>
                <w:color w:val="auto"/>
              </w:rPr>
            </w:pPr>
            <w:r>
              <w:rPr>
                <w:rFonts w:ascii="Arial" w:cs="Arial" w:eastAsia="Arial" w:hAnsi="Arial"/>
                <w:sz w:val="18"/>
                <w:szCs w:val="18"/>
                <w:color w:val="auto"/>
              </w:rPr>
              <w:t>US595112BT91</w:t>
            </w:r>
          </w:p>
        </w:tc>
      </w:tr>
      <w:tr>
        <w:trPr>
          <w:trHeight w:val="418"/>
        </w:trPr>
        <w:tc>
          <w:tcPr>
            <w:tcW w:w="3420" w:type="dxa"/>
            <w:vAlign w:val="bottom"/>
          </w:tcPr>
          <w:p>
            <w:pPr>
              <w:spacing w:after="0"/>
              <w:rPr>
                <w:sz w:val="20"/>
                <w:szCs w:val="20"/>
                <w:color w:val="auto"/>
              </w:rPr>
            </w:pPr>
            <w:r>
              <w:rPr>
                <w:rFonts w:ascii="Arial" w:cs="Arial" w:eastAsia="Arial" w:hAnsi="Arial"/>
                <w:sz w:val="18"/>
                <w:szCs w:val="18"/>
                <w:b w:val="1"/>
                <w:bCs w:val="1"/>
                <w:color w:val="auto"/>
              </w:rPr>
              <w:t>Redemption at Micron’s Option:</w:t>
            </w:r>
          </w:p>
        </w:tc>
        <w:tc>
          <w:tcPr>
            <w:tcW w:w="7820" w:type="dxa"/>
            <w:vAlign w:val="bottom"/>
          </w:tcPr>
          <w:p>
            <w:pPr>
              <w:ind w:left="740"/>
              <w:spacing w:after="0"/>
              <w:rPr>
                <w:sz w:val="20"/>
                <w:szCs w:val="20"/>
                <w:color w:val="auto"/>
              </w:rPr>
            </w:pPr>
            <w:r>
              <w:rPr>
                <w:rFonts w:ascii="Arial" w:cs="Arial" w:eastAsia="Arial" w:hAnsi="Arial"/>
                <w:sz w:val="18"/>
                <w:szCs w:val="18"/>
                <w:color w:val="auto"/>
                <w:w w:val="94"/>
              </w:rPr>
              <w:t>Micron may redeem the 2041 notes, in whole or in part, at any time and from time to time, at a</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2"/>
              </w:rPr>
              <w:t>redemption price equal to the greater of (i) 100% of the principal amount of the 2041 notes to be</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0"/>
              </w:rPr>
              <w:t>redeemed and (ii) the sum of the present values of the remaining scheduled payments of principal</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89"/>
              </w:rPr>
              <w:t>and interest thereon that would be due if the 2041 notes matured on the Par Call Date for the 2041</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notes (exclusive of interest accrued to the date of redemption), discounted to the date of</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0"/>
              </w:rPr>
              <w:t>redemption on a semi-annual basis (assuming a 360-day year consisting of twelve 30-day months)</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4"/>
              </w:rPr>
              <w:t>at the then current Treasury Rate plus 25 basis points, plus, in each case, accrued and unpaid</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2"/>
              </w:rPr>
              <w:t>interest, if any, on the amount being redeemed to, but excluding, the date of redemption. Micron</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0"/>
              </w:rPr>
              <w:t>may redeem any 2041 notes on or after the Par Call Date for the 2041 notes at a redemption price</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5"/>
              </w:rPr>
              <w:t>equal to 100% of the principal amount of the 2041 notes redeemed, plus accrued and unpaid</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w w:val="93"/>
              </w:rPr>
              <w:t>interest, if any, to, but excluding, the date of redemption. The “Par Call Date” for the 2041 notes</w:t>
            </w:r>
          </w:p>
        </w:tc>
      </w:tr>
      <w:tr>
        <w:trPr>
          <w:trHeight w:val="230"/>
        </w:trPr>
        <w:tc>
          <w:tcPr>
            <w:tcW w:w="3420" w:type="dxa"/>
            <w:vAlign w:val="bottom"/>
          </w:tcPr>
          <w:p>
            <w:pPr>
              <w:spacing w:after="0"/>
              <w:rPr>
                <w:sz w:val="20"/>
                <w:szCs w:val="20"/>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means May 1, 2041 (six months prior to the maturity date).</w:t>
            </w:r>
          </w:p>
        </w:tc>
      </w:tr>
      <w:tr>
        <w:trPr>
          <w:trHeight w:val="418"/>
        </w:trPr>
        <w:tc>
          <w:tcPr>
            <w:tcW w:w="342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7820" w:type="dxa"/>
            <w:vAlign w:val="bottom"/>
          </w:tcPr>
          <w:p>
            <w:pPr>
              <w:ind w:left="740"/>
              <w:spacing w:after="0"/>
              <w:rPr>
                <w:sz w:val="20"/>
                <w:szCs w:val="20"/>
                <w:color w:val="auto"/>
              </w:rPr>
            </w:pPr>
            <w:r>
              <w:rPr>
                <w:rFonts w:ascii="Arial" w:cs="Arial" w:eastAsia="Arial" w:hAnsi="Arial"/>
                <w:sz w:val="18"/>
                <w:szCs w:val="18"/>
                <w:color w:val="auto"/>
              </w:rPr>
              <w:t>Barclays Capital Inc.</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Mizuho Securities USA LLC</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Wells Fargo Securities, LLC</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HSBC Securities (USA) Inc.</w:t>
            </w:r>
          </w:p>
        </w:tc>
      </w:tr>
      <w:tr>
        <w:trPr>
          <w:trHeight w:val="230"/>
        </w:trPr>
        <w:tc>
          <w:tcPr>
            <w:tcW w:w="3420" w:type="dxa"/>
            <w:vAlign w:val="bottom"/>
          </w:tcPr>
          <w:p>
            <w:pPr>
              <w:spacing w:after="0"/>
              <w:rPr>
                <w:sz w:val="20"/>
                <w:szCs w:val="20"/>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Morgan Stanley &amp; Co. LLC</w:t>
            </w:r>
          </w:p>
        </w:tc>
      </w:tr>
      <w:tr>
        <w:trPr>
          <w:trHeight w:val="418"/>
        </w:trPr>
        <w:tc>
          <w:tcPr>
            <w:tcW w:w="3420" w:type="dxa"/>
            <w:vAlign w:val="bottom"/>
          </w:tcPr>
          <w:p>
            <w:pPr>
              <w:spacing w:after="0"/>
              <w:rPr>
                <w:sz w:val="24"/>
                <w:szCs w:val="24"/>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ANZ Securities, Inc.</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BofA Securities, Inc.</w:t>
            </w:r>
          </w:p>
        </w:tc>
      </w:tr>
      <w:tr>
        <w:trPr>
          <w:trHeight w:val="216"/>
        </w:trPr>
        <w:tc>
          <w:tcPr>
            <w:tcW w:w="3420" w:type="dxa"/>
            <w:vAlign w:val="bottom"/>
          </w:tcPr>
          <w:p>
            <w:pPr>
              <w:spacing w:after="0"/>
              <w:rPr>
                <w:sz w:val="18"/>
                <w:szCs w:val="18"/>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Goldman Sachs &amp; Co. LLC</w:t>
            </w:r>
          </w:p>
        </w:tc>
      </w:tr>
      <w:tr>
        <w:trPr>
          <w:trHeight w:val="230"/>
        </w:trPr>
        <w:tc>
          <w:tcPr>
            <w:tcW w:w="3420" w:type="dxa"/>
            <w:vAlign w:val="bottom"/>
          </w:tcPr>
          <w:p>
            <w:pPr>
              <w:spacing w:after="0"/>
              <w:rPr>
                <w:sz w:val="20"/>
                <w:szCs w:val="20"/>
                <w:color w:val="auto"/>
              </w:rPr>
            </w:pPr>
          </w:p>
        </w:tc>
        <w:tc>
          <w:tcPr>
            <w:tcW w:w="7820" w:type="dxa"/>
            <w:vAlign w:val="bottom"/>
          </w:tcPr>
          <w:p>
            <w:pPr>
              <w:ind w:left="740"/>
              <w:spacing w:after="0"/>
              <w:rPr>
                <w:sz w:val="20"/>
                <w:szCs w:val="20"/>
                <w:color w:val="auto"/>
              </w:rPr>
            </w:pPr>
            <w:r>
              <w:rPr>
                <w:rFonts w:ascii="Arial" w:cs="Arial" w:eastAsia="Arial" w:hAnsi="Arial"/>
                <w:sz w:val="18"/>
                <w:szCs w:val="18"/>
                <w:color w:val="auto"/>
              </w:rPr>
              <w:t>RBC Capital Markets, LLC</w:t>
            </w:r>
          </w:p>
        </w:tc>
      </w:tr>
      <w:tr>
        <w:trPr>
          <w:trHeight w:val="675"/>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3.477% Senior Notes due 2051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 / Yield: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Spread to Benchmark Treasury: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ISIN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Academy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Seelaus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A. Ramirez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Siebert Williams Shank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 (Nasdaq: MU)</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3.477% Senior Notes due 2051 (the “2051 notes” and, together with the green bonds and the 2041 notes,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 2051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3.477%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 and November 1, beginning May 1, 2022, accruing from November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15 and October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100.000% of the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0.700% per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2.375% due May 15, 2051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108-05+ / 2.007 %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+147 basis 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3.477%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595112 BU6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US595112BU64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440" w:space="720"/>
            <w:col w:w="708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Redemption at Micron’s Option:</w:t>
            </w:r>
          </w:p>
        </w:tc>
        <w:tc>
          <w:tcPr>
            <w:tcW w:w="7900" w:type="dxa"/>
            <w:vAlign w:val="bottom"/>
          </w:tcPr>
          <w:p>
            <w:pPr>
              <w:ind w:left="820"/>
              <w:spacing w:after="0"/>
              <w:rPr>
                <w:sz w:val="20"/>
                <w:szCs w:val="20"/>
                <w:color w:val="auto"/>
              </w:rPr>
            </w:pPr>
            <w:r>
              <w:rPr>
                <w:rFonts w:ascii="Arial" w:cs="Arial" w:eastAsia="Arial" w:hAnsi="Arial"/>
                <w:sz w:val="18"/>
                <w:szCs w:val="18"/>
                <w:color w:val="auto"/>
                <w:w w:val="94"/>
              </w:rPr>
              <w:t>Micron may redeem the 2051 notes, in whole or in part, at any time and from time to time, at a</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2"/>
              </w:rPr>
              <w:t>redemption price equal to the greater of (i) 100% of the principal amount of the 2051 notes to be</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0"/>
              </w:rPr>
              <w:t>redeemed and (ii) the sum of the present values of the remaining scheduled payments of principal</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89"/>
              </w:rPr>
              <w:t>and interest thereon that would be due if the 2051 notes matured on the Par Call Date for the 2051</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notes (exclusive of interest accrued to the date of redemption), discounted to the date of</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0"/>
              </w:rPr>
              <w:t>redemption on a semi-annual basis (assuming a 360-day year consisting of twelve 30-day months)</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4"/>
              </w:rPr>
              <w:t>at the then current Treasury Rate plus 25 basis points, plus, in each case, accrued and unpaid</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2"/>
              </w:rPr>
              <w:t>interest, if any, on the amount being redeemed to, but excluding, the date of redemption. Micron</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0"/>
              </w:rPr>
              <w:t>may redeem any 2051 notes on or after the Par Call Date for the 2051 notes at a redemption price</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5"/>
              </w:rPr>
              <w:t>equal to 100% of the principal amount of the 2051 notes redeemed, plus accrued and unpaid</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3"/>
              </w:rPr>
              <w:t>interest, if any, to, but excluding, the date of redemption. The “Par Call Date” for the 2051 notes</w:t>
            </w: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means May 1, 2051 (six months prior to the maturity date).</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Joint Book-Running Managers:</w:t>
            </w:r>
          </w:p>
        </w:tc>
        <w:tc>
          <w:tcPr>
            <w:tcW w:w="7900" w:type="dxa"/>
            <w:vAlign w:val="bottom"/>
          </w:tcPr>
          <w:p>
            <w:pPr>
              <w:ind w:left="820"/>
              <w:spacing w:after="0"/>
              <w:rPr>
                <w:sz w:val="20"/>
                <w:szCs w:val="20"/>
                <w:color w:val="auto"/>
              </w:rPr>
            </w:pPr>
            <w:r>
              <w:rPr>
                <w:rFonts w:ascii="Arial" w:cs="Arial" w:eastAsia="Arial" w:hAnsi="Arial"/>
                <w:sz w:val="18"/>
                <w:szCs w:val="18"/>
                <w:color w:val="auto"/>
              </w:rPr>
              <w:t>Barclays Capital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Mizuho Securities USA LLC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Wells Fargo Securities, LLC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HSBC Securities (USA) Inc.</w:t>
            </w: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Morgan Stanley &amp; Co. LLC</w:t>
            </w:r>
          </w:p>
        </w:tc>
      </w:tr>
      <w:tr>
        <w:trPr>
          <w:trHeight w:val="418"/>
        </w:trPr>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ANZ Securities,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BofA Securities,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Goldman Sachs &amp; Co. LLC</w:t>
            </w: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RBC Capital Markets, LLC</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Co-Managers:</w:t>
            </w:r>
          </w:p>
        </w:tc>
        <w:tc>
          <w:tcPr>
            <w:tcW w:w="7900" w:type="dxa"/>
            <w:vAlign w:val="bottom"/>
          </w:tcPr>
          <w:p>
            <w:pPr>
              <w:ind w:left="820"/>
              <w:spacing w:after="0"/>
              <w:rPr>
                <w:sz w:val="20"/>
                <w:szCs w:val="20"/>
                <w:color w:val="auto"/>
              </w:rPr>
            </w:pPr>
            <w:r>
              <w:rPr>
                <w:rFonts w:ascii="Arial" w:cs="Arial" w:eastAsia="Arial" w:hAnsi="Arial"/>
                <w:sz w:val="18"/>
                <w:szCs w:val="18"/>
                <w:color w:val="auto"/>
              </w:rPr>
              <w:t>Academy Securities,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ICBC Standard Bank Plc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J.P. Morgan Securities LLC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R. Seelaus &amp; Co., LLC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Samuel A. Ramirez &amp; Company,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Scotia Capital (USA)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Siebert Williams Shank &amp; Co., LLC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TD Securities (USA) LLC</w:t>
            </w: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U.S. Bancorp Investments, Inc.</w:t>
            </w:r>
          </w:p>
        </w:tc>
      </w:tr>
      <w:tr>
        <w:trPr>
          <w:trHeight w:val="607"/>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All Notes</w:t>
            </w:r>
          </w:p>
        </w:tc>
        <w:tc>
          <w:tcPr>
            <w:tcW w:w="2620" w:type="dxa"/>
            <w:vAlign w:val="bottom"/>
          </w:tcPr>
          <w:p>
            <w:pPr>
              <w:spacing w:after="0"/>
              <w:rPr>
                <w:sz w:val="24"/>
                <w:szCs w:val="24"/>
                <w:color w:val="auto"/>
              </w:rPr>
            </w:pPr>
          </w:p>
        </w:tc>
        <w:tc>
          <w:tcPr>
            <w:tcW w:w="7900" w:type="dxa"/>
            <w:vAlign w:val="bottom"/>
          </w:tcPr>
          <w:p>
            <w:pPr>
              <w:spacing w:after="0"/>
              <w:rPr>
                <w:sz w:val="24"/>
                <w:szCs w:val="24"/>
                <w:color w:val="auto"/>
              </w:rPr>
            </w:pPr>
          </w:p>
        </w:tc>
      </w:tr>
      <w:tr>
        <w:trPr>
          <w:trHeight w:val="45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Pricing Date:</w:t>
            </w:r>
          </w:p>
        </w:tc>
        <w:tc>
          <w:tcPr>
            <w:tcW w:w="7900" w:type="dxa"/>
            <w:vAlign w:val="bottom"/>
          </w:tcPr>
          <w:p>
            <w:pPr>
              <w:ind w:left="820"/>
              <w:spacing w:after="0"/>
              <w:rPr>
                <w:sz w:val="20"/>
                <w:szCs w:val="20"/>
                <w:color w:val="auto"/>
              </w:rPr>
            </w:pPr>
            <w:r>
              <w:rPr>
                <w:rFonts w:ascii="Arial" w:cs="Arial" w:eastAsia="Arial" w:hAnsi="Arial"/>
                <w:sz w:val="18"/>
                <w:szCs w:val="18"/>
                <w:color w:val="auto"/>
              </w:rPr>
              <w:t>October 18, 2021</w:t>
            </w: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Closing Date:*</w:t>
            </w:r>
          </w:p>
        </w:tc>
        <w:tc>
          <w:tcPr>
            <w:tcW w:w="7900" w:type="dxa"/>
            <w:vAlign w:val="bottom"/>
          </w:tcPr>
          <w:p>
            <w:pPr>
              <w:ind w:left="820"/>
              <w:spacing w:after="0"/>
              <w:rPr>
                <w:sz w:val="20"/>
                <w:szCs w:val="20"/>
                <w:color w:val="auto"/>
              </w:rPr>
            </w:pPr>
            <w:r>
              <w:rPr>
                <w:rFonts w:ascii="Arial" w:cs="Arial" w:eastAsia="Arial" w:hAnsi="Arial"/>
                <w:sz w:val="18"/>
                <w:szCs w:val="18"/>
                <w:color w:val="auto"/>
              </w:rPr>
              <w:t>November 1, 2021 (T+10)</w:t>
            </w: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Denominations:</w:t>
            </w:r>
          </w:p>
        </w:tc>
        <w:tc>
          <w:tcPr>
            <w:tcW w:w="7900" w:type="dxa"/>
            <w:vAlign w:val="bottom"/>
          </w:tcPr>
          <w:p>
            <w:pPr>
              <w:ind w:left="820"/>
              <w:spacing w:after="0"/>
              <w:rPr>
                <w:sz w:val="20"/>
                <w:szCs w:val="20"/>
                <w:color w:val="auto"/>
              </w:rPr>
            </w:pPr>
            <w:r>
              <w:rPr>
                <w:rFonts w:ascii="Arial" w:cs="Arial" w:eastAsia="Arial" w:hAnsi="Arial"/>
                <w:sz w:val="18"/>
                <w:szCs w:val="18"/>
                <w:color w:val="auto"/>
              </w:rPr>
              <w:t>$2,000 and integral multiples of $1,000 in excess thereof</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Net Proceeds:</w:t>
            </w:r>
          </w:p>
        </w:tc>
        <w:tc>
          <w:tcPr>
            <w:tcW w:w="7900" w:type="dxa"/>
            <w:vAlign w:val="bottom"/>
          </w:tcPr>
          <w:p>
            <w:pPr>
              <w:ind w:left="820"/>
              <w:spacing w:after="0"/>
              <w:rPr>
                <w:sz w:val="20"/>
                <w:szCs w:val="20"/>
                <w:color w:val="auto"/>
              </w:rPr>
            </w:pPr>
            <w:r>
              <w:rPr>
                <w:rFonts w:ascii="Arial" w:cs="Arial" w:eastAsia="Arial" w:hAnsi="Arial"/>
                <w:sz w:val="18"/>
                <w:szCs w:val="18"/>
                <w:color w:val="auto"/>
                <w:w w:val="91"/>
              </w:rPr>
              <w:t>Micron estimates that the net proceeds from the sale of the 2041 notes and the 2051 notes, after</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5"/>
              </w:rPr>
              <w:t>deducting underwriter discounts and other estimated offering expenses, will be approximately</w:t>
            </w: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$992 million.</w:t>
            </w:r>
          </w:p>
        </w:tc>
      </w:tr>
      <w:tr>
        <w:trPr>
          <w:trHeight w:val="418"/>
        </w:trPr>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Micron estimates that the net proceeds from the sale of the green bonds, after deducting</w:t>
            </w: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w w:val="92"/>
              </w:rPr>
              <w:t>underwriter discounts and other estimated offering expenses, will be approximately $994 million.</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Ratings:**</w:t>
            </w:r>
          </w:p>
        </w:tc>
        <w:tc>
          <w:tcPr>
            <w:tcW w:w="7900" w:type="dxa"/>
            <w:vAlign w:val="bottom"/>
          </w:tcPr>
          <w:p>
            <w:pPr>
              <w:ind w:left="820"/>
              <w:spacing w:after="0"/>
              <w:rPr>
                <w:sz w:val="20"/>
                <w:szCs w:val="20"/>
                <w:color w:val="auto"/>
              </w:rPr>
            </w:pPr>
            <w:r>
              <w:rPr>
                <w:rFonts w:ascii="Arial" w:cs="Arial" w:eastAsia="Arial" w:hAnsi="Arial"/>
                <w:sz w:val="18"/>
                <w:szCs w:val="18"/>
                <w:color w:val="auto"/>
              </w:rPr>
              <w:t>Baa3 (Stable) (Moody’s Investors Service, Inc.)</w:t>
            </w: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BBB- (Positive) (Fitch Ratings Inc.)</w:t>
            </w: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BBB- (Positive) (S&amp;P Global Ratings)</w:t>
            </w:r>
          </w:p>
        </w:tc>
      </w:tr>
      <w:tr>
        <w:trPr>
          <w:trHeight w:val="675"/>
        </w:trPr>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firstLine="656"/>
        <w:spacing w:after="0" w:line="322" w:lineRule="auto"/>
        <w:tabs>
          <w:tab w:leader="none" w:pos="783"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t>It is expected that delivery of the notes will be made against payment therefor on or about November 1, 2021, which will be the tenth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ten business days (T+10), to specify alternative settlement arrangements to prevent a failed settlement.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0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1-888-603-5847, Credit Agricole Securities (USA) Inc. at 1-866-807-6030, Mizuho Securities USA LLC at 1-866-271-7403 or Wells Fargo Securities, LLC at 1-800-645-3751.</w:t>
      </w:r>
    </w:p>
    <w:p>
      <w:pPr>
        <w:spacing w:after="0" w:line="17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2021-10-19T05:09:07Z</dcterms:created>
  <dcterms:modified xsi:type="dcterms:W3CDTF">2021-10-19T05:09:07Z</dcterms:modified>
</cp:coreProperties>
</file>