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9"/>
        <w:spacing w:after="0"/>
        <w:rPr>
          <w:sz w:val="20"/>
          <w:szCs w:val="20"/>
          <w:color w:val="auto"/>
        </w:rPr>
      </w:pPr>
      <w:r>
        <w:rPr>
          <w:rFonts w:ascii="Courier New" w:cs="Courier New" w:eastAsia="Courier New" w:hAnsi="Courier New"/>
          <w:sz w:val="15"/>
          <w:szCs w:val="15"/>
          <w:color w:val="auto"/>
        </w:rPr>
        <w:t>FORM 10-Q</w:t>
      </w:r>
    </w:p>
    <w:p>
      <w:pPr>
        <w:ind w:left="2900"/>
        <w:spacing w:after="0" w:line="237" w:lineRule="auto"/>
        <w:rPr>
          <w:sz w:val="20"/>
          <w:szCs w:val="20"/>
          <w:color w:val="auto"/>
        </w:rPr>
      </w:pPr>
      <w:r>
        <w:rPr>
          <w:rFonts w:ascii="Courier New" w:cs="Courier New" w:eastAsia="Courier New" w:hAnsi="Courier New"/>
          <w:sz w:val="15"/>
          <w:szCs w:val="15"/>
          <w:color w:val="auto"/>
        </w:rPr>
        <w:t>_____________</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UNITED STATES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line="238" w:lineRule="auto"/>
        <w:rPr>
          <w:sz w:val="20"/>
          <w:szCs w:val="20"/>
          <w:color w:val="auto"/>
        </w:rPr>
      </w:pPr>
      <w:r>
        <w:rPr>
          <w:rFonts w:ascii="Courier New" w:cs="Courier New" w:eastAsia="Courier New" w:hAnsi="Courier New"/>
          <w:sz w:val="15"/>
          <w:szCs w:val="15"/>
          <w:color w:val="auto"/>
        </w:rPr>
        <w:t>Washington, DC 20549</w:t>
      </w:r>
    </w:p>
    <w:p>
      <w:pPr>
        <w:ind w:left="2900"/>
        <w:spacing w:after="0" w:line="237" w:lineRule="auto"/>
        <w:rPr>
          <w:sz w:val="20"/>
          <w:szCs w:val="20"/>
          <w:color w:val="auto"/>
        </w:rPr>
      </w:pPr>
      <w:r>
        <w:rPr>
          <w:rFonts w:ascii="Courier New" w:cs="Courier New" w:eastAsia="Courier New" w:hAnsi="Courier New"/>
          <w:sz w:val="15"/>
          <w:szCs w:val="15"/>
          <w:color w:val="auto"/>
        </w:rPr>
        <w:t>_____________</w:t>
      </w:r>
    </w:p>
    <w:p>
      <w:pPr>
        <w:spacing w:after="0" w:line="173" w:lineRule="exact"/>
        <w:rPr>
          <w:sz w:val="24"/>
          <w:szCs w:val="24"/>
          <w:color w:val="auto"/>
        </w:rPr>
      </w:pPr>
    </w:p>
    <w:p>
      <w:pPr>
        <w:ind w:left="2540" w:right="3679" w:hanging="2180"/>
        <w:spacing w:after="0" w:line="234" w:lineRule="auto"/>
        <w:tabs>
          <w:tab w:leader="none" w:pos="70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 the quarterly period ended June 1, 2000</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[_] TRANSITION REPORT PURSUANT TO SECTION 13 OR 15(d) OF THE SECURITIES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EXCHANGE ACT OF 1934</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Commission File Number: 1-10658</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State or other jurisdiction of incorporation or organization: Delaware</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166"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Internal Revenue Service - Employer Identification No. 75-1618004</w:t>
      </w:r>
    </w:p>
    <w:p>
      <w:pPr>
        <w:spacing w:after="0" w:line="335"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8000 S. Federal Way, Boise, Idaho 83716-9632</w:t>
      </w:r>
    </w:p>
    <w:p>
      <w:pPr>
        <w:ind w:left="3340" w:hanging="532"/>
        <w:spacing w:after="0" w:line="237" w:lineRule="auto"/>
        <w:tabs>
          <w:tab w:leader="none" w:pos="3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368-4000</w:t>
      </w:r>
    </w:p>
    <w:p>
      <w:pPr>
        <w:spacing w:after="0" w:line="166" w:lineRule="exact"/>
        <w:rPr>
          <w:rFonts w:ascii="Courier New" w:cs="Courier New" w:eastAsia="Courier New" w:hAnsi="Courier New"/>
          <w:sz w:val="15"/>
          <w:szCs w:val="15"/>
          <w:color w:val="auto"/>
        </w:rPr>
      </w:pPr>
    </w:p>
    <w:p>
      <w:pPr>
        <w:ind w:left="2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w:t>
      </w:r>
    </w:p>
    <w:p>
      <w:pPr>
        <w:spacing w:after="0" w:line="174" w:lineRule="exact"/>
        <w:rPr>
          <w:sz w:val="24"/>
          <w:szCs w:val="24"/>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number of outstanding shares of the registrant's Common Stock as of July 6, 2000 was 563,484,125 shares of Common Stock and 1,213,364.5 shares of Class A Common Stock.</w:t>
      </w:r>
    </w:p>
    <w:p>
      <w:pPr>
        <w:sectPr>
          <w:pgSz w:w="11900" w:h="16838" w:orient="portrait"/>
          <w:cols w:equalWidth="0" w:num="1">
            <w:col w:w="10239"/>
          </w:cols>
          <w:pgMar w:left="220" w:top="561" w:right="1440" w:bottom="1440" w:gutter="0" w:footer="0" w:header="0"/>
        </w:sectPr>
      </w:pPr>
    </w:p>
    <w:bookmarkStart w:id="1" w:name="page2"/>
    <w:bookmarkEnd w:id="1"/>
    <w:p>
      <w:pPr>
        <w:ind w:left="2200"/>
        <w:spacing w:after="0"/>
        <w:rPr>
          <w:sz w:val="20"/>
          <w:szCs w:val="20"/>
          <w:color w:val="auto"/>
        </w:rPr>
      </w:pPr>
      <w:r>
        <w:rPr>
          <w:rFonts w:ascii="Courier New" w:cs="Courier New" w:eastAsia="Courier New" w:hAnsi="Courier New"/>
          <w:sz w:val="14"/>
          <w:szCs w:val="14"/>
          <w:color w:val="auto"/>
        </w:rPr>
        <w:t>Part I. FINANCIAL INFORMATION</w:t>
      </w:r>
    </w:p>
    <w:p>
      <w:pPr>
        <w:sectPr>
          <w:pgSz w:w="11900" w:h="16838" w:orient="portrait"/>
          <w:cols w:equalWidth="0" w:num="1">
            <w:col w:w="10239"/>
          </w:cols>
          <w:pgMar w:left="220" w:top="624"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1" w:lineRule="exact"/>
        <w:rPr>
          <w:sz w:val="20"/>
          <w:szCs w:val="20"/>
          <w:color w:val="auto"/>
        </w:rPr>
      </w:pPr>
    </w:p>
    <w:p>
      <w:pPr>
        <w:sectPr>
          <w:pgSz w:w="11900" w:h="16838" w:orient="portrait"/>
          <w:cols w:equalWidth="0" w:num="2">
            <w:col w:w="620" w:space="180"/>
            <w:col w:w="9439"/>
          </w:cols>
          <w:pgMar w:left="220" w:top="624"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(Dollars in millions, except for par value)</w:t>
      </w:r>
    </w:p>
    <w:p>
      <w:pPr>
        <w:spacing w:after="0" w:line="200" w:lineRule="exact"/>
        <w:rPr>
          <w:sz w:val="20"/>
          <w:szCs w:val="20"/>
          <w:color w:val="auto"/>
        </w:rPr>
      </w:pPr>
    </w:p>
    <w:p>
      <w:pPr>
        <w:spacing w:after="0" w:line="303" w:lineRule="exact"/>
        <w:rPr>
          <w:sz w:val="20"/>
          <w:szCs w:val="20"/>
          <w:color w:val="auto"/>
        </w:rPr>
      </w:pPr>
    </w:p>
    <w:p>
      <w:pPr>
        <w:ind w:left="4300"/>
        <w:spacing w:after="0"/>
        <w:tabs>
          <w:tab w:leader="none" w:pos="568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September 2,</w:t>
      </w:r>
    </w:p>
    <w:p>
      <w:pPr>
        <w:spacing w:after="0" w:line="237" w:lineRule="auto"/>
        <w:tabs>
          <w:tab w:leader="none" w:pos="4360" w:val="left"/>
          <w:tab w:leader="none" w:pos="6020" w:val="left"/>
        </w:tabs>
        <w:rPr>
          <w:sz w:val="20"/>
          <w:szCs w:val="20"/>
          <w:color w:val="auto"/>
        </w:rPr>
      </w:pPr>
      <w:r>
        <w:rPr>
          <w:rFonts w:ascii="Courier New" w:cs="Courier New" w:eastAsia="Courier New" w:hAnsi="Courier New"/>
          <w:sz w:val="15"/>
          <w:szCs w:val="15"/>
          <w:color w:val="auto"/>
        </w:rPr>
        <w:t>As of</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ectPr>
          <w:pgSz w:w="11900" w:h="16838" w:orient="portrait"/>
          <w:cols w:equalWidth="0" w:num="1">
            <w:col w:w="10239"/>
          </w:cols>
          <w:pgMar w:left="220" w:top="624" w:right="1440" w:bottom="1440" w:gutter="0" w:footer="0" w:header="0"/>
          <w:type w:val="continuous"/>
        </w:sectPr>
      </w:pP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383.2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 investments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1,464.5</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1,318.9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1,143.9</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692.6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641.7</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25.3</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98.8</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119.9</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3,757.4</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2,830.0</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net</w:t>
            </w:r>
          </w:p>
        </w:tc>
        <w:tc>
          <w:tcPr>
            <w:tcW w:w="220" w:type="dxa"/>
            <w:vAlign w:val="bottom"/>
          </w:tcPr>
          <w:p>
            <w:pPr>
              <w:spacing w:after="0"/>
              <w:rPr>
                <w:sz w:val="24"/>
                <w:szCs w:val="2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214.7</w:t>
            </w:r>
          </w:p>
        </w:tc>
        <w:tc>
          <w:tcPr>
            <w:tcW w:w="7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4,055.6</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3,799.6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183.1</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8,210.8</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6,965.2</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897.6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74.9</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purchase contracts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35.0</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44.2</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111.7</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1,051.7</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922.0</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24"/>
                <w:szCs w:val="2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941.9</w:t>
            </w:r>
          </w:p>
        </w:tc>
        <w:tc>
          <w:tcPr>
            <w:tcW w:w="7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1,527.5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345.0</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77.6</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2,416.2</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2,832.8</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220" w:type="dxa"/>
            <w:vAlign w:val="bottom"/>
          </w:tcPr>
          <w:p>
            <w:pPr>
              <w:spacing w:after="0"/>
              <w:rPr>
                <w:sz w:val="24"/>
                <w:szCs w:val="2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189.9</w:t>
            </w:r>
          </w:p>
        </w:tc>
        <w:tc>
          <w:tcPr>
            <w:tcW w:w="7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168.3</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Common Stock, $0.10 par value, authorized</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1.0 billion shares, issued and outstanding</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541.5 million and 504.4 million shares,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respectively</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54.1</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Common Stock, $0.10 par value,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32.0 million shares,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issued and outstanding 11.6 million shares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2,721.5</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1,868.8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2,823.0</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2,045.4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Accumulated other comprehensive income (loss)</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5,604.7</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3,964.1</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 and shareholders'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8,210.8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6,965.2</w:t>
            </w:r>
          </w:p>
        </w:tc>
      </w:tr>
      <w:tr>
        <w:trPr>
          <w:trHeight w:val="168"/>
        </w:trPr>
        <w:tc>
          <w:tcPr>
            <w:tcW w:w="3980" w:type="dxa"/>
            <w:vAlign w:val="bottom"/>
          </w:tcPr>
          <w:p>
            <w:pPr>
              <w:spacing w:after="0"/>
              <w:rPr>
                <w:sz w:val="14"/>
                <w:szCs w:val="14"/>
                <w:color w:val="auto"/>
              </w:rPr>
            </w:pP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24" w:right="1440" w:bottom="1440" w:gutter="0" w:footer="0" w:header="0"/>
          <w:type w:val="continuous"/>
        </w:sectPr>
      </w:pPr>
    </w:p>
    <w:bookmarkStart w:id="2" w:name="page3"/>
    <w:bookmarkEnd w:id="2"/>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3399"/>
        <w:spacing w:after="0" w:line="237" w:lineRule="auto"/>
        <w:rPr>
          <w:sz w:val="20"/>
          <w:szCs w:val="20"/>
          <w:color w:val="auto"/>
        </w:rPr>
      </w:pPr>
      <w:r>
        <w:rPr>
          <w:rFonts w:ascii="Courier New" w:cs="Courier New" w:eastAsia="Courier New" w:hAnsi="Courier New"/>
          <w:sz w:val="15"/>
          <w:szCs w:val="15"/>
          <w:color w:val="auto"/>
        </w:rPr>
        <w:t>(Dollars in millions, except for per share data)</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628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June 3,</w:t>
      </w:r>
    </w:p>
    <w:p>
      <w:pPr>
        <w:spacing w:after="0" w:line="237" w:lineRule="auto"/>
        <w:tabs>
          <w:tab w:leader="none" w:pos="4720" w:val="left"/>
          <w:tab w:leader="none" w:pos="6460"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1,789.2</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863.8</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1,096.5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674.8</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174.9</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124.1</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100.6</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operating expense, net</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1,380.1</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891.6</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409.1</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non-operating income, net</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and minority</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interests</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423.2</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benefit</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(149.1)</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interests in net (income) loss</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0.8</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274.9</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2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0.50</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0.47</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shares used in per share calculations: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551.0</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532.6</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597.3</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532.6</w:t>
            </w:r>
          </w:p>
        </w:tc>
      </w:tr>
    </w:tbl>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3399"/>
        <w:spacing w:after="0" w:line="237" w:lineRule="auto"/>
        <w:rPr>
          <w:sz w:val="20"/>
          <w:szCs w:val="20"/>
          <w:color w:val="auto"/>
        </w:rPr>
      </w:pPr>
      <w:r>
        <w:rPr>
          <w:rFonts w:ascii="Courier New" w:cs="Courier New" w:eastAsia="Courier New" w:hAnsi="Courier New"/>
          <w:sz w:val="15"/>
          <w:szCs w:val="15"/>
          <w:color w:val="auto"/>
        </w:rPr>
        <w:t>(Dollars in millions, except for per share data)</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p>
      <w:pPr>
        <w:ind w:left="4820"/>
        <w:spacing w:after="0"/>
        <w:tabs>
          <w:tab w:leader="none" w:pos="638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June 3,</w:t>
      </w:r>
    </w:p>
    <w:p>
      <w:pPr>
        <w:spacing w:after="0" w:line="237" w:lineRule="auto"/>
        <w:tabs>
          <w:tab w:leader="none" w:pos="4880" w:val="left"/>
          <w:tab w:leader="none" w:pos="6460" w:val="left"/>
        </w:tabs>
        <w:rPr>
          <w:sz w:val="20"/>
          <w:szCs w:val="20"/>
          <w:color w:val="auto"/>
        </w:rPr>
      </w:pPr>
      <w:r>
        <w:rPr>
          <w:rFonts w:ascii="Courier New" w:cs="Courier New" w:eastAsia="Courier New" w:hAnsi="Courier New"/>
          <w:sz w:val="15"/>
          <w:szCs w:val="15"/>
          <w:color w:val="auto"/>
        </w:rPr>
        <w:t>For the nine months ended</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4,766.1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2,683.2</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2,748.6</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2,097.6</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485.2</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352.7</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295.8</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234.7</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operating expense, net</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3,570.6</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2,722.3</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5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1,195.5</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80.3</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5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(84.3)</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non-operating income, net</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and minority</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interests</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1,206.3</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5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(421.7)</w:t>
            </w:r>
          </w:p>
        </w:tc>
        <w:tc>
          <w:tcPr>
            <w:tcW w:w="3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5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537.7</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517.5</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593.0</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517.5</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(Dollars in millions)</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p>
      <w:pPr>
        <w:ind w:left="7260"/>
        <w:spacing w:after="0"/>
        <w:tabs>
          <w:tab w:leader="none" w:pos="900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June 3,</w:t>
      </w:r>
    </w:p>
    <w:p>
      <w:pPr>
        <w:spacing w:after="0"/>
        <w:tabs>
          <w:tab w:leader="none" w:pos="7340" w:val="left"/>
          <w:tab w:leader="none" w:pos="9180" w:val="left"/>
        </w:tabs>
        <w:rPr>
          <w:sz w:val="20"/>
          <w:szCs w:val="20"/>
          <w:color w:val="auto"/>
        </w:rPr>
      </w:pPr>
      <w:r>
        <w:rPr>
          <w:rFonts w:ascii="Courier New" w:cs="Courier New" w:eastAsia="Courier New" w:hAnsi="Courier New"/>
          <w:sz w:val="15"/>
          <w:szCs w:val="15"/>
          <w:color w:val="auto"/>
        </w:rPr>
        <w:t>For the nine months ended</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777.5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Adjustments to reconcile net income (loss) to net cash provided by operating</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726.7</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612.9</w:t>
            </w:r>
          </w:p>
        </w:tc>
      </w:tr>
      <w:tr>
        <w:trPr>
          <w:trHeight w:val="168"/>
        </w:trPr>
        <w:tc>
          <w:tcPr>
            <w:tcW w:w="6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Additional paid in capital tax effect from stock purchase plans</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147.6</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w:t>
            </w:r>
          </w:p>
        </w:tc>
      </w:tr>
      <w:tr>
        <w:trPr>
          <w:trHeight w:val="168"/>
        </w:trPr>
        <w:tc>
          <w:tcPr>
            <w:tcW w:w="6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Change in assets and liabilities, net of effects of acquisitions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8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Decrease (increase) in receivables</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(395.1)</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68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(276.0)</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(117.7)</w:t>
            </w:r>
          </w:p>
        </w:tc>
      </w:tr>
      <w:tr>
        <w:trPr>
          <w:trHeight w:val="168"/>
        </w:trPr>
        <w:tc>
          <w:tcPr>
            <w:tcW w:w="68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Increase in accounts payable and accrued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expenses, net of plant and equipment payables</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97.0</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68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Decrease (increase) in deferred income taxes</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45.8</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6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54.0</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1,177.5</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564.0</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available-for-sale and held-to-maturity securities</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(2,074.8)</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(2,368.4)</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sales and maturities of securities</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1,965.7</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1,116.1</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property, plant and equipment</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(759.2)</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(513.8)</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 of businesses, net of cash acquired</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(61.2)</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for investing activities</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(935.8)</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(1,762.5)</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202.8</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583.7</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on equipment purchase contracts</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(191.6)</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(218.6)</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Repayments of debt</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(167.7)</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(93.4)</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received in conjunction with acquisition</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681.1</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debt</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for) financing activities</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(153.1)</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990.3</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equivalents</w:t>
            </w:r>
          </w:p>
        </w:tc>
        <w:tc>
          <w:tcPr>
            <w:tcW w:w="34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88.6</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(208.2)</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 at beginning of period</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294.6</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558.8</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 at end of period</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383.2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350.6</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paid, net of amounts capitalized</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refunded (paid), net</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(175.0)</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185.5</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investing and financing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Equipment acquisitions on contracts payable and capital leases</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147.0</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135.3</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Conversion of debt to equity</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499.9</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received in conjunction with acquisition:</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Fair value of assets acquired</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949.3</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assumed</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(138.0)</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Debt issued</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(836.0)</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issued</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(656.4)</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(681.1)</w:t>
            </w:r>
          </w:p>
        </w:tc>
      </w:tr>
      <w:tr>
        <w:trPr>
          <w:trHeight w:val="168"/>
        </w:trPr>
        <w:tc>
          <w:tcPr>
            <w:tcW w:w="68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239"/>
          </w:cols>
          <w:pgMar w:left="220" w:top="617"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Comprehensive Income (Loss)</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millions)</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5520"/>
        <w:spacing w:after="0"/>
        <w:tabs>
          <w:tab w:leader="none" w:pos="724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June 3,</w:t>
      </w:r>
    </w:p>
    <w:p>
      <w:pPr>
        <w:spacing w:after="0"/>
        <w:tabs>
          <w:tab w:leader="none" w:pos="5580" w:val="left"/>
          <w:tab w:leader="none" w:pos="7340"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274.9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loss on investments</w:t>
            </w:r>
          </w:p>
        </w:tc>
        <w:tc>
          <w:tcPr>
            <w:tcW w:w="1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(32.5)</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30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comprehensive income (loss)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242.4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430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June 1,</w:t>
            </w:r>
          </w:p>
        </w:tc>
        <w:tc>
          <w:tcPr>
            <w:tcW w:w="5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nine months ended</w:t>
            </w:r>
          </w:p>
        </w:tc>
        <w:tc>
          <w:tcPr>
            <w:tcW w:w="122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jc w:val="right"/>
              <w:ind w:right="2727"/>
              <w:spacing w:after="0"/>
              <w:rPr>
                <w:sz w:val="20"/>
                <w:szCs w:val="20"/>
                <w:color w:val="auto"/>
              </w:rPr>
            </w:pPr>
            <w:r>
              <w:rPr>
                <w:rFonts w:ascii="Courier New" w:cs="Courier New" w:eastAsia="Courier New" w:hAnsi="Courier New"/>
                <w:sz w:val="15"/>
                <w:szCs w:val="15"/>
                <w:color w:val="auto"/>
                <w:w w:val="96"/>
              </w:rPr>
              <w:t>Net income (loss)</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777.5</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(51.4)</w:t>
            </w:r>
          </w:p>
        </w:tc>
      </w:tr>
      <w:tr>
        <w:trPr>
          <w:trHeight w:val="168"/>
        </w:trPr>
        <w:tc>
          <w:tcPr>
            <w:tcW w:w="43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6"/>
              </w:rPr>
              <w:t>Unrealized gain (loss) on investments</w:t>
            </w:r>
          </w:p>
        </w:tc>
        <w:tc>
          <w:tcPr>
            <w:tcW w:w="1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30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Total comprehensive income (loss)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784.5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w:t>
            </w:r>
          </w:p>
        </w:tc>
      </w:tr>
      <w:tr>
        <w:trPr>
          <w:trHeight w:val="168"/>
        </w:trPr>
        <w:tc>
          <w:tcPr>
            <w:tcW w:w="430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239"/>
          </w:cols>
          <w:pgMar w:left="220" w:top="617" w:right="1440" w:bottom="1440" w:gutter="0" w:footer="0" w:header="0"/>
        </w:sectPr>
      </w:pPr>
    </w:p>
    <w:bookmarkStart w:id="6" w:name="page7"/>
    <w:bookmarkEnd w:id="6"/>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ind w:left="1240"/>
        <w:spacing w:after="0" w:line="237" w:lineRule="auto"/>
        <w:rPr>
          <w:sz w:val="20"/>
          <w:szCs w:val="20"/>
          <w:color w:val="auto"/>
        </w:rPr>
      </w:pPr>
      <w:r>
        <w:rPr>
          <w:rFonts w:ascii="Courier New" w:cs="Courier New" w:eastAsia="Courier New" w:hAnsi="Courier New"/>
          <w:sz w:val="15"/>
          <w:szCs w:val="15"/>
          <w:color w:val="auto"/>
        </w:rPr>
        <w:t>(All tabular dollar amounts are stated in millions)</w:t>
      </w:r>
    </w:p>
    <w:p>
      <w:pPr>
        <w:spacing w:after="0" w:line="335"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interim financial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opinion of management, the accompanying unaudited consolidated financial statements contain all adjustments, including the benefit of an approximate $49 million nonrecurring adjustment in the third quarter of 2000 to the cost of products purchased under a joint venture supply arrangement as well as normal recurring adjustments, necessary to present fairly the consolidated financial position of Micron Technology, Inc., and subsidiaries (the "Company"), and their consolidated results of operations and cash flows. (See "Notes to Financial Statements - 8. Joint ventures"). Micron Technology, Inc. and its wholly-owned subsidiaries are collectively hereinafter referred to as "MTI." Micron Electronics, Inc., an approximately 61% owned subsidiary of MTI, is hereinafter referred to as "MEI."</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Recently issued accounting standards include Statement of Financial Accounting Standards ("SFAS") No. 133 "Accounting for Derivative Instruments and Hedging Activities," issued by the FASB in June 1998, Staff Accounting Bulletin ("SAB") No. 101 "Revenue Recognition in Financial Statements," issued by the Securities and Exchange Commission in December 1999 and Interpretation ("FIN") No.44 "Accounting for Certain Transactions involving Stock Compensation--an Interpretation of Accounting Principles Board ("APB") Opinion No.25," issued by the FASB in March 2000.</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The implementation of SFAS 133 is not expected to have a significant impact on the Company's future results of operations or financial position.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SAB No. 101 summarizes certain staff views in applying generally accepted accounting principles to revenue recognition in the financial statements. Adoption is required for the Company by the fourth quarter of 2001. The implementation of SAB No. 101 is not expected to impact results of the Company's semiconductor operations and the Company is evaluating the effect SAB No. 101 will have on results of the Company's PC operations.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Fin 44 clarifies the application of APB Opinion No.25. FIN 44 is effective July 1, 2000 and is not expected to impact the Company's results of operations or financial position.</w:t>
      </w:r>
    </w:p>
    <w:p>
      <w:pPr>
        <w:spacing w:after="0" w:line="17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These unaudited interim financial statements should be read in conjunction with the consolidated financial statements and accompanying notes included in the Company's Form 10-K for the year ended September 2, 1999.</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Supplemental balance sheet information</w:t>
      </w:r>
    </w:p>
    <w:p>
      <w:pPr>
        <w:spacing w:after="0" w:line="200" w:lineRule="exact"/>
        <w:rPr>
          <w:sz w:val="20"/>
          <w:szCs w:val="20"/>
          <w:color w:val="auto"/>
        </w:rPr>
      </w:pPr>
    </w:p>
    <w:p>
      <w:pPr>
        <w:spacing w:after="0" w:line="303" w:lineRule="exact"/>
        <w:rPr>
          <w:sz w:val="20"/>
          <w:szCs w:val="20"/>
          <w:color w:val="auto"/>
        </w:rPr>
      </w:pPr>
    </w:p>
    <w:p>
      <w:pPr>
        <w:ind w:left="4300"/>
        <w:spacing w:after="0"/>
        <w:tabs>
          <w:tab w:leader="none" w:pos="576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September 2,</w:t>
      </w:r>
    </w:p>
    <w:p>
      <w:pPr>
        <w:spacing w:after="0" w:line="237" w:lineRule="auto"/>
        <w:tabs>
          <w:tab w:leader="none" w:pos="4360" w:val="left"/>
          <w:tab w:leader="none" w:pos="6020" w:val="left"/>
        </w:tabs>
        <w:rPr>
          <w:sz w:val="20"/>
          <w:szCs w:val="20"/>
          <w:color w:val="auto"/>
        </w:rPr>
      </w:pPr>
      <w:r>
        <w:rPr>
          <w:rFonts w:ascii="Courier New" w:cs="Courier New" w:eastAsia="Courier New" w:hAnsi="Courier New"/>
          <w:sz w:val="15"/>
          <w:szCs w:val="15"/>
          <w:color w:val="auto"/>
        </w:rPr>
        <w:t>As of</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Trade receivables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907.1</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$ 542.4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receivable</w:t>
            </w:r>
          </w:p>
        </w:tc>
        <w:tc>
          <w:tcPr>
            <w:tcW w:w="9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63.2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Allowance for returns and discounts</w:t>
            </w:r>
          </w:p>
        </w:tc>
        <w:tc>
          <w:tcPr>
            <w:tcW w:w="9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9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receivables</w:t>
            </w:r>
          </w:p>
        </w:tc>
        <w:tc>
          <w:tcPr>
            <w:tcW w:w="9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197.1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97.4</w:t>
            </w:r>
          </w:p>
        </w:tc>
      </w:tr>
      <w:tr>
        <w:trPr>
          <w:trHeight w:val="168"/>
        </w:trPr>
        <w:tc>
          <w:tcPr>
            <w:tcW w:w="3160" w:type="dxa"/>
            <w:vAlign w:val="bottom"/>
          </w:tcPr>
          <w:p>
            <w:pPr>
              <w:spacing w:after="0"/>
              <w:rPr>
                <w:sz w:val="14"/>
                <w:szCs w:val="14"/>
                <w:color w:val="auto"/>
              </w:rPr>
            </w:pPr>
          </w:p>
        </w:tc>
        <w:tc>
          <w:tcPr>
            <w:tcW w:w="21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1,143.9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$ 692.6</w:t>
            </w:r>
          </w:p>
        </w:tc>
      </w:tr>
      <w:tr>
        <w:trPr>
          <w:trHeight w:val="168"/>
        </w:trPr>
        <w:tc>
          <w:tcPr>
            <w:tcW w:w="3160" w:type="dxa"/>
            <w:vAlign w:val="bottom"/>
          </w:tcPr>
          <w:p>
            <w:pPr>
              <w:spacing w:after="0"/>
              <w:rPr>
                <w:sz w:val="14"/>
                <w:szCs w:val="14"/>
                <w:color w:val="auto"/>
              </w:rPr>
            </w:pPr>
          </w:p>
        </w:tc>
        <w:tc>
          <w:tcPr>
            <w:tcW w:w="21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160" w:type="dxa"/>
            <w:vAlign w:val="bottom"/>
          </w:tcPr>
          <w:p>
            <w:pPr>
              <w:spacing w:after="0"/>
              <w:rPr>
                <w:sz w:val="24"/>
                <w:szCs w:val="24"/>
                <w:color w:val="auto"/>
              </w:rPr>
            </w:pPr>
          </w:p>
        </w:tc>
        <w:tc>
          <w:tcPr>
            <w:tcW w:w="9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balance sheet information, continued</w:t>
      </w:r>
    </w:p>
    <w:p>
      <w:pPr>
        <w:spacing w:after="0" w:line="200" w:lineRule="exact"/>
        <w:rPr>
          <w:sz w:val="20"/>
          <w:szCs w:val="20"/>
          <w:color w:val="auto"/>
        </w:rPr>
      </w:pPr>
    </w:p>
    <w:p>
      <w:pPr>
        <w:spacing w:after="0" w:line="303" w:lineRule="exact"/>
        <w:rPr>
          <w:sz w:val="20"/>
          <w:szCs w:val="20"/>
          <w:color w:val="auto"/>
        </w:rPr>
      </w:pPr>
    </w:p>
    <w:p>
      <w:pPr>
        <w:ind w:left="5000"/>
        <w:spacing w:after="0"/>
        <w:tabs>
          <w:tab w:leader="none" w:pos="646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September 2,</w:t>
      </w:r>
    </w:p>
    <w:p>
      <w:pPr>
        <w:spacing w:after="0" w:line="237" w:lineRule="auto"/>
        <w:tabs>
          <w:tab w:leader="none" w:pos="5060" w:val="left"/>
          <w:tab w:leader="none" w:pos="6720" w:val="left"/>
        </w:tabs>
        <w:rPr>
          <w:sz w:val="20"/>
          <w:szCs w:val="20"/>
          <w:color w:val="auto"/>
        </w:rPr>
      </w:pPr>
      <w:r>
        <w:rPr>
          <w:rFonts w:ascii="Courier New" w:cs="Courier New" w:eastAsia="Courier New" w:hAnsi="Courier New"/>
          <w:sz w:val="15"/>
          <w:szCs w:val="15"/>
          <w:color w:val="auto"/>
        </w:rPr>
        <w:t>As of</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80" w:type="dxa"/>
        <w:tblCellMar>
          <w:top w:w="0" w:type="dxa"/>
          <w:left w:w="0" w:type="dxa"/>
          <w:bottom w:w="0" w:type="dxa"/>
          <w:right w:w="0" w:type="dxa"/>
        </w:tblCellMar>
      </w:tblPr>
      <w:tr>
        <w:trPr>
          <w:trHeight w:val="169"/>
        </w:trPr>
        <w:tc>
          <w:tcPr>
            <w:tcW w:w="3460" w:type="dxa"/>
            <w:vAlign w:val="bottom"/>
          </w:tcPr>
          <w:p>
            <w:pPr>
              <w:spacing w:after="0" w:line="169" w:lineRule="exact"/>
              <w:rPr>
                <w:sz w:val="20"/>
                <w:szCs w:val="20"/>
                <w:color w:val="auto"/>
              </w:rPr>
            </w:pPr>
            <w:r>
              <w:rPr>
                <w:rFonts w:ascii="Courier New" w:cs="Courier New" w:eastAsia="Courier New" w:hAnsi="Courier New"/>
                <w:sz w:val="15"/>
                <w:szCs w:val="15"/>
                <w:color w:val="auto"/>
              </w:rPr>
              <w:t>Finished goods</w:t>
            </w:r>
          </w:p>
        </w:tc>
        <w:tc>
          <w:tcPr>
            <w:tcW w:w="154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w w:val="88"/>
              </w:rPr>
              <w:t>235.6</w:t>
            </w:r>
          </w:p>
        </w:tc>
        <w:tc>
          <w:tcPr>
            <w:tcW w:w="62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136.3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progress</w:t>
            </w:r>
          </w:p>
        </w:tc>
        <w:tc>
          <w:tcPr>
            <w:tcW w:w="1540" w:type="dxa"/>
            <w:vAlign w:val="bottom"/>
          </w:tcPr>
          <w:p>
            <w:pPr>
              <w:spacing w:after="0"/>
              <w:rPr>
                <w:sz w:val="14"/>
                <w:szCs w:val="14"/>
                <w:color w:val="auto"/>
              </w:rPr>
            </w:pPr>
          </w:p>
        </w:tc>
        <w:tc>
          <w:tcPr>
            <w:tcW w:w="9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323.0</w:t>
            </w:r>
          </w:p>
        </w:tc>
        <w:tc>
          <w:tcPr>
            <w:tcW w:w="6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and supplies</w:t>
            </w:r>
          </w:p>
        </w:tc>
        <w:tc>
          <w:tcPr>
            <w:tcW w:w="1540" w:type="dxa"/>
            <w:vAlign w:val="bottom"/>
          </w:tcPr>
          <w:p>
            <w:pPr>
              <w:spacing w:after="0"/>
              <w:rPr>
                <w:sz w:val="14"/>
                <w:szCs w:val="14"/>
                <w:color w:val="auto"/>
              </w:rPr>
            </w:pPr>
          </w:p>
        </w:tc>
        <w:tc>
          <w:tcPr>
            <w:tcW w:w="9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97.3</w:t>
            </w:r>
          </w:p>
        </w:tc>
        <w:tc>
          <w:tcPr>
            <w:tcW w:w="6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obsolescence</w:t>
            </w:r>
          </w:p>
        </w:tc>
        <w:tc>
          <w:tcPr>
            <w:tcW w:w="154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2"/>
              </w:rPr>
              <w:t>(14.2)</w:t>
            </w:r>
          </w:p>
        </w:tc>
        <w:tc>
          <w:tcPr>
            <w:tcW w:w="6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3460" w:type="dxa"/>
            <w:vAlign w:val="bottom"/>
          </w:tcPr>
          <w:p>
            <w:pPr>
              <w:spacing w:after="0"/>
              <w:rPr>
                <w:sz w:val="14"/>
                <w:szCs w:val="14"/>
                <w:color w:val="auto"/>
              </w:rPr>
            </w:pPr>
          </w:p>
        </w:tc>
        <w:tc>
          <w:tcPr>
            <w:tcW w:w="2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641.7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365.7</w:t>
            </w:r>
          </w:p>
        </w:tc>
      </w:tr>
      <w:tr>
        <w:trPr>
          <w:trHeight w:val="168"/>
        </w:trPr>
        <w:tc>
          <w:tcPr>
            <w:tcW w:w="3460" w:type="dxa"/>
            <w:vAlign w:val="bottom"/>
          </w:tcPr>
          <w:p>
            <w:pPr>
              <w:spacing w:after="0"/>
              <w:rPr>
                <w:sz w:val="14"/>
                <w:szCs w:val="14"/>
                <w:color w:val="auto"/>
              </w:rPr>
            </w:pPr>
          </w:p>
        </w:tc>
        <w:tc>
          <w:tcPr>
            <w:tcW w:w="2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and process technology</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80" w:type="dxa"/>
        <w:tblCellMar>
          <w:top w:w="0" w:type="dxa"/>
          <w:left w:w="0" w:type="dxa"/>
          <w:bottom w:w="0" w:type="dxa"/>
          <w:right w:w="0" w:type="dxa"/>
        </w:tblCellMar>
      </w:tblPr>
      <w:tr>
        <w:trPr>
          <w:trHeight w:val="169"/>
        </w:trPr>
        <w:tc>
          <w:tcPr>
            <w:tcW w:w="4020" w:type="dxa"/>
            <w:vAlign w:val="bottom"/>
          </w:tcPr>
          <w:p>
            <w:pPr>
              <w:spacing w:after="0" w:line="169" w:lineRule="exact"/>
              <w:rPr>
                <w:sz w:val="20"/>
                <w:szCs w:val="20"/>
                <w:color w:val="auto"/>
              </w:rPr>
            </w:pPr>
            <w:r>
              <w:rPr>
                <w:rFonts w:ascii="Courier New" w:cs="Courier New" w:eastAsia="Courier New" w:hAnsi="Courier New"/>
                <w:sz w:val="15"/>
                <w:szCs w:val="15"/>
                <w:color w:val="auto"/>
              </w:rPr>
              <w:t>Product and process technology, at cost</w:t>
            </w:r>
          </w:p>
        </w:tc>
        <w:tc>
          <w:tcPr>
            <w:tcW w:w="8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358.7</w:t>
            </w:r>
          </w:p>
        </w:tc>
        <w:tc>
          <w:tcPr>
            <w:tcW w:w="5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325.2</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8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(144.0)</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w:t>
            </w:r>
          </w:p>
        </w:tc>
      </w:tr>
      <w:tr>
        <w:trPr>
          <w:trHeight w:val="168"/>
        </w:trPr>
        <w:tc>
          <w:tcPr>
            <w:tcW w:w="4020" w:type="dxa"/>
            <w:vAlign w:val="bottom"/>
          </w:tcPr>
          <w:p>
            <w:pPr>
              <w:spacing w:after="0"/>
              <w:rPr>
                <w:sz w:val="14"/>
                <w:szCs w:val="14"/>
                <w:color w:val="auto"/>
              </w:rPr>
            </w:pP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214.7</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212.6</w:t>
            </w:r>
          </w:p>
        </w:tc>
      </w:tr>
      <w:tr>
        <w:trPr>
          <w:trHeight w:val="168"/>
        </w:trPr>
        <w:tc>
          <w:tcPr>
            <w:tcW w:w="4020" w:type="dxa"/>
            <w:vAlign w:val="bottom"/>
          </w:tcPr>
          <w:p>
            <w:pPr>
              <w:spacing w:after="0"/>
              <w:rPr>
                <w:sz w:val="14"/>
                <w:szCs w:val="14"/>
                <w:color w:val="auto"/>
              </w:rPr>
            </w:pP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80" w:type="dxa"/>
        <w:tblCellMar>
          <w:top w:w="0" w:type="dxa"/>
          <w:left w:w="0" w:type="dxa"/>
          <w:bottom w:w="0" w:type="dxa"/>
          <w:right w:w="0" w:type="dxa"/>
        </w:tblCellMar>
      </w:tblPr>
      <w:tr>
        <w:trPr>
          <w:trHeight w:val="169"/>
        </w:trPr>
        <w:tc>
          <w:tcPr>
            <w:tcW w:w="4340" w:type="dxa"/>
            <w:vAlign w:val="bottom"/>
          </w:tcPr>
          <w:p>
            <w:pPr>
              <w:spacing w:after="0" w:line="169" w:lineRule="exact"/>
              <w:rPr>
                <w:sz w:val="20"/>
                <w:szCs w:val="20"/>
                <w:color w:val="auto"/>
              </w:rPr>
            </w:pPr>
            <w:r>
              <w:rPr>
                <w:rFonts w:ascii="Courier New" w:cs="Courier New" w:eastAsia="Courier New" w:hAnsi="Courier New"/>
                <w:sz w:val="15"/>
                <w:szCs w:val="15"/>
                <w:color w:val="auto"/>
              </w:rPr>
              <w:t>Land</w:t>
            </w:r>
          </w:p>
        </w:tc>
        <w:tc>
          <w:tcPr>
            <w:tcW w:w="3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50.4</w:t>
            </w: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42.2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1,377.1</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1,172.4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4,699.8</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4,074.4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607.4</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726.0</w:t>
            </w:r>
          </w:p>
        </w:tc>
      </w:tr>
      <w:tr>
        <w:trPr>
          <w:trHeight w:val="168"/>
        </w:trPr>
        <w:tc>
          <w:tcPr>
            <w:tcW w:w="4340" w:type="dxa"/>
            <w:vAlign w:val="bottom"/>
          </w:tcPr>
          <w:p>
            <w:pPr>
              <w:spacing w:after="0"/>
              <w:rPr>
                <w:sz w:val="14"/>
                <w:szCs w:val="14"/>
                <w:color w:val="auto"/>
              </w:rPr>
            </w:pP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6,734.7</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6,015.0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3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(2,679.1)</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(2,215.4)</w:t>
            </w:r>
          </w:p>
        </w:tc>
      </w:tr>
      <w:tr>
        <w:trPr>
          <w:trHeight w:val="168"/>
        </w:trPr>
        <w:tc>
          <w:tcPr>
            <w:tcW w:w="4340" w:type="dxa"/>
            <w:vAlign w:val="bottom"/>
          </w:tcPr>
          <w:p>
            <w:pPr>
              <w:spacing w:after="0"/>
              <w:rPr>
                <w:sz w:val="14"/>
                <w:szCs w:val="14"/>
                <w:color w:val="auto"/>
              </w:rPr>
            </w:pP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4,055.6</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$ 3,799.6</w:t>
            </w:r>
          </w:p>
        </w:tc>
      </w:tr>
      <w:tr>
        <w:trPr>
          <w:trHeight w:val="168"/>
        </w:trPr>
        <w:tc>
          <w:tcPr>
            <w:tcW w:w="4340" w:type="dxa"/>
            <w:vAlign w:val="bottom"/>
          </w:tcPr>
          <w:p>
            <w:pPr>
              <w:spacing w:after="0"/>
              <w:rPr>
                <w:sz w:val="14"/>
                <w:szCs w:val="14"/>
                <w:color w:val="auto"/>
              </w:rPr>
            </w:pP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June 1, 2000, property, plant and equipment included total unamortized costs of $822.1 million for the Company's semiconductor memory manufacturing facility in Lehi, Utah, of which $521.5 million has not been placed in service and is not being depreciated. The Company has limited test operations in service in Lehi. Timing of the completion of the remainder of the Lehi facility is dependent upon market conditions, including, but not limited to, worldwide market supply of and demand for semiconductor memory products and the Company's operations, cash flows and alternative uses of capital. The Company continues to evaluate the carrying value of the facility and as of June 1, 2000, determined there was no impairment.</w:t>
      </w:r>
    </w:p>
    <w:p>
      <w:pPr>
        <w:spacing w:after="0" w:line="17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Depreciation expense was $237.6 million and $674.0 million, respectively, for the third quarter and first nine months of 2000, and $196.9 million and $569.1 million, respectively, for the third quarter and first nine months of 1999.</w:t>
      </w:r>
    </w:p>
    <w:p>
      <w:pPr>
        <w:spacing w:after="0" w:line="200" w:lineRule="exact"/>
        <w:rPr>
          <w:sz w:val="20"/>
          <w:szCs w:val="20"/>
          <w:color w:val="auto"/>
        </w:rPr>
      </w:pPr>
    </w:p>
    <w:p>
      <w:pPr>
        <w:spacing w:after="0" w:line="305" w:lineRule="exact"/>
        <w:rPr>
          <w:sz w:val="20"/>
          <w:szCs w:val="20"/>
          <w:color w:val="auto"/>
        </w:rPr>
      </w:pPr>
    </w:p>
    <w:p>
      <w:pPr>
        <w:ind w:left="6220"/>
        <w:spacing w:after="0"/>
        <w:tabs>
          <w:tab w:leader="none" w:pos="742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September 2,</w:t>
      </w:r>
    </w:p>
    <w:p>
      <w:pPr>
        <w:spacing w:after="0" w:line="237" w:lineRule="auto"/>
        <w:tabs>
          <w:tab w:leader="none" w:pos="6280" w:val="left"/>
          <w:tab w:leader="none" w:pos="7680" w:val="left"/>
        </w:tabs>
        <w:rPr>
          <w:sz w:val="20"/>
          <w:szCs w:val="20"/>
          <w:color w:val="auto"/>
        </w:rPr>
      </w:pPr>
      <w:r>
        <w:rPr>
          <w:rFonts w:ascii="Courier New" w:cs="Courier New" w:eastAsia="Courier New" w:hAnsi="Courier New"/>
          <w:sz w:val="15"/>
          <w:szCs w:val="15"/>
          <w:color w:val="auto"/>
        </w:rPr>
        <w:t>Accounts payable and accrued expenses</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4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$453.1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 wages and benefits</w:t>
            </w:r>
          </w:p>
        </w:tc>
        <w:tc>
          <w:tcPr>
            <w:tcW w:w="4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161.7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payable other than income</w:t>
            </w:r>
          </w:p>
        </w:tc>
        <w:tc>
          <w:tcPr>
            <w:tcW w:w="4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4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123.5</w:t>
            </w:r>
          </w:p>
        </w:tc>
      </w:tr>
      <w:tr>
        <w:trPr>
          <w:trHeight w:val="168"/>
        </w:trPr>
        <w:tc>
          <w:tcPr>
            <w:tcW w:w="2980" w:type="dxa"/>
            <w:vAlign w:val="bottom"/>
          </w:tcPr>
          <w:p>
            <w:pPr>
              <w:spacing w:after="0"/>
              <w:rPr>
                <w:sz w:val="14"/>
                <w:szCs w:val="14"/>
                <w:color w:val="auto"/>
              </w:rPr>
            </w:pPr>
          </w:p>
        </w:tc>
        <w:tc>
          <w:tcPr>
            <w:tcW w:w="4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4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$897.6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$705.4</w:t>
            </w:r>
          </w:p>
        </w:tc>
      </w:tr>
      <w:tr>
        <w:trPr>
          <w:trHeight w:val="168"/>
        </w:trPr>
        <w:tc>
          <w:tcPr>
            <w:tcW w:w="2980" w:type="dxa"/>
            <w:vAlign w:val="bottom"/>
          </w:tcPr>
          <w:p>
            <w:pPr>
              <w:spacing w:after="0"/>
              <w:rPr>
                <w:sz w:val="14"/>
                <w:szCs w:val="14"/>
                <w:color w:val="auto"/>
              </w:rPr>
            </w:pPr>
          </w:p>
        </w:tc>
        <w:tc>
          <w:tcPr>
            <w:tcW w:w="4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80" w:type="dxa"/>
            <w:vAlign w:val="bottom"/>
          </w:tcPr>
          <w:p>
            <w:pPr>
              <w:spacing w:after="0"/>
              <w:rPr>
                <w:sz w:val="24"/>
                <w:szCs w:val="24"/>
                <w:color w:val="auto"/>
              </w:rPr>
            </w:pPr>
          </w:p>
        </w:tc>
        <w:tc>
          <w:tcPr>
            <w:tcW w:w="4060" w:type="dxa"/>
            <w:vAlign w:val="bottom"/>
          </w:tcPr>
          <w:p>
            <w:pPr>
              <w:jc w:val="right"/>
              <w:ind w:right="3647"/>
              <w:spacing w:after="0"/>
              <w:rPr>
                <w:sz w:val="20"/>
                <w:szCs w:val="20"/>
                <w:color w:val="auto"/>
              </w:rPr>
            </w:pPr>
            <w:r>
              <w:rPr>
                <w:rFonts w:ascii="Courier New" w:cs="Courier New" w:eastAsia="Courier New" w:hAnsi="Courier New"/>
                <w:sz w:val="15"/>
                <w:szCs w:val="15"/>
                <w:color w:val="auto"/>
              </w:rPr>
              <w:t>7</w:t>
            </w:r>
          </w:p>
        </w:tc>
        <w:tc>
          <w:tcPr>
            <w:tcW w:w="10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balance sheet information,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920"/>
        <w:spacing w:after="0"/>
        <w:tabs>
          <w:tab w:leader="none" w:pos="794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September 2,</w:t>
      </w:r>
    </w:p>
    <w:p>
      <w:pPr>
        <w:spacing w:after="0"/>
        <w:tabs>
          <w:tab w:leader="none" w:pos="7080" w:val="left"/>
          <w:tab w:leader="none" w:pos="8300" w:val="left"/>
        </w:tabs>
        <w:rPr>
          <w:sz w:val="20"/>
          <w:szCs w:val="20"/>
          <w:color w:val="auto"/>
        </w:rPr>
      </w:pPr>
      <w:r>
        <w:rPr>
          <w:rFonts w:ascii="Courier New" w:cs="Courier New" w:eastAsia="Courier New" w:hAnsi="Courier New"/>
          <w:sz w:val="15"/>
          <w:szCs w:val="15"/>
          <w:color w:val="auto"/>
        </w:rPr>
        <w:t>As of</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Debt</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payable, due October 2005, with</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 effective yield to maturity of 8.4%, net of unamortized</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discount of $58.4 million and $64.8 million, respectively</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$ 681.6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675.2</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notes payable, due July 2004,</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rate of 7.0%</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notes payable, due October 2005, with an effective</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yield to maturity of 10.7%, net of unamortized discount of</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$34.5 million and $38.1 million, respectively</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175.5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171.9</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in periodic installments through July 2015,</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interest rate of 7.26% and 7.37%,</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respectively</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102.5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259.0</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obligations payable in monthly installments</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 August 2004, weighted average interest rate of</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7.61% and 7.52%, respectively</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60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986.1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1,639.2</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(111.7)</w:t>
            </w:r>
          </w:p>
        </w:tc>
      </w:tr>
      <w:tr>
        <w:trPr>
          <w:trHeight w:val="168"/>
        </w:trPr>
        <w:tc>
          <w:tcPr>
            <w:tcW w:w="60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$ 941.9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$1,527.5</w:t>
            </w:r>
          </w:p>
        </w:tc>
      </w:tr>
      <w:tr>
        <w:trPr>
          <w:trHeight w:val="168"/>
        </w:trPr>
        <w:tc>
          <w:tcPr>
            <w:tcW w:w="60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convertible subordinated notes due October 2005 (the "Convertible Notes") with an effective yield to maturity of 8.4% have a face value of $740 million and a stated interest rate of 6.5%. The Convertible Notes are convertible into shares of the Company's common stock at $30 per share. The Company may call for the early redemption of the Convertible Notes between October 2000 and October 2002 if the price of the Company's common stock is at least $39 per share for a specified trading period. Subsequent to October 2002, the Convertible Notes are redeemable by the Company at an initial price of 103% which declines to 100% of the principal amount depending on the date of redemption. The Convertible Notes have not been registered with the Securities and Exchange Commission, however the holder has certain registration rights.</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the third quarter of 2000, all of the Company's 7.0% convertible subordinated notes due July 2004 were converted into 14.8 million shares of the Company's common stock, thereby reducing long-term debt by $500 million.</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subordinated notes due October 2005 with a yield to maturity of 10.7% have a face value of $210 million and a stated interest rate of 6.5%.</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MEI has a $100 million unsecured credit agreement expiring in June 2001. Under the credit agreement, MEI is subject to certain financial and other covenants including certain financial ratios and limitations on the amount of dividends paid by MEI. As of June 1, 2000, MEI had no borrowings outstanding under the agreement. MTI terminated its revolving credit agreement effective December 2, 1999.</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operating expense, net</w:t>
      </w:r>
    </w:p>
    <w:p>
      <w:pPr>
        <w:spacing w:after="0" w:line="173" w:lineRule="exact"/>
        <w:rPr>
          <w:sz w:val="20"/>
          <w:szCs w:val="20"/>
          <w:color w:val="auto"/>
        </w:rPr>
      </w:pPr>
    </w:p>
    <w:p>
      <w:pPr>
        <w:ind w:right="3860" w:firstLine="437"/>
        <w:spacing w:after="0" w:line="236" w:lineRule="auto"/>
        <w:rPr>
          <w:sz w:val="20"/>
          <w:szCs w:val="20"/>
          <w:color w:val="auto"/>
        </w:rPr>
      </w:pPr>
      <w:r>
        <w:rPr>
          <w:rFonts w:ascii="Courier New" w:cs="Courier New" w:eastAsia="Courier New" w:hAnsi="Courier New"/>
          <w:sz w:val="15"/>
          <w:szCs w:val="15"/>
          <w:color w:val="auto"/>
        </w:rPr>
        <w:t>Other operating expense for the first nine months of 2000 includes net pre-tax losses of $27 million from the write down and disposal of semiconductor operations equipment. Other operating expense for the first nine months of 1999 includes a $15 million charge from the write down of certain flat panel display assets sold and a net pre-tax loss of $9 million from the write down and disposal of semiconductor operations equipment.</w:t>
      </w:r>
    </w:p>
    <w:p>
      <w:pPr>
        <w:spacing w:after="0" w:line="168"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non-operating income, net</w:t>
      </w:r>
    </w:p>
    <w:p>
      <w:pPr>
        <w:spacing w:after="0" w:line="173" w:lineRule="exact"/>
        <w:rPr>
          <w:sz w:val="20"/>
          <w:szCs w:val="20"/>
          <w:color w:val="auto"/>
        </w:rPr>
      </w:pPr>
    </w:p>
    <w:p>
      <w:pPr>
        <w:ind w:right="4020" w:firstLine="437"/>
        <w:spacing w:after="0" w:line="236" w:lineRule="auto"/>
        <w:rPr>
          <w:sz w:val="20"/>
          <w:szCs w:val="20"/>
          <w:color w:val="auto"/>
        </w:rPr>
      </w:pPr>
      <w:r>
        <w:rPr>
          <w:rFonts w:ascii="Courier New" w:cs="Courier New" w:eastAsia="Courier New" w:hAnsi="Courier New"/>
          <w:sz w:val="15"/>
          <w:szCs w:val="15"/>
          <w:color w:val="auto"/>
        </w:rPr>
        <w:t>Other non-operating income for the third quarter and first nine months of 2000 includes a gain of $4 million and $14 million, respectively, on MTI's contribution of 2.3 million shares of MEI Common Stock (the "Contribution") to the Micron Technology Foundation. The Contribution decreased MTI's ownership interest in MEI from approximately 63% to 61%. Selling, general and administrative expense in the third quarter and first nine months of 2000 reflects charges of $6 million and $25 million, respectively, for the market value of the stock contributed.</w:t>
      </w:r>
    </w:p>
    <w:p>
      <w:pPr>
        <w:spacing w:after="0" w:line="171"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(provision) benefit</w:t>
      </w:r>
    </w:p>
    <w:p>
      <w:pPr>
        <w:spacing w:after="0" w:line="173" w:lineRule="exact"/>
        <w:rPr>
          <w:sz w:val="20"/>
          <w:szCs w:val="20"/>
          <w:color w:val="auto"/>
        </w:rPr>
      </w:pPr>
    </w:p>
    <w:p>
      <w:pPr>
        <w:ind w:right="3860" w:firstLine="437"/>
        <w:spacing w:after="0" w:line="256" w:lineRule="auto"/>
        <w:rPr>
          <w:sz w:val="20"/>
          <w:szCs w:val="20"/>
          <w:color w:val="auto"/>
        </w:rPr>
      </w:pPr>
      <w:r>
        <w:rPr>
          <w:rFonts w:ascii="Courier New" w:cs="Courier New" w:eastAsia="Courier New" w:hAnsi="Courier New"/>
          <w:sz w:val="14"/>
          <w:szCs w:val="14"/>
          <w:color w:val="auto"/>
        </w:rPr>
        <w:t>The effective tax rate for the third quarter and first nine months of 2000 was 35%. The effective tax rate for the third quarter and first nine months of 1999 was approximately 41% and 40%, respectively. The reduction in the effective tax rate is principally a result of favorable tax treatment on permanently reinvested earnings from certain of the Company's foreign operations.</w:t>
      </w:r>
    </w:p>
    <w:p>
      <w:pPr>
        <w:spacing w:after="0" w:line="157"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share</w:t>
      </w:r>
    </w:p>
    <w:p>
      <w:pPr>
        <w:spacing w:after="0" w:line="173" w:lineRule="exact"/>
        <w:rPr>
          <w:sz w:val="20"/>
          <w:szCs w:val="20"/>
          <w:color w:val="auto"/>
        </w:rPr>
      </w:pPr>
    </w:p>
    <w:p>
      <w:pPr>
        <w:ind w:right="3940" w:firstLine="437"/>
        <w:spacing w:after="0" w:line="236" w:lineRule="auto"/>
        <w:rPr>
          <w:sz w:val="20"/>
          <w:szCs w:val="20"/>
          <w:color w:val="auto"/>
        </w:rPr>
      </w:pPr>
      <w:r>
        <w:rPr>
          <w:rFonts w:ascii="Courier New" w:cs="Courier New" w:eastAsia="Courier New" w:hAnsi="Courier New"/>
          <w:sz w:val="15"/>
          <w:szCs w:val="15"/>
          <w:color w:val="auto"/>
        </w:rPr>
        <w:t>Basic earnings per share is calculated using the average number of common shares outstanding. Diluted earnings per share is computed on the basis of the weighted average number of common shares outstanding plus the effect of outstanding stock options using the "treasury stock method" and convertible notes using the "if-converted" method. All share and per share data have been restated to reflect retroactively a 2-for-1 stock split effected in the form of a stock dividend on May 1, 2000.</w:t>
      </w:r>
    </w:p>
    <w:p>
      <w:pPr>
        <w:spacing w:after="0" w:line="200" w:lineRule="exact"/>
        <w:rPr>
          <w:sz w:val="20"/>
          <w:szCs w:val="20"/>
          <w:color w:val="auto"/>
        </w:rPr>
      </w:pPr>
    </w:p>
    <w:p>
      <w:pPr>
        <w:spacing w:after="0" w:line="306" w:lineRule="exact"/>
        <w:rPr>
          <w:sz w:val="20"/>
          <w:szCs w:val="20"/>
          <w:color w:val="auto"/>
        </w:rPr>
      </w:pPr>
    </w:p>
    <w:p>
      <w:pPr>
        <w:ind w:left="5860"/>
        <w:spacing w:after="0"/>
        <w:tabs>
          <w:tab w:leader="none" w:pos="8380" w:val="left"/>
        </w:tabs>
        <w:rPr>
          <w:sz w:val="20"/>
          <w:szCs w:val="20"/>
          <w:color w:val="auto"/>
        </w:rPr>
      </w:pPr>
      <w:r>
        <w:rPr>
          <w:rFonts w:ascii="Courier New" w:cs="Courier New" w:eastAsia="Courier New" w:hAnsi="Courier New"/>
          <w:sz w:val="15"/>
          <w:szCs w:val="15"/>
          <w:color w:val="auto"/>
        </w:rPr>
        <w:t>Quarter ended</w:t>
      </w:r>
      <w:r>
        <w:rPr>
          <w:sz w:val="20"/>
          <w:szCs w:val="20"/>
          <w:color w:val="auto"/>
        </w:rPr>
        <w:tab/>
      </w:r>
      <w:r>
        <w:rPr>
          <w:rFonts w:ascii="Courier New" w:cs="Courier New" w:eastAsia="Courier New" w:hAnsi="Courier New"/>
          <w:sz w:val="14"/>
          <w:szCs w:val="14"/>
          <w:color w:val="auto"/>
        </w:rPr>
        <w:t>Nine months ended</w:t>
      </w:r>
    </w:p>
    <w:p>
      <w:pPr>
        <w:ind w:left="5440"/>
        <w:spacing w:after="0" w:line="237" w:lineRule="auto"/>
        <w:tabs>
          <w:tab w:leader="none" w:pos="7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5520"/>
        <w:spacing w:after="0"/>
        <w:tabs>
          <w:tab w:leader="none" w:pos="6720" w:val="left"/>
          <w:tab w:leader="none" w:pos="8380" w:val="left"/>
          <w:tab w:leader="none" w:pos="952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5"/>
          <w:szCs w:val="15"/>
          <w:color w:val="auto"/>
        </w:rPr>
        <w:t>June 3,</w:t>
      </w:r>
      <w:r>
        <w:rPr>
          <w:sz w:val="20"/>
          <w:szCs w:val="20"/>
          <w:color w:val="auto"/>
        </w:rPr>
        <w:tab/>
      </w: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June 3,</w:t>
      </w:r>
    </w:p>
    <w:p>
      <w:pPr>
        <w:ind w:left="5600"/>
        <w:spacing w:after="0"/>
        <w:tabs>
          <w:tab w:leader="none" w:pos="6820" w:val="left"/>
          <w:tab w:leader="none" w:pos="8480" w:val="left"/>
          <w:tab w:leader="none" w:pos="96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income (loss) available for common shareholders -</w:t>
            </w: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Basic</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$274.9</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(27.7)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$777.5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(51.4)</w:t>
            </w:r>
          </w:p>
        </w:tc>
      </w:tr>
      <w:tr>
        <w:trPr>
          <w:trHeight w:val="168"/>
        </w:trPr>
        <w:tc>
          <w:tcPr>
            <w:tcW w:w="50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available for common shareholders -</w:t>
            </w: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Diluted</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$283.0</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(27.7)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$812.3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(51.4)</w:t>
            </w:r>
          </w:p>
        </w:tc>
      </w:tr>
      <w:tr>
        <w:trPr>
          <w:trHeight w:val="168"/>
        </w:trPr>
        <w:tc>
          <w:tcPr>
            <w:tcW w:w="50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Weighted average common stock outstanding - Basic</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551.0</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532.6</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537.7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517.5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effect of dilutive stock options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21.6</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effect of dilutive convertible subordinated notes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24.7</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weighted average common stock - Diluted</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597.3</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532.6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593.0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517.5</w:t>
            </w:r>
          </w:p>
        </w:tc>
      </w:tr>
      <w:tr>
        <w:trPr>
          <w:trHeight w:val="168"/>
        </w:trPr>
        <w:tc>
          <w:tcPr>
            <w:tcW w:w="50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Basic income (loss) per share</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$ 0.50</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(0.05)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(0.10)</w:t>
            </w:r>
          </w:p>
        </w:tc>
      </w:tr>
      <w:tr>
        <w:trPr>
          <w:trHeight w:val="168"/>
        </w:trPr>
        <w:tc>
          <w:tcPr>
            <w:tcW w:w="50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Diluted income (loss) per share</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$ 0.47</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(0.05)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$ 1.37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(0.10)</w:t>
            </w:r>
          </w:p>
        </w:tc>
      </w:tr>
      <w:tr>
        <w:trPr>
          <w:trHeight w:val="168"/>
        </w:trPr>
        <w:tc>
          <w:tcPr>
            <w:tcW w:w="50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80" w:type="dxa"/>
            <w:vAlign w:val="bottom"/>
          </w:tcPr>
          <w:p>
            <w:pPr>
              <w:ind w:left="3420"/>
              <w:spacing w:after="0"/>
              <w:rPr>
                <w:sz w:val="20"/>
                <w:szCs w:val="20"/>
                <w:color w:val="auto"/>
              </w:rPr>
            </w:pPr>
            <w:r>
              <w:rPr>
                <w:rFonts w:ascii="Courier New" w:cs="Courier New" w:eastAsia="Courier New" w:hAnsi="Courier New"/>
                <w:sz w:val="15"/>
                <w:szCs w:val="15"/>
                <w:color w:val="auto"/>
              </w:rPr>
              <w:t>9</w:t>
            </w: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1" w:lineRule="exact"/>
        <w:rPr>
          <w:sz w:val="20"/>
          <w:szCs w:val="20"/>
          <w:color w:val="auto"/>
        </w:rPr>
      </w:pPr>
    </w:p>
    <w:p>
      <w:pPr>
        <w:ind w:right="4380" w:firstLine="437"/>
        <w:spacing w:after="0" w:line="235" w:lineRule="auto"/>
        <w:rPr>
          <w:sz w:val="20"/>
          <w:szCs w:val="20"/>
          <w:color w:val="auto"/>
        </w:rPr>
      </w:pPr>
      <w:r>
        <w:rPr>
          <w:rFonts w:ascii="Courier New" w:cs="Courier New" w:eastAsia="Courier New" w:hAnsi="Courier New"/>
          <w:sz w:val="15"/>
          <w:szCs w:val="15"/>
          <w:color w:val="auto"/>
        </w:rPr>
        <w:t>The average number of shares listed below were not included in the computation of diluted earnings per share because to do so would have had the effect of increasing earnings per share for the periods presented:</w:t>
      </w:r>
    </w:p>
    <w:p>
      <w:pPr>
        <w:spacing w:after="0" w:line="200" w:lineRule="exact"/>
        <w:rPr>
          <w:sz w:val="20"/>
          <w:szCs w:val="20"/>
          <w:color w:val="auto"/>
        </w:rPr>
      </w:pPr>
    </w:p>
    <w:p>
      <w:pPr>
        <w:spacing w:after="0" w:line="304" w:lineRule="exact"/>
        <w:rPr>
          <w:sz w:val="20"/>
          <w:szCs w:val="20"/>
          <w:color w:val="auto"/>
        </w:rPr>
      </w:pPr>
    </w:p>
    <w:tbl>
      <w:tblPr>
        <w:tblLayout w:type="fixed"/>
        <w:tblInd w:w="5520" w:type="dxa"/>
        <w:tblCellMar>
          <w:top w:w="0" w:type="dxa"/>
          <w:left w:w="0" w:type="dxa"/>
          <w:bottom w:w="0" w:type="dxa"/>
          <w:right w:w="0" w:type="dxa"/>
        </w:tblCellMar>
      </w:tblPr>
      <w:tr>
        <w:trPr>
          <w:trHeight w:val="170"/>
        </w:trPr>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600" w:type="dxa"/>
            <w:vAlign w:val="bottom"/>
          </w:tcPr>
          <w:p>
            <w:pPr>
              <w:spacing w:after="0"/>
              <w:rPr>
                <w:sz w:val="14"/>
                <w:szCs w:val="14"/>
                <w:color w:val="auto"/>
              </w:rPr>
            </w:pPr>
          </w:p>
        </w:tc>
        <w:tc>
          <w:tcPr>
            <w:tcW w:w="284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600" w:type="dxa"/>
            <w:vAlign w:val="bottom"/>
          </w:tcPr>
          <w:p>
            <w:pPr>
              <w:spacing w:after="0"/>
              <w:rPr>
                <w:sz w:val="14"/>
                <w:szCs w:val="14"/>
                <w:color w:val="auto"/>
              </w:rPr>
            </w:pP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June 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June</w:t>
            </w:r>
          </w:p>
        </w:tc>
        <w:tc>
          <w:tcPr>
            <w:tcW w:w="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June 1,</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June 3,</w:t>
            </w:r>
          </w:p>
        </w:tc>
      </w:tr>
      <w:tr>
        <w:trPr>
          <w:trHeight w:val="168"/>
        </w:trPr>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Employee stock plans</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0.1</w:t>
            </w:r>
          </w:p>
        </w:tc>
        <w:tc>
          <w:tcPr>
            <w:tcW w:w="15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52.6</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8.4%</w:t>
            </w:r>
          </w:p>
        </w:tc>
        <w:tc>
          <w:tcPr>
            <w:tcW w:w="4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convertible subordinated notes payable due 2005</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7.0%</w:t>
            </w:r>
          </w:p>
        </w:tc>
        <w:tc>
          <w:tcPr>
            <w:tcW w:w="4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convertible subordinated notes payable due 2004</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w:t>
            </w:r>
          </w:p>
        </w:tc>
        <w:tc>
          <w:tcPr>
            <w:tcW w:w="1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14.8</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3"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On September 30, 1998, MTI completed the acquisition (the "Acquisition") of substantially all of the memory operations of Texas Instruments Incorporated. The following unaudited pro forma information presents the consolidated results of operations of the Company for the first nine months of 1999 as if the Acquisition had taken place at the beginning of 1999:</w:t>
      </w:r>
    </w:p>
    <w:p>
      <w:pPr>
        <w:spacing w:after="0" w:line="200" w:lineRule="exact"/>
        <w:rPr>
          <w:sz w:val="20"/>
          <w:szCs w:val="20"/>
          <w:color w:val="auto"/>
        </w:rPr>
      </w:pPr>
    </w:p>
    <w:p>
      <w:pPr>
        <w:spacing w:after="0" w:line="304"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June 3,</w:t>
      </w:r>
    </w:p>
    <w:p>
      <w:pPr>
        <w:spacing w:after="0" w:line="237" w:lineRule="auto"/>
        <w:tabs>
          <w:tab w:leader="none" w:pos="7240" w:val="left"/>
        </w:tabs>
        <w:rPr>
          <w:sz w:val="20"/>
          <w:szCs w:val="20"/>
          <w:color w:val="auto"/>
        </w:rPr>
      </w:pPr>
      <w:r>
        <w:rPr>
          <w:rFonts w:ascii="Courier New" w:cs="Courier New" w:eastAsia="Courier New" w:hAnsi="Courier New"/>
          <w:sz w:val="15"/>
          <w:szCs w:val="15"/>
          <w:color w:val="auto"/>
        </w:rPr>
        <w:t>For the nine months ended</w:t>
      </w:r>
      <w:r>
        <w:rPr>
          <w:sz w:val="20"/>
          <w:szCs w:val="20"/>
          <w:color w:val="auto"/>
        </w:rPr>
        <w:tab/>
      </w:r>
      <w:r>
        <w:rPr>
          <w:rFonts w:ascii="Courier New" w:cs="Courier New" w:eastAsia="Courier New" w:hAnsi="Courier New"/>
          <w:sz w:val="15"/>
          <w:szCs w:val="15"/>
          <w:color w:val="auto"/>
        </w:rPr>
        <w:t>1999</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$2,738.5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loss per share</w:t>
            </w:r>
          </w:p>
        </w:tc>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bl>
    <w:p>
      <w:pPr>
        <w:spacing w:after="0" w:line="341" w:lineRule="exact"/>
        <w:rPr>
          <w:sz w:val="20"/>
          <w:szCs w:val="20"/>
          <w:color w:val="auto"/>
        </w:rPr>
      </w:pPr>
    </w:p>
    <w:p>
      <w:pPr>
        <w:ind w:right="4280" w:firstLine="437"/>
        <w:spacing w:after="0" w:line="256" w:lineRule="auto"/>
        <w:rPr>
          <w:sz w:val="20"/>
          <w:szCs w:val="20"/>
          <w:color w:val="auto"/>
        </w:rPr>
      </w:pPr>
      <w:r>
        <w:rPr>
          <w:rFonts w:ascii="Courier New" w:cs="Courier New" w:eastAsia="Courier New" w:hAnsi="Courier New"/>
          <w:sz w:val="14"/>
          <w:szCs w:val="14"/>
          <w:color w:val="auto"/>
        </w:rPr>
        <w:t>These pro forma results of operations have been prepared for comparative purposes only and do not purport to be indicative of the results of operations which actually would have resulted had the Acquisition occurred on the date indicated, or which may result in the future.</w:t>
      </w:r>
    </w:p>
    <w:p>
      <w:pPr>
        <w:spacing w:after="0" w:line="158"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ventures</w:t>
      </w:r>
    </w:p>
    <w:p>
      <w:pPr>
        <w:spacing w:after="0" w:line="173"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MTI participates in two joint ventures: TECH Semiconductor Singapore Pte. Ltd. ("TECH") and KMT Semiconductor Limited ("KMT"). TECH, which operates in Singapore, is a joint venture among MTI, the Singapore Economic Development Board, Canon Inc. and Hewlett-Packard Company. KMT, which operates in Japan, is a joint venture between MTI and Kobe Steel, Ltd. TECH and KMT are collectively referred to herein as the "JVs".</w:t>
      </w:r>
    </w:p>
    <w:p>
      <w:pPr>
        <w:spacing w:after="0" w:line="175" w:lineRule="exact"/>
        <w:rPr>
          <w:sz w:val="20"/>
          <w:szCs w:val="20"/>
          <w:color w:val="auto"/>
        </w:rPr>
      </w:pPr>
    </w:p>
    <w:p>
      <w:pPr>
        <w:ind w:right="4120" w:firstLine="437"/>
        <w:spacing w:after="0" w:line="237" w:lineRule="auto"/>
        <w:rPr>
          <w:sz w:val="20"/>
          <w:szCs w:val="20"/>
          <w:color w:val="auto"/>
        </w:rPr>
      </w:pPr>
      <w:r>
        <w:rPr>
          <w:rFonts w:ascii="Courier New" w:cs="Courier New" w:eastAsia="Courier New" w:hAnsi="Courier New"/>
          <w:sz w:val="15"/>
          <w:szCs w:val="15"/>
          <w:color w:val="auto"/>
        </w:rPr>
        <w:t>Subject to certain terms and conditions, MTI has agreed to purchase the entire output of the JVs. MTI is a party to various agreements with the JVs whereby MTI provides technology, engineering support, training and information system support to the JVs. MTI also performs assembly and test services on product manufactured by the JVs. All transactions with the JVs are recognized as part of the net cost of products obtained from the JVs. The net cost of products purchased from the JVs, including the amortization of the value of the JV supply agreements, amounted to $125.4 million and $142.2 million for KMT and TECH, respectively, for the third quarter of 2000, and $386.1 million and $391.6 million for the first nine months of 2000. The net cost of products purchased from TECH reflects the benefit of an approximate $49 million nonrecurring adjustment in the third quarter of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120"/>
          </w:cols>
          <w:pgMar w:left="220" w:top="617" w:right="55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1" w:lineRule="exact"/>
        <w:rPr>
          <w:sz w:val="20"/>
          <w:szCs w:val="20"/>
          <w:color w:val="auto"/>
        </w:rPr>
      </w:pPr>
    </w:p>
    <w:p>
      <w:pPr>
        <w:ind w:right="3840" w:firstLine="437"/>
        <w:spacing w:after="0" w:line="236" w:lineRule="auto"/>
        <w:rPr>
          <w:sz w:val="20"/>
          <w:szCs w:val="20"/>
          <w:color w:val="auto"/>
        </w:rPr>
      </w:pPr>
      <w:r>
        <w:rPr>
          <w:rFonts w:ascii="Courier New" w:cs="Courier New" w:eastAsia="Courier New" w:hAnsi="Courier New"/>
          <w:sz w:val="15"/>
          <w:szCs w:val="15"/>
          <w:color w:val="auto"/>
        </w:rPr>
        <w:t>Receivables from KMT and TECH were $29.7 million and $78.3 million and payables were $73.0 million and $101.2 million, respectively, as of June 1, 2000. As of September 2, 1999, receivables from KMT and TECH were $19.1 million and $47.2 million and payables were $24.4 million and $32.0 million, respectively.</w:t>
      </w:r>
    </w:p>
    <w:p>
      <w:pPr>
        <w:spacing w:after="0" w:line="335"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segment information</w:t>
      </w:r>
    </w:p>
    <w:p>
      <w:pPr>
        <w:spacing w:after="0" w:line="173" w:lineRule="exact"/>
        <w:rPr>
          <w:sz w:val="20"/>
          <w:szCs w:val="20"/>
          <w:color w:val="auto"/>
        </w:rPr>
      </w:pPr>
    </w:p>
    <w:p>
      <w:pPr>
        <w:ind w:right="3840" w:firstLine="437"/>
        <w:spacing w:after="0" w:line="256" w:lineRule="auto"/>
        <w:rPr>
          <w:sz w:val="20"/>
          <w:szCs w:val="20"/>
          <w:color w:val="auto"/>
        </w:rPr>
      </w:pPr>
      <w:r>
        <w:rPr>
          <w:rFonts w:ascii="Courier New" w:cs="Courier New" w:eastAsia="Courier New" w:hAnsi="Courier New"/>
          <w:sz w:val="14"/>
          <w:szCs w:val="14"/>
          <w:color w:val="auto"/>
        </w:rPr>
        <w:t>The Company has two reportable segments based on the nature of its operations and products offered to customers: semiconductor operations and PC operations. The semiconductor operations segment's primary product is DRAM. The PC operations segment's primary products include desktop and notebook PC systems, multiprocessor network servers, hardware services and e-services.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Intersegment sales for the third quarter and first nine months of 2000 and</w:t>
      </w:r>
    </w:p>
    <w:p>
      <w:pPr>
        <w:spacing w:after="0" w:line="10" w:lineRule="exact"/>
        <w:rPr>
          <w:sz w:val="20"/>
          <w:szCs w:val="20"/>
          <w:color w:val="auto"/>
        </w:rPr>
      </w:pPr>
    </w:p>
    <w:p>
      <w:pPr>
        <w:ind w:right="4360"/>
        <w:spacing w:after="0" w:line="235" w:lineRule="auto"/>
        <w:rPr>
          <w:sz w:val="20"/>
          <w:szCs w:val="20"/>
          <w:color w:val="auto"/>
        </w:rPr>
      </w:pPr>
      <w:r>
        <w:rPr>
          <w:rFonts w:ascii="Courier New" w:cs="Courier New" w:eastAsia="Courier New" w:hAnsi="Courier New"/>
          <w:sz w:val="15"/>
          <w:szCs w:val="15"/>
          <w:color w:val="auto"/>
        </w:rPr>
        <w:t>1999 are primarily comprised of sales from the Company's semiconductor operations to the Company's PC operations segment. Intersegment sales are eliminated to arrive at consolidated net sales.</w:t>
      </w:r>
    </w:p>
    <w:p>
      <w:pPr>
        <w:spacing w:after="0" w:line="174" w:lineRule="exact"/>
        <w:rPr>
          <w:sz w:val="20"/>
          <w:szCs w:val="20"/>
          <w:color w:val="auto"/>
        </w:rPr>
      </w:pPr>
    </w:p>
    <w:p>
      <w:pPr>
        <w:jc w:val="both"/>
        <w:ind w:right="3760" w:firstLine="437"/>
        <w:spacing w:after="0" w:line="235" w:lineRule="auto"/>
        <w:rPr>
          <w:sz w:val="20"/>
          <w:szCs w:val="20"/>
          <w:color w:val="auto"/>
        </w:rPr>
      </w:pPr>
      <w:r>
        <w:rPr>
          <w:rFonts w:ascii="Courier New" w:cs="Courier New" w:eastAsia="Courier New" w:hAnsi="Courier New"/>
          <w:sz w:val="15"/>
          <w:szCs w:val="15"/>
          <w:color w:val="auto"/>
        </w:rPr>
        <w:t>Sales to two of the Company's major PC OEM customers each approximated 15% of the Company's semiconductor operations net sales for the first nine months of 2000.</w:t>
      </w:r>
    </w:p>
    <w:p>
      <w:pPr>
        <w:sectPr>
          <w:pgSz w:w="11900" w:h="16838" w:orient="portrait"/>
          <w:cols w:equalWidth="0" w:num="1">
            <w:col w:w="10760"/>
          </w:cols>
          <w:pgMar w:left="220" w:top="617" w:right="9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Quarter ended</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180"/>
        <w:spacing w:after="0"/>
        <w:tabs>
          <w:tab w:leader="none" w:pos="664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June 3,</w:t>
      </w:r>
    </w:p>
    <w:p>
      <w:pPr>
        <w:ind w:left="5260"/>
        <w:spacing w:after="0" w:line="237" w:lineRule="auto"/>
        <w:tabs>
          <w:tab w:leader="none" w:pos="67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Nine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June 3,</w:t>
      </w:r>
    </w:p>
    <w:p>
      <w:pPr>
        <w:ind w:left="520"/>
        <w:spacing w:after="0" w:line="237" w:lineRule="auto"/>
        <w:tabs>
          <w:tab w:leader="none" w:pos="19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ectPr>
          <w:pgSz w:w="11900" w:h="16838" w:orient="portrait"/>
          <w:cols w:equalWidth="0" w:num="2">
            <w:col w:w="7360" w:space="260"/>
            <w:col w:w="3140"/>
          </w:cols>
          <w:pgMar w:left="220" w:top="617" w:right="9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sales</w:t>
      </w:r>
    </w:p>
    <w:p>
      <w:pPr>
        <w:sectPr>
          <w:pgSz w:w="11900" w:h="16838" w:orient="portrait"/>
          <w:cols w:equalWidth="0" w:num="1">
            <w:col w:w="10760"/>
          </w:cols>
          <w:pgMar w:left="220" w:top="617" w:right="91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Semiconductor operations</w:t>
            </w:r>
          </w:p>
        </w:tc>
        <w:tc>
          <w:tcPr>
            <w:tcW w:w="2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External</w:t>
            </w: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$1,534.4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$ 582.5</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$1,712.5</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w:t>
            </w: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3820" w:type="dxa"/>
            <w:vAlign w:val="bottom"/>
          </w:tcPr>
          <w:p>
            <w:pPr>
              <w:spacing w:after="0"/>
              <w:rPr>
                <w:sz w:val="14"/>
                <w:szCs w:val="14"/>
                <w:color w:val="auto"/>
              </w:rPr>
            </w:pP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1,543.5</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593.1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4,035.0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1,748.8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PC operations</w:t>
            </w:r>
          </w:p>
        </w:tc>
        <w:tc>
          <w:tcPr>
            <w:tcW w:w="2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External</w:t>
            </w: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280.6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765.4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965.9</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w:t>
            </w: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820" w:type="dxa"/>
            <w:vAlign w:val="bottom"/>
          </w:tcPr>
          <w:p>
            <w:pPr>
              <w:spacing w:after="0"/>
              <w:rPr>
                <w:sz w:val="14"/>
                <w:szCs w:val="14"/>
                <w:color w:val="auto"/>
              </w:rPr>
            </w:pP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282.6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770.6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970.3</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All other - external</w:t>
            </w:r>
          </w:p>
        </w:tc>
        <w:tc>
          <w:tcPr>
            <w:tcW w:w="2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0.7</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segments</w:t>
            </w:r>
          </w:p>
        </w:tc>
        <w:tc>
          <w:tcPr>
            <w:tcW w:w="2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1,800.3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876.4</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4,805.9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2,723.9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Elimination of intersegment</w:t>
            </w:r>
          </w:p>
        </w:tc>
        <w:tc>
          <w:tcPr>
            <w:tcW w:w="2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(11.1)</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r>
      <w:tr>
        <w:trPr>
          <w:trHeight w:val="168"/>
        </w:trPr>
        <w:tc>
          <w:tcPr>
            <w:tcW w:w="3820" w:type="dxa"/>
            <w:vAlign w:val="bottom"/>
          </w:tcPr>
          <w:p>
            <w:pPr>
              <w:spacing w:after="0"/>
              <w:rPr>
                <w:sz w:val="14"/>
                <w:szCs w:val="14"/>
                <w:color w:val="auto"/>
              </w:rPr>
            </w:pP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consolidated net sales</w:t>
            </w: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$1,789.2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$ 863.8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$4,766.1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$2,683.2</w:t>
            </w:r>
          </w:p>
        </w:tc>
      </w:tr>
      <w:tr>
        <w:trPr>
          <w:trHeight w:val="168"/>
        </w:trPr>
        <w:tc>
          <w:tcPr>
            <w:tcW w:w="3820" w:type="dxa"/>
            <w:vAlign w:val="bottom"/>
          </w:tcPr>
          <w:p>
            <w:pPr>
              <w:spacing w:after="0"/>
              <w:rPr>
                <w:sz w:val="14"/>
                <w:szCs w:val="14"/>
                <w:color w:val="auto"/>
              </w:rPr>
            </w:pPr>
          </w:p>
        </w:tc>
        <w:tc>
          <w:tcPr>
            <w:tcW w:w="2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2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Semiconductor operations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458.1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(9.5)</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$1,305.1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24.8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PC operations</w:t>
            </w:r>
          </w:p>
        </w:tc>
        <w:tc>
          <w:tcPr>
            <w:tcW w:w="10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(47.4)</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w:t>
            </w:r>
          </w:p>
        </w:tc>
        <w:tc>
          <w:tcPr>
            <w:tcW w:w="10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4420" w:type="dxa"/>
            <w:vAlign w:val="bottom"/>
          </w:tcPr>
          <w:p>
            <w:pPr>
              <w:spacing w:after="0"/>
              <w:rPr>
                <w:sz w:val="14"/>
                <w:szCs w:val="14"/>
                <w:color w:val="auto"/>
              </w:rPr>
            </w:pPr>
          </w:p>
        </w:tc>
        <w:tc>
          <w:tcPr>
            <w:tcW w:w="18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segments</w:t>
            </w:r>
          </w:p>
        </w:tc>
        <w:tc>
          <w:tcPr>
            <w:tcW w:w="102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409.1</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1,195.1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Elimination of intersegment</w:t>
            </w:r>
          </w:p>
        </w:tc>
        <w:tc>
          <w:tcPr>
            <w:tcW w:w="102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420" w:type="dxa"/>
            <w:vAlign w:val="bottom"/>
          </w:tcPr>
          <w:p>
            <w:pPr>
              <w:spacing w:after="0"/>
              <w:rPr>
                <w:sz w:val="14"/>
                <w:szCs w:val="14"/>
                <w:color w:val="auto"/>
              </w:rPr>
            </w:pPr>
          </w:p>
        </w:tc>
        <w:tc>
          <w:tcPr>
            <w:tcW w:w="18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consolidated operating income (loss)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409.1</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(27.8)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$1,195.5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(39.1)</w:t>
            </w:r>
          </w:p>
        </w:tc>
      </w:tr>
      <w:tr>
        <w:trPr>
          <w:trHeight w:val="168"/>
        </w:trPr>
        <w:tc>
          <w:tcPr>
            <w:tcW w:w="4420" w:type="dxa"/>
            <w:vAlign w:val="bottom"/>
          </w:tcPr>
          <w:p>
            <w:pPr>
              <w:spacing w:after="0"/>
              <w:rPr>
                <w:sz w:val="14"/>
                <w:szCs w:val="14"/>
                <w:color w:val="auto"/>
              </w:rPr>
            </w:pPr>
          </w:p>
        </w:tc>
        <w:tc>
          <w:tcPr>
            <w:tcW w:w="18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20" w:type="dxa"/>
            <w:vAlign w:val="bottom"/>
          </w:tcPr>
          <w:p>
            <w:pPr>
              <w:ind w:left="3340"/>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760"/>
          </w:cols>
          <w:pgMar w:left="220" w:top="617" w:right="919"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Segment assets consist of assets that are identified to reportable segments and reviewed by the chief operating decision-makers. Included in segment assets are cash, investments, accounts receivable, inventory and property, plant and equipment.</w:t>
      </w:r>
    </w:p>
    <w:p>
      <w:pPr>
        <w:spacing w:after="0" w:line="200" w:lineRule="exact"/>
        <w:rPr>
          <w:sz w:val="20"/>
          <w:szCs w:val="20"/>
          <w:color w:val="auto"/>
        </w:rPr>
      </w:pPr>
    </w:p>
    <w:p>
      <w:pPr>
        <w:spacing w:after="0" w:line="305" w:lineRule="exact"/>
        <w:rPr>
          <w:sz w:val="20"/>
          <w:szCs w:val="20"/>
          <w:color w:val="auto"/>
        </w:rPr>
      </w:pPr>
    </w:p>
    <w:p>
      <w:pPr>
        <w:ind w:left="5440"/>
        <w:spacing w:after="0"/>
        <w:tabs>
          <w:tab w:leader="none" w:pos="7420" w:val="left"/>
        </w:tabs>
        <w:rPr>
          <w:sz w:val="20"/>
          <w:szCs w:val="20"/>
          <w:color w:val="auto"/>
        </w:rPr>
      </w:pPr>
      <w:r>
        <w:rPr>
          <w:rFonts w:ascii="Courier New" w:cs="Courier New" w:eastAsia="Courier New" w:hAnsi="Courier New"/>
          <w:sz w:val="15"/>
          <w:szCs w:val="15"/>
          <w:color w:val="auto"/>
        </w:rPr>
        <w:t>June 1,</w:t>
      </w:r>
      <w:r>
        <w:rPr>
          <w:sz w:val="20"/>
          <w:szCs w:val="20"/>
          <w:color w:val="auto"/>
        </w:rPr>
        <w:tab/>
      </w:r>
      <w:r>
        <w:rPr>
          <w:rFonts w:ascii="Courier New" w:cs="Courier New" w:eastAsia="Courier New" w:hAnsi="Courier New"/>
          <w:sz w:val="14"/>
          <w:szCs w:val="14"/>
          <w:color w:val="auto"/>
        </w:rPr>
        <w:t>September 2,</w:t>
      </w:r>
    </w:p>
    <w:p>
      <w:pPr>
        <w:spacing w:after="0" w:line="237" w:lineRule="auto"/>
        <w:tabs>
          <w:tab w:leader="none" w:pos="5500" w:val="left"/>
          <w:tab w:leader="none" w:pos="7680" w:val="left"/>
        </w:tabs>
        <w:rPr>
          <w:sz w:val="20"/>
          <w:szCs w:val="20"/>
          <w:color w:val="auto"/>
        </w:rPr>
      </w:pPr>
      <w:r>
        <w:rPr>
          <w:rFonts w:ascii="Courier New" w:cs="Courier New" w:eastAsia="Courier New" w:hAnsi="Courier New"/>
          <w:sz w:val="15"/>
          <w:szCs w:val="15"/>
          <w:color w:val="auto"/>
        </w:rPr>
        <w:t>Segment assets as of</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Semiconductor operations</w:t>
            </w:r>
          </w:p>
        </w:tc>
        <w:tc>
          <w:tcPr>
            <w:tcW w:w="28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$7,411.2</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$6,001.9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PC operations</w:t>
            </w:r>
          </w:p>
        </w:tc>
        <w:tc>
          <w:tcPr>
            <w:tcW w:w="28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364.0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533.9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w:t>
            </w:r>
          </w:p>
        </w:tc>
        <w:tc>
          <w:tcPr>
            <w:tcW w:w="28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14.8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3940" w:type="dxa"/>
            <w:vAlign w:val="bottom"/>
          </w:tcPr>
          <w:p>
            <w:pPr>
              <w:spacing w:after="0"/>
              <w:rPr>
                <w:sz w:val="14"/>
                <w:szCs w:val="14"/>
                <w:color w:val="auto"/>
              </w:rPr>
            </w:pPr>
          </w:p>
        </w:tc>
        <w:tc>
          <w:tcPr>
            <w:tcW w:w="28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8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7,790.0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6,551.3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Elimination of intersegment</w:t>
            </w:r>
          </w:p>
        </w:tc>
        <w:tc>
          <w:tcPr>
            <w:tcW w:w="2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(88.8)</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(74.8)</w:t>
            </w:r>
          </w:p>
        </w:tc>
      </w:tr>
      <w:tr>
        <w:trPr>
          <w:trHeight w:val="168"/>
        </w:trPr>
        <w:tc>
          <w:tcPr>
            <w:tcW w:w="3940" w:type="dxa"/>
            <w:vAlign w:val="bottom"/>
          </w:tcPr>
          <w:p>
            <w:pPr>
              <w:spacing w:after="0"/>
              <w:rPr>
                <w:sz w:val="14"/>
                <w:szCs w:val="14"/>
                <w:color w:val="auto"/>
              </w:rPr>
            </w:pPr>
          </w:p>
        </w:tc>
        <w:tc>
          <w:tcPr>
            <w:tcW w:w="28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8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$7,701.2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$6,476.5</w:t>
            </w:r>
          </w:p>
        </w:tc>
      </w:tr>
      <w:tr>
        <w:trPr>
          <w:trHeight w:val="168"/>
        </w:trPr>
        <w:tc>
          <w:tcPr>
            <w:tcW w:w="3940" w:type="dxa"/>
            <w:vAlign w:val="bottom"/>
          </w:tcPr>
          <w:p>
            <w:pPr>
              <w:spacing w:after="0"/>
              <w:rPr>
                <w:sz w:val="14"/>
                <w:szCs w:val="14"/>
                <w:color w:val="auto"/>
              </w:rPr>
            </w:pPr>
          </w:p>
        </w:tc>
        <w:tc>
          <w:tcPr>
            <w:tcW w:w="28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Reconciliation to total assets</w:t>
            </w: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segment assets</w:t>
            </w:r>
          </w:p>
        </w:tc>
        <w:tc>
          <w:tcPr>
            <w:tcW w:w="25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$7,701.2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$6,476.5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2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2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98.8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and process technology</w:t>
            </w:r>
          </w:p>
        </w:tc>
        <w:tc>
          <w:tcPr>
            <w:tcW w:w="2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214.7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(net of segment assets)</w:t>
            </w:r>
          </w:p>
        </w:tc>
        <w:tc>
          <w:tcPr>
            <w:tcW w:w="2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170.8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117.9</w:t>
            </w:r>
          </w:p>
        </w:tc>
      </w:tr>
      <w:tr>
        <w:trPr>
          <w:trHeight w:val="168"/>
        </w:trPr>
        <w:tc>
          <w:tcPr>
            <w:tcW w:w="4200" w:type="dxa"/>
            <w:vAlign w:val="bottom"/>
          </w:tcPr>
          <w:p>
            <w:pPr>
              <w:spacing w:after="0"/>
              <w:rPr>
                <w:sz w:val="14"/>
                <w:szCs w:val="14"/>
                <w:color w:val="auto"/>
              </w:rPr>
            </w:pPr>
          </w:p>
        </w:tc>
        <w:tc>
          <w:tcPr>
            <w:tcW w:w="2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consolidated assets</w:t>
            </w:r>
          </w:p>
        </w:tc>
        <w:tc>
          <w:tcPr>
            <w:tcW w:w="2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$8,210.8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$6,965.2</w:t>
            </w:r>
          </w:p>
        </w:tc>
      </w:tr>
      <w:tr>
        <w:trPr>
          <w:trHeight w:val="168"/>
        </w:trPr>
        <w:tc>
          <w:tcPr>
            <w:tcW w:w="4200" w:type="dxa"/>
            <w:vAlign w:val="bottom"/>
          </w:tcPr>
          <w:p>
            <w:pPr>
              <w:spacing w:after="0"/>
              <w:rPr>
                <w:sz w:val="14"/>
                <w:szCs w:val="14"/>
                <w:color w:val="auto"/>
              </w:rPr>
            </w:pPr>
          </w:p>
        </w:tc>
        <w:tc>
          <w:tcPr>
            <w:tcW w:w="2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of June 1, 2000, the Company had commitments of approximately $1,179.8 million for equipment purchases and $49.2 million for the construction of buildings.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a party to various other legal actions arising out of the normal course of business, none of which are expected to have a material adverse effect on the Company's financial position or results of operations.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3" w:name="page14"/>
    <w:bookmarkEnd w:id="13"/>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Operations</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980" w:firstLine="437"/>
        <w:spacing w:after="0" w:line="236" w:lineRule="auto"/>
        <w:rPr>
          <w:sz w:val="20"/>
          <w:szCs w:val="20"/>
          <w:color w:val="auto"/>
        </w:rPr>
      </w:pPr>
      <w:r>
        <w:rPr>
          <w:rFonts w:ascii="Courier New" w:cs="Courier New" w:eastAsia="Courier New" w:hAnsi="Courier New"/>
          <w:sz w:val="15"/>
          <w:szCs w:val="15"/>
          <w:color w:val="auto"/>
        </w:rPr>
        <w:t>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 The Company's PC operations are operated through Micron Electronics, Inc. ("MEI"), a 61% owned, publicly-traded subsidiary of MTI.</w:t>
      </w:r>
    </w:p>
    <w:p>
      <w:pPr>
        <w:spacing w:after="0" w:line="176" w:lineRule="exact"/>
        <w:rPr>
          <w:sz w:val="20"/>
          <w:szCs w:val="20"/>
          <w:color w:val="auto"/>
        </w:rPr>
      </w:pPr>
    </w:p>
    <w:p>
      <w:pPr>
        <w:ind w:right="4540" w:firstLine="437"/>
        <w:spacing w:after="0" w:line="255" w:lineRule="auto"/>
        <w:rPr>
          <w:sz w:val="20"/>
          <w:szCs w:val="20"/>
          <w:color w:val="auto"/>
        </w:rPr>
      </w:pPr>
      <w:r>
        <w:rPr>
          <w:rFonts w:ascii="Courier New" w:cs="Courier New" w:eastAsia="Courier New" w:hAnsi="Courier New"/>
          <w:sz w:val="14"/>
          <w:szCs w:val="14"/>
          <w:color w:val="auto"/>
        </w:rPr>
        <w:t>The following discussion contains trend information and other forward-looking statements (including, for example, statements regarding future operating results, future capital expenditures, facility expansions, financing alternatives, new product introductions, technological developments, and the effect thereof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This discussion should be read in conjunction with the Company's Annual Report on Form 10-K for the year ended September 2, 1999. All period references are to the Company's fiscal periods ended June 1, 2000, September 2, 1999, or June 3, 1999, unless otherwise indicated. Shares and per share amounts for all periods presented reflect a two-for-one stock split effected in the form of a stock dividend on May 1, 2000. All per share amounts are presented on a diluted basis unless otherwise stated.</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Third Quarter</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Nine Months</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816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1999</w:t>
            </w:r>
          </w:p>
        </w:tc>
        <w:tc>
          <w:tcPr>
            <w:tcW w:w="3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816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4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36"/>
        </w:trPr>
        <w:tc>
          <w:tcPr>
            <w:tcW w:w="3380" w:type="dxa"/>
            <w:vAlign w:val="bottom"/>
          </w:tcPr>
          <w:p>
            <w:pPr>
              <w:ind w:left="280"/>
              <w:spacing w:after="0"/>
              <w:rPr>
                <w:sz w:val="20"/>
                <w:szCs w:val="20"/>
                <w:color w:val="auto"/>
              </w:rPr>
            </w:pPr>
            <w:r>
              <w:rPr>
                <w:rFonts w:ascii="Courier New" w:cs="Courier New" w:eastAsia="Courier New" w:hAnsi="Courier New"/>
                <w:sz w:val="15"/>
                <w:szCs w:val="15"/>
                <w:color w:val="auto"/>
              </w:rPr>
              <w:t>Semiconductor operations</w:t>
            </w: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$1,543.5   86.3</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$593.1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68.7</w:t>
            </w:r>
          </w:p>
        </w:tc>
        <w:tc>
          <w:tcPr>
            <w:tcW w:w="4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$4,035.0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c>
          <w:tcPr>
            <w:tcW w:w="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$1,748.8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c>
          <w:tcPr>
            <w:tcW w:w="3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PC operations</w:t>
            </w:r>
          </w:p>
        </w:tc>
        <w:tc>
          <w:tcPr>
            <w:tcW w:w="4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256.7</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w:t>
            </w:r>
          </w:p>
        </w:tc>
        <w:tc>
          <w:tcPr>
            <w:tcW w:w="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770.6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c>
          <w:tcPr>
            <w:tcW w:w="3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All other</w:t>
            </w:r>
          </w:p>
        </w:tc>
        <w:tc>
          <w:tcPr>
            <w:tcW w:w="4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3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Intersegment</w:t>
            </w:r>
          </w:p>
        </w:tc>
        <w:tc>
          <w:tcPr>
            <w:tcW w:w="4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(11.1)</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c>
          <w:tcPr>
            <w:tcW w:w="9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44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w:t>
            </w:r>
          </w:p>
        </w:tc>
        <w:tc>
          <w:tcPr>
            <w:tcW w:w="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c>
          <w:tcPr>
            <w:tcW w:w="94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380" w:type="dxa"/>
            <w:vAlign w:val="bottom"/>
          </w:tcPr>
          <w:p>
            <w:pPr>
              <w:spacing w:after="0"/>
              <w:rPr>
                <w:sz w:val="14"/>
                <w:szCs w:val="14"/>
                <w:color w:val="auto"/>
              </w:rPr>
            </w:pP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Consolidated net sales</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$1,789.2</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$863.8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$4,766.1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$2,683.2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3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Semiconductor operations</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458.1</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(9.5)</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$1,305.1</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PC operations</w:t>
            </w:r>
          </w:p>
        </w:tc>
        <w:tc>
          <w:tcPr>
            <w:tcW w:w="4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(47.4)</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(104.6)</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All other</w:t>
            </w:r>
          </w:p>
        </w:tc>
        <w:tc>
          <w:tcPr>
            <w:tcW w:w="4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Intersegment</w:t>
            </w:r>
          </w:p>
        </w:tc>
        <w:tc>
          <w:tcPr>
            <w:tcW w:w="4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Consolidated operating income (loss)</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409.1</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$1,195.5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274.9</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777.5</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(51.4)</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8"/>
        </w:trPr>
        <w:tc>
          <w:tcPr>
            <w:tcW w:w="3380" w:type="dxa"/>
            <w:vAlign w:val="bottom"/>
          </w:tcPr>
          <w:p>
            <w:pPr>
              <w:spacing w:after="0"/>
              <w:rPr>
                <w:sz w:val="14"/>
                <w:szCs w:val="14"/>
                <w:color w:val="auto"/>
              </w:rPr>
            </w:pP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0.47</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1.37</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8"/>
        </w:trPr>
        <w:tc>
          <w:tcPr>
            <w:tcW w:w="3380" w:type="dxa"/>
            <w:vAlign w:val="bottom"/>
          </w:tcPr>
          <w:p>
            <w:pPr>
              <w:spacing w:after="0"/>
              <w:rPr>
                <w:sz w:val="14"/>
                <w:szCs w:val="14"/>
                <w:color w:val="auto"/>
              </w:rPr>
            </w:pP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341" w:lineRule="exact"/>
        <w:rPr>
          <w:sz w:val="20"/>
          <w:szCs w:val="20"/>
          <w:color w:val="auto"/>
        </w:rPr>
      </w:pPr>
    </w:p>
    <w:p>
      <w:pPr>
        <w:ind w:right="4540" w:firstLine="437"/>
        <w:spacing w:after="0" w:line="234" w:lineRule="auto"/>
        <w:rPr>
          <w:sz w:val="20"/>
          <w:szCs w:val="20"/>
          <w:color w:val="auto"/>
        </w:rPr>
      </w:pPr>
      <w:r>
        <w:rPr>
          <w:rFonts w:ascii="Courier New" w:cs="Courier New" w:eastAsia="Courier New" w:hAnsi="Courier New"/>
          <w:sz w:val="15"/>
          <w:szCs w:val="15"/>
          <w:color w:val="auto"/>
        </w:rPr>
        <w:t>For the second quarter of 2000, net income was $161.3 million, or $0.29 per share, on consolidated net sales of $1,392.5 million.</w:t>
      </w:r>
    </w:p>
    <w:p>
      <w:pPr>
        <w:spacing w:after="0" w:line="341"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Intersegment sales are primarily comprised of sales from the Company's semiconductor operations segment to the Company's PC operations segment. Intersegment sales are eliminated to arrive at consolidated net sales. (See "Notes to Consolidated Financial Statements - Operating Segment Information.") Unless otherwise stated, all semiconductor production data reflect production of the Company and its joint ventures.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40"/>
          </w:cols>
          <w:pgMar w:left="220" w:top="617" w:right="139" w:bottom="1440" w:gutter="0" w:footer="0" w:header="0"/>
        </w:sectPr>
      </w:pPr>
    </w:p>
    <w:bookmarkStart w:id="14" w:name="page15"/>
    <w:bookmarkEnd w:id="14"/>
    <w:p>
      <w:pPr>
        <w:ind w:left="440"/>
        <w:spacing w:after="0"/>
        <w:rPr>
          <w:sz w:val="20"/>
          <w:szCs w:val="20"/>
          <w:color w:val="auto"/>
        </w:rPr>
      </w:pPr>
      <w:r>
        <w:rPr>
          <w:rFonts w:ascii="Courier New" w:cs="Courier New" w:eastAsia="Courier New" w:hAnsi="Courier New"/>
          <w:sz w:val="15"/>
          <w:szCs w:val="15"/>
          <w:color w:val="auto"/>
        </w:rPr>
        <w:t>Net Sales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Consolidated net sales for the third quarter and first nine months of 2000 increased by 107% and 78%, respectively, compared to the third quarter and first nine months of 1999, principally due to an increase in net sales from the Company's semiconductor operations, partially offset by a decline in net sales from the Company's PC operations. Consolidated net sales for the third quarter of 2000 increased by 28% compared to the second quarter of 2000, due principally to an increase in net sales from the Company's semiconductor operations.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Net sales from semiconductor operations for the third quarter and first nine months of 2000 increased by 160% and 131%, respectively, as compared to the corresponding periods of 1999. The increase in net sales for these periods was primarily due to an increase in megabits of semiconductor memory sold and was partially offset by lower average selling prices. Total megabits sold increased by approximately 220% and 170% for the third quarter and first nine months of 2000, respectively, as compared to the corresponding periods of 1999 while average selling prices per megabit of memory decreased 18% and 13%, respectively. Megabit sales increased as a result of increases in total wafer outs, ongoing transitions to reduced die size ("shrink") versions of existing memory products and shifts in the Company's mix of semiconductor memory products to higher average density products. The Company's primary memory product in the third quarter and first nine months of 2000 was the 64 Meg Synchronous DRAM ("SDRAM"), which comprised approximately 45% and 58%, respectively, of the net sales of semiconductor memory.</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Net sales from semiconductor operations increased 34% comparing the third quarter of 2000 to the second quarter of 2000, primarily due to an approximate 70% increase in total megabits sold, partially offset by a 22% decrease in average selling prices per megabit of memory. Megabit sales increased as a result of increased product availability from continued improvements in manufacturing efficiencies through an increase in total wafer outs and ongoing transitions to shrink versions of existing memory products, combined with a decrease in finished goods inventory.</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sales from PC operations for the third quarter and first nine months of 2000 decreased by 9% and 21% respectively, as compared to the corresponding periods of 1999 primarily due to a decrease in overall average selling prices for the Company's PC systems and a decrease in unit sales. Overall average selling prices for these comparative periods decreased by 14% and 7%, respectively, and PC unit sales decreased by 1% and 20%, respectively. Notebook and desktop unit sales were relatively flat comparing the third quarter of 2000 with the third quarter of 1999 and decreased by 28% and 19%, respectively, for the first nine months of 2000 as compared to the first nine months of 1999. Net sales from PC operations for the third quarter of 2000 were relatively flat as compared to the second quarter of 2000.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440"/>
              <w:spacing w:after="0"/>
              <w:rPr>
                <w:sz w:val="20"/>
                <w:szCs w:val="20"/>
                <w:color w:val="auto"/>
              </w:rPr>
            </w:pPr>
            <w:r>
              <w:rPr>
                <w:rFonts w:ascii="Courier New" w:cs="Courier New" w:eastAsia="Courier New" w:hAnsi="Courier New"/>
                <w:sz w:val="15"/>
                <w:szCs w:val="15"/>
                <w:color w:val="auto"/>
              </w:rPr>
              <w:t>Gross Margin</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w w:val="95"/>
              </w:rPr>
              <w:t>Third Quarter</w:t>
            </w:r>
          </w:p>
        </w:tc>
        <w:tc>
          <w:tcPr>
            <w:tcW w:w="1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Nine Months</w:t>
            </w:r>
          </w:p>
        </w:tc>
        <w:tc>
          <w:tcPr>
            <w:tcW w:w="70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800" w:type="dxa"/>
            <w:vAlign w:val="bottom"/>
          </w:tcPr>
          <w:p>
            <w:pPr>
              <w:spacing w:after="0"/>
              <w:rPr>
                <w:sz w:val="14"/>
                <w:szCs w:val="14"/>
                <w:color w:val="auto"/>
              </w:rPr>
            </w:pPr>
          </w:p>
        </w:tc>
        <w:tc>
          <w:tcPr>
            <w:tcW w:w="2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0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Change</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Change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02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800" w:type="dxa"/>
            <w:vAlign w:val="bottom"/>
          </w:tcPr>
          <w:p>
            <w:pPr>
              <w:spacing w:after="0"/>
              <w:rPr>
                <w:sz w:val="14"/>
                <w:szCs w:val="14"/>
                <w:color w:val="auto"/>
              </w:rPr>
            </w:pPr>
          </w:p>
        </w:tc>
        <w:tc>
          <w:tcPr>
            <w:tcW w:w="2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$692.7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$2,017.5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$585.6</w:t>
            </w:r>
          </w:p>
        </w:tc>
      </w:tr>
      <w:tr>
        <w:trPr>
          <w:trHeight w:val="168"/>
        </w:trPr>
        <w:tc>
          <w:tcPr>
            <w:tcW w:w="2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a % of net sales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w:t>
            </w:r>
          </w:p>
        </w:tc>
        <w:tc>
          <w:tcPr>
            <w:tcW w:w="8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w:t>
            </w:r>
          </w:p>
        </w:tc>
        <w:tc>
          <w:tcPr>
            <w:tcW w:w="8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w:t>
            </w:r>
          </w:p>
        </w:tc>
      </w:tr>
    </w:tbl>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increase in the Company's consolidated gross margin during the third quarter and first nine months of 2000, as compared to the corresponding periods in 1999, is primarily attributable to the Company's semiconductor operations. The Company's consolidated gross margin percentage for the second quarter of 2000 was 37%.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5" w:name="page16"/>
    <w:bookmarkEnd w:id="15"/>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gross margin percentage from its semiconductor operations for the third quarter and first nine months of 2000 was 43% and 47%, respectively, compared to 25% and 26% for the corresponding periods of 1999. Gross margin benefited from a nonrecurring adjustment to costs of products purchased under a supply arrangement with TECH Semiconductor Singapore Pte. Ltd. ("TECH") of approximately $49 million in the third quarter of 2000. Without the nonrecurring adjustment, the gross margin on semiconductor memory products for the third quarter of 2000 was 40%. The increase in gross margin percentage for the Company's semiconductor operations for the third quarter and first nine months of 2000 compared to the corresponding periods in 1999 resulted from decreases in per megabit manufacturing costs which were partially offset by lower average selling prices. Decreases in per megabit manufacturing costs were achieved principally through shifts in the Company's mix of semiconductor memory products to a higher average density and transitions to shrink versions of existing products. The gross margin percentage for the Company's semiconductor operations for the second quarter of 2000 was 41%.</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certain terms and conditions, MTI has agreed to purchase the entire output from two joint venture wafer fabrication facilities, TECH and KMT Semiconductor Limited ("KMT"). TECH and KMT are collectively referred to herein as the "JVs." MTI is a party to various agreements with the JVs whereby MTI provides technology, engineering support, training and information systems support to the JVs. MTI also performs assembly and test services on product manufactured by the JVs. The cost of products purchased from the JVs is based in part on MTI's average selling prices and is subject to significant fluctuations. All transactions with the JVs are recognized as part of the net cost of products purchased from the JVs and impact the Company's semiconductor operations gross margin percentage. In the third quarter and first nine months of 2000, the Company realized a lower gross margin percentage on products purchased from the JVs (inclusive of the benefit from the approximate $49 million adjustment) than it did on products manufactured by its wholly-owned facilities.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gross margin percentage for the Company's PC operations decreased slightly for the third quarter and first nine months of 2000 compared to the corresponding periods of 1999 and for the third quarter of 2000 as compared to the second quarter of 2000. The Company continues to experience pricing pressure on sales of its PC systems. Additionally, the impact of the product sales mix during the first nine months of 2000 has been unfavorable due to the reduced shipments of notebook products that typically contribute higher gross margin percentages. Lower PC sales volume also pressured the gross margin during the first nine months of 2000.</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Third Quarter</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Nine Months</w:t>
            </w:r>
          </w:p>
        </w:tc>
        <w:tc>
          <w:tcPr>
            <w:tcW w:w="96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2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860" w:type="dxa"/>
            <w:vAlign w:val="bottom"/>
          </w:tcPr>
          <w:p>
            <w:pPr>
              <w:spacing w:after="0"/>
              <w:rPr>
                <w:sz w:val="14"/>
                <w:szCs w:val="14"/>
                <w:color w:val="auto"/>
              </w:rPr>
            </w:pPr>
          </w:p>
        </w:tc>
        <w:tc>
          <w:tcPr>
            <w:tcW w:w="2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7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Change</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Change</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720" w:type="dxa"/>
            <w:vAlign w:val="bottom"/>
          </w:tcPr>
          <w:p>
            <w:pPr>
              <w:spacing w:after="0"/>
              <w:rPr>
                <w:sz w:val="14"/>
                <w:szCs w:val="14"/>
                <w:color w:val="auto"/>
              </w:rPr>
            </w:pPr>
          </w:p>
        </w:tc>
        <w:tc>
          <w:tcPr>
            <w:tcW w:w="2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860" w:type="dxa"/>
            <w:vAlign w:val="bottom"/>
          </w:tcPr>
          <w:p>
            <w:pPr>
              <w:spacing w:after="0"/>
              <w:rPr>
                <w:sz w:val="14"/>
                <w:szCs w:val="14"/>
                <w:color w:val="auto"/>
              </w:rPr>
            </w:pPr>
          </w:p>
        </w:tc>
        <w:tc>
          <w:tcPr>
            <w:tcW w:w="2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$174.9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40.9%</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$485.2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$352.7</w:t>
            </w: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 a % of net sales</w:t>
            </w:r>
          </w:p>
        </w:tc>
        <w:tc>
          <w:tcPr>
            <w:tcW w:w="268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9.8%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c>
          <w:tcPr>
            <w:tcW w:w="18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10.2%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w:t>
            </w:r>
          </w:p>
        </w:tc>
      </w:tr>
    </w:tbl>
    <w:p>
      <w:pPr>
        <w:spacing w:after="0" w:line="341"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The increase in selling, general and administrative expense for the third quarter and first nine months of 2000 as compared to the corresponding periods of 1999 reflects higher performance based compensation costs and an increased number of administrative employees for the Company's semiconductor operations.</w:t>
      </w:r>
    </w:p>
    <w:p>
      <w:pPr>
        <w:spacing w:after="0" w:line="1"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Company's PC operations also reflect a higher level of personnel expense for the third quarter and first nine months of 2000 as compared to the corresponding periods of 1999, due in large part to several newly acquired businesses.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Additionally, selling, general and administrative expense for the third quarter and first nine months of 2000 reflects charges of $6 million and $25 million, respectively, for the market value of MEI Common Stock contributed by MTI to the Micron Technology Foundation (the "Foundation") and increased legal costs associated with product and process technology rights litigation.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for the third quarter of 2000 were approximately 23% higher than the second quarter of 2000 primarily as a result of increased personnel costs associated with new businesses acquired by the Company's PC operations, higher performance based compensation costs for the Company's semiconductor operations and the $6 million contribution charge related to the Foundation.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31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Research and Development</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28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Third Quarter</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Nine Months</w:t>
            </w:r>
          </w:p>
        </w:tc>
        <w:tc>
          <w:tcPr>
            <w:tcW w:w="70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47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2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1999</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Change</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280" w:type="dxa"/>
            <w:vAlign w:val="bottom"/>
          </w:tcPr>
          <w:p>
            <w:pPr>
              <w:spacing w:after="0"/>
              <w:rPr>
                <w:sz w:val="14"/>
                <w:szCs w:val="14"/>
                <w:color w:val="auto"/>
              </w:rPr>
            </w:pPr>
          </w:p>
        </w:tc>
        <w:tc>
          <w:tcPr>
            <w:tcW w:w="47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Research and development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$81.6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$234.7</w:t>
            </w:r>
          </w:p>
        </w:tc>
      </w:tr>
      <w:tr>
        <w:trPr>
          <w:trHeight w:val="168"/>
        </w:trPr>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as a % of net sales</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166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6.2%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bl>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Substantially all the Company's research and development efforts relate to its semiconductor operations. Research and development expenses vary primarily with personnel costs, the cost of advanced equipment dedicated to new product and process development and the number of development wafers processed. Research and development efforts are focused on .15u and .13u line width process technologies, which are the primary determinants in transitioning to next generation and future products. Simultaneous research and development efforts across multiple products help prepare the Company for future product introductions and allow current products to utilize the advanced process technology to achieve higher performance at lower production costs. Application of advanced process technology currently is concentrated on design of shrink versions of the Company's 64 Meg and 128 Meg SDRAMs and on design and development of the Company's 256 Meg and 512 Meg SDRAMs, direct Rambus(R) DRAM ("RDRAM"), Double Data Rate ("DDR") SDRAM, Flash and SRAM memory products. Other research and development efforts are currently devoted to the design and development of embedded memory products, system-on-a-chip ("SOC") solutions, and memory technology enablement.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Operating Expense, net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operating expense for the first nine months of 2000 includes net pre-tax losses of $27 million from the write down and disposal of semiconductor operations equipment. Other operating expense for the first nine months of 1999 includes a $15 million charge from the write down of certain flat panel display assets sold and a net pre-tax loss of $9 million from the write down and disposal of semiconductor operations equipment.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Non-Operating Income, net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Other non-operating income for the third quarter and first nine months of 2000 includes a gain of $4 million and $14 million, respectively, on MTI's contribution of 2.3 million shares of MEI Common Stock (the "Contribution") to the Foundation. The Contribution decreased MTI's ownership interest in MEI from approximately 63% to 61%. Selling, general and administrative expense in the third quarter and first nine months of 2000 reflects charges of $6 million and $25 million, respectively, for the market value of the stock contributed.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(Provision) Benefit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effective tax rate for the third quarter and first nine months of 2000 was 35%, compared to effective tax rates of 41% and 40%, respectively, for the corresponding periods of 1999. The reduction in the effective tax rate is principally a result of favorable tax treatment on permanently reinvested earnings from certain of the Company's foreign operations. Taxes on earnings of certain foreign operations and domestic subsidiaries not consolidated for tax purposes may cause the effective tax rate to vary significantly from period to period.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Recently issued accounting standards include Statement of Financial Accounting Standards ("SFAS") No. 133 "Accounting for Derivative Instruments and Hedging Activities," issued by the FASB in June 1998, Staff Accounting Bulletin ("SAB") No. 101 "Revenue Recognition in Financial Statements," issued by the Securities and Exchange Commission in December 1999 and Interpretation ("FIN") No.44 "Accounting for Certain Transactions involving Stock Compensation--an Interpretation of Accounting Principles Board ("APB") Opinion No.25," issued by the FASB in March 2000.</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7" w:name="page18"/>
    <w:bookmarkEnd w:id="17"/>
    <w:p>
      <w:pPr>
        <w:ind w:right="3239" w:firstLine="437"/>
        <w:spacing w:after="0" w:line="255" w:lineRule="auto"/>
        <w:rPr>
          <w:sz w:val="20"/>
          <w:szCs w:val="20"/>
          <w:color w:val="auto"/>
        </w:rPr>
      </w:pPr>
      <w:r>
        <w:rPr>
          <w:rFonts w:ascii="Courier New" w:cs="Courier New" w:eastAsia="Courier New" w:hAnsi="Courier New"/>
          <w:sz w:val="14"/>
          <w:szCs w:val="14"/>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The implementation of SFAS No. 133 is not expected to have a significant impact on the Company's future results of operations or financial position.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SAB No. 101 summarizes certain staff views in applying generally accepted accounting principles to revenue recognition in the financial statements. Adoption is required for the Company by the fourth quarter of 2001. The implementation of SAB No. 101 is not expected to impact results of the Company's semiconductor operations and the Company is evaluating the effect SAB No. 101 will have on results of the Company's PC operations.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FIN 44 clarifies the application of APB Opinion No.25. FIN 44 is effective July 1, 2000 and is not expected to impact the Company's results of operations or financial position.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June 1, 2000, the Company had cash and liquid investments totaling $1.8 billion, representing an increase of $234 million during the first nine months of 2000. The Company's principal source of liquidity during the first nine months of 2000 was net cash flow from operations of $1.2 billion. Property, plant and equipment expenditures of $759 million were the principal use of funds during the first nine months of 2000. Working capital was used during the first nine months of 2000 to fund the growth in the Company's receivables and inventory of $451 million and $276 million, respectively, which resulted from the Company's increased scale of operations and higher levels of production.</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the third quarter of 2000, all of the Company's 7.0% convertible subordinated notes due July 2004 were converted into 14.8 million shares of the Company's common stock, thereby reducing long-term debt by $500 million.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To this end the Company is considering various capacity expansion programs and capital improvements to its manufacturing facilities. The Company continuously evaluates the financing of these activities and in this regard has replaced its previous shelf registration statement with an updated shelf registration statement pursuant to which the Company may issue from time to time debt or equity securities for up to $1 billion. In addition to the existing shelf registration statement, the Company may also seek to raise funds through issuing debt or equity securities. The Company currently estimates it will spend approximately $1.5 billion in fiscal 2000 for purchases of equipment and for construction and improvement of buildings, of which it has spent approximately $906 million to date. As of June 1, 2000, the Company had entered into contracts extending into fiscal 2002 for approximately $1.2 billion for equipment purchases and approximately $49 million for the construction of facilities.</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June 1, 2000, approximately $268 million of the Company's consolidated cash and liquid investments were held by MEI. Cash generated by MEI is not readily available to finance operations or other expenditures of the Company's semiconductor operations. MEI has a $100 million unsecured credit agreement, expiring June 2001 which contains certain restrictive covenants pertaining to MEI, including certain financial ratios and limitations on the amount of dividends declared or paid by the Company. As of June 1, 2000, MEI had no borrowings outstanding under the agreement. MTI terminated its revolving credit agreement effective December 2, 1999.</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Certain Factors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the factors discussed elsewhere in this Form 10-Q and in the Company's Form 10-K for the fiscal year ended September 2, 1999, the following are important factors which could cause actual results or events to differ materially from those contained in any forward looking statements made by or on behalf of the Company.</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volatile nature of the DRAM industry could adversely affect our future operating results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DRAM industry is highly volatile. Due to the commodity nature of DRAM products, when the supply of DRAM products exceeds the demand for such products, average selling prices for DRAM products decline, sometimes rapidly. In the past, our operating results and cash flows have been adversely affected by:</w:t>
      </w:r>
    </w:p>
    <w:p>
      <w:pPr>
        <w:spacing w:after="0" w:line="158" w:lineRule="exact"/>
        <w:rPr>
          <w:sz w:val="20"/>
          <w:szCs w:val="20"/>
          <w:color w:val="auto"/>
        </w:rPr>
      </w:pPr>
    </w:p>
    <w:p>
      <w:pPr>
        <w:ind w:left="1140" w:hanging="256"/>
        <w:spacing w:after="0"/>
        <w:tabs>
          <w:tab w:leader="none" w:pos="11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worldwide DRAM supply, and</w:t>
      </w:r>
    </w:p>
    <w:p>
      <w:pPr>
        <w:spacing w:after="0" w:line="166" w:lineRule="exact"/>
        <w:rPr>
          <w:sz w:val="20"/>
          <w:szCs w:val="20"/>
          <w:color w:val="auto"/>
        </w:rPr>
      </w:pPr>
    </w:p>
    <w:p>
      <w:pPr>
        <w:ind w:left="1140" w:hanging="256"/>
        <w:spacing w:after="0"/>
        <w:tabs>
          <w:tab w:leader="none" w:pos="11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declines in average selling prices for DRAM products.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have experienced dramatic declines in average selling prices for our memory products which have adversely affected our business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Average selling prices for memory products have decreased approximately 30% on a long-term, annualized basis. However, significant fluctuations in average selling prices for our memory products, including DRAM, have occurred from time to time, as shown in following chart:</w:t>
      </w:r>
    </w:p>
    <w:p>
      <w:pPr>
        <w:spacing w:after="0" w:line="200" w:lineRule="exact"/>
        <w:rPr>
          <w:sz w:val="20"/>
          <w:szCs w:val="20"/>
          <w:color w:val="auto"/>
        </w:rPr>
      </w:pP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Fiscal year to year comparison</w:t>
            </w:r>
          </w:p>
        </w:tc>
        <w:tc>
          <w:tcPr>
            <w:tcW w:w="322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6"/>
              </w:rPr>
              <w:t>Average price per megabit decline</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32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to 1998</w:t>
            </w:r>
          </w:p>
        </w:tc>
        <w:tc>
          <w:tcPr>
            <w:tcW w:w="32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37%</w:t>
            </w:r>
          </w:p>
        </w:tc>
      </w:tr>
      <w:tr>
        <w:trPr>
          <w:trHeight w:val="168"/>
        </w:trPr>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to 1997</w:t>
            </w:r>
          </w:p>
        </w:tc>
        <w:tc>
          <w:tcPr>
            <w:tcW w:w="32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60%</w:t>
            </w:r>
          </w:p>
        </w:tc>
      </w:tr>
      <w:tr>
        <w:trPr>
          <w:trHeight w:val="168"/>
        </w:trPr>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to 1996</w:t>
            </w:r>
          </w:p>
        </w:tc>
        <w:tc>
          <w:tcPr>
            <w:tcW w:w="32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75%</w:t>
            </w:r>
          </w:p>
        </w:tc>
      </w:tr>
      <w:tr>
        <w:trPr>
          <w:trHeight w:val="168"/>
        </w:trPr>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to 1995</w:t>
            </w:r>
          </w:p>
        </w:tc>
        <w:tc>
          <w:tcPr>
            <w:tcW w:w="32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46%</w:t>
            </w:r>
          </w:p>
        </w:tc>
      </w:tr>
    </w:tbl>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are unable to predict pricing conditions for any future period. If average selling prices for our memory products decrease faster than we are able to decrease our per megabit manufacturing costs, our operations, cash flows and financial condition would be adversely affected.</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Increased worldwide DRAM production could lead to further declines in average selling prices for memory products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like our competitors, are constantly seeking to improve yields, reduce die size and use fewer manufacturing steps. These types of improvements result in increases in worldwide supply of DRAM. In addition, we and several of our competitors are evaluating plans to manufacture semiconductors in facilities that process twelve-inch wafers as opposed to the current industry standard eight-inch wafers. Twelve-inch wafers have approximately 130% greater usable surface area than eight-inch wafers and their widespread use in the industry, which is expected to occur within the next two to five years, will lead to a significant increase in the worldwide supply of DRAM. Increases in worldwide supply of DRAM also result from DRAM capacity expansion, either by way of new facilities or reallocation of existing semiconductor production capacity to DRAM production. We are currently evaluating several capacity expansion programs for our various fabrication facilities. Increases in worldwide supply of DRAM could lead to further declines in average selling prices for our products and have an adverse affect on our results of operations and cash flows.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9" w:name="page20"/>
    <w:bookmarkEnd w:id="19"/>
    <w:p>
      <w:pPr>
        <w:ind w:right="3239"/>
        <w:spacing w:after="0" w:line="234" w:lineRule="auto"/>
        <w:rPr>
          <w:sz w:val="20"/>
          <w:szCs w:val="20"/>
          <w:color w:val="auto"/>
        </w:rPr>
      </w:pPr>
      <w:r>
        <w:rPr>
          <w:rFonts w:ascii="Courier New" w:cs="Courier New" w:eastAsia="Courier New" w:hAnsi="Courier New"/>
          <w:sz w:val="15"/>
          <w:szCs w:val="15"/>
          <w:color w:val="auto"/>
        </w:rPr>
        <w:t>We sell a majority of our memory products to the personal computer ("PC") market and are therefore dependent on the performance of PC markets</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Approximately 80% of our sales of memory products were to PC or peripheral markets for the third quarter and first nine months of 2000. DRAMs are the most widely used semiconductor memory component in most PCs. If the amount of memory included in each PC decreases or if the growth rate in sales of PCs decreases, sales of our memory products could decrease.</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If any one of our major original equipment manufacturer customers significantly reduces its purchases of DRAM from us, our results of operations and cash flows could be adversely affected</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We supply a number of major original equipment manufacturers with more than 30% of their memory requirements. Sales to two of our major OEM customers approximated 30% of our semiconductor operations net sales for the first nine months of 2000. If any one of the major OEMs significantly reduces its purchases of DRAM from us, our results of operations and cash flows could be adversely affected.</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If our supply of memory products from our joint ventures is interrupted, our results of operations could be adversely affected</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We participate in two joint ventures that currently supply us with in excess of 30% of our total megabits of memory produced. We have agreements to purchase all of the production from the joint ventures subject to specific terms and conditions. The joint ventures have historically required and expect to continue to require external financing to fund their ongoing operations and transition to next generation technologies. Our source of supply from either joint venture may be interrupted if either joint venture is unable to repay or refinance existing debt or obtain required incremental financing. In addition, our supply from each joint venture may be interrupted if the joint venture's operations experience a disruption in its manufacturing process. Any reduction in supply could adversely affect our results of operations and cash flows.</w:t>
      </w:r>
    </w:p>
    <w:p>
      <w:pPr>
        <w:spacing w:after="0" w:line="16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If we are unable to make adequate capital investments, our results of operations and cash flows could be adversely affected</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order to develop new product and process technologies, support future growth, achieve operating efficiencies and maintain product quality, we must invest significant amounts of capital in manufacturing technology, facilities and capital equipment, research and development, and product and process technology. We expect to make $1.5 billion in capital investments in fiscal 2000 and currently estimate that we will make approximately $2 billion in capital investments in fiscal 2001. If we are unable to make adequate capital investments, our results of operations and cash flows could be adversely affected.</w:t>
      </w:r>
    </w:p>
    <w:p>
      <w:pPr>
        <w:spacing w:after="0" w:line="178"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If we are unable to reduce per megabit manufacturing costs, our results of operations could be adversely affected</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Our ability to reduce per megabit manufacturing costs of our memory products depends on our ability to:</w:t>
      </w:r>
    </w:p>
    <w:p>
      <w:pPr>
        <w:spacing w:after="0" w:line="167"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and develop new generation products,</w:t>
      </w:r>
    </w:p>
    <w:p>
      <w:pPr>
        <w:spacing w:after="0" w:line="166"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die size of our existing products, and</w:t>
      </w:r>
    </w:p>
    <w:p>
      <w:pPr>
        <w:spacing w:after="0" w:line="173" w:lineRule="exact"/>
        <w:rPr>
          <w:sz w:val="20"/>
          <w:szCs w:val="20"/>
          <w:color w:val="auto"/>
        </w:rPr>
      </w:pPr>
    </w:p>
    <w:p>
      <w:pPr>
        <w:ind w:left="880" w:right="3759" w:hanging="433"/>
        <w:spacing w:after="0" w:line="234"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production of these products at acceptable rates to acceptable yields.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If we are unable to address these factors, we may not be able to reduce our per megabit manufacturing costs for our memory products and our results of operations and cash flows could be adversely affected.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0" w:name="page21"/>
    <w:bookmarkEnd w:id="20"/>
    <w:p>
      <w:pPr>
        <w:ind w:right="3679"/>
        <w:spacing w:after="0" w:line="234" w:lineRule="auto"/>
        <w:rPr>
          <w:sz w:val="20"/>
          <w:szCs w:val="20"/>
          <w:color w:val="auto"/>
        </w:rPr>
      </w:pPr>
      <w:r>
        <w:rPr>
          <w:rFonts w:ascii="Courier New" w:cs="Courier New" w:eastAsia="Courier New" w:hAnsi="Courier New"/>
          <w:sz w:val="15"/>
          <w:szCs w:val="15"/>
          <w:color w:val="auto"/>
        </w:rPr>
        <w:t>Our results of operations and cash flows could be adversely affected if our manufacturing process is interrupted</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We manufacture our products using processes that are highly complex, require advanced and costly equipment and must continuously be modified to improve yields and performance. Difficulties in the manufacturing process can reduce yields or interrupt production. As a result, we may not be able to deliver products on time or in a cost-effective manner. If production at a fabrication facility is interrupted, we may not be able to shift production to other facilities on a timely basis or customers may purchase products from other suppliers. In either case, the loss of revenues and damage to the relationship with our customers could be significant.</w:t>
      </w:r>
    </w:p>
    <w:p>
      <w:pPr>
        <w:spacing w:after="0" w:line="178"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Our manufacturing efficiency may be adversely affected as we transition to higher bandwidth products</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semiconductor industry is currently transitioning to higher bandwidth products, including Double Data Rate Synchronous DRAM ("DDR SDRAM") and direct Rambus(R) DRAM ("RDRAM"). We may have trouble achieving the same manufacturing efficiencies in higher bandwidth products that we have achieved in the past with our other memory products. Our transition to higher bandwidth products may adversely impact our:</w:t>
      </w:r>
    </w:p>
    <w:p>
      <w:pPr>
        <w:spacing w:after="0" w:line="168" w:lineRule="exact"/>
        <w:rPr>
          <w:sz w:val="20"/>
          <w:szCs w:val="20"/>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productivity levels,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die per wafer yields,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backend assembly,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equipment requirements.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Our per megabit production costs may increase as a result of this transition to higher bandwidth products and we may not be able to achieve our historical rate of cost per megabit reductions.</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We have enhanced our production processes in recent years which has led to an increase in megabit production, but we may not be able to continue to increase production at the same rate in the future</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Historically, we have improved our production processes by reducing the die size of our existing products. As a result, we have decreased our per megabit production costs and significantly increased our megabit production. However, we may not be able to maintain this historical rate of increase in megabit production in the future. In addition, our manufacturing yield or production may decrease as we implement more complex technologies. We may also from time to time experience volatility in our manufacturing yields if we have problems ramping the latest reduced die size ("shrink") versions of existing devices or new generation devices to commercial volumes.</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Others may assert that our products and processes infringe their intellectual property rights; an adverse determination in this regard could adversely affect our results of operation and financial condition</w:t>
      </w:r>
    </w:p>
    <w:p>
      <w:pPr>
        <w:spacing w:after="0" w:line="174"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From time to time others have asserted, and may in the future assert, that our products or our processes may infringe product or process technology rights held by others. If there was a determination that our manufacturing processes or products infringed on the product or process rights held by others, we could have significant liabilities or be required to make material changes in our production processes. If our products infringed the rights of others or we had to modify our production processes, our business, results of operations or financial condition could be materially adversely affected. We have also entered into a number of patent and intellectual property license agreements. Some of these license agreements require us to make one-time or periodic royalty payments. We may also need to obtain additional patent licenses or to renew existing license agreements in the future. We are unable to predict whether these license agreements can be obtained or renewed on terms acceptable to us. If we are unable to obtain or renew these license agreements on acceptable terms, our business, results of operations or financial condition could be materially adversely affected.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1" w:name="page22"/>
    <w:bookmarkEnd w:id="21"/>
    <w:p>
      <w:pPr>
        <w:ind w:right="3499"/>
        <w:spacing w:after="0" w:line="234" w:lineRule="auto"/>
        <w:rPr>
          <w:sz w:val="20"/>
          <w:szCs w:val="20"/>
          <w:color w:val="auto"/>
        </w:rPr>
      </w:pPr>
      <w:r>
        <w:rPr>
          <w:rFonts w:ascii="Courier New" w:cs="Courier New" w:eastAsia="Courier New" w:hAnsi="Courier New"/>
          <w:sz w:val="15"/>
          <w:szCs w:val="15"/>
          <w:color w:val="auto"/>
        </w:rPr>
        <w:t>Interruptions in the availability of raw materials could adversely affect our results of operations</w:t>
      </w:r>
    </w:p>
    <w:p>
      <w:pPr>
        <w:spacing w:after="0" w:line="173"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Our semiconductor operations require raw materials that must meet exacting standards. We generally have more than one source of supply for our raw materials. However, there are only a limited number of suppliers capable of delivering raw materials that meet our standards. If there is an increase in worldwide semiconductor manufacturing, the availability of raw materials may decrease. For example, silicon wafers, photomasks, chemicals, lead frames and molding compound may become difficult to obtain if there is an increase in semiconductor manufacturing. Our operations in the past have not been interrupted as a result of raw materials shortages. However, shortages may occur from time to time in the future. Lead times for the supply of raw materials have also been extended in the past. If our supply of raw materials is interrupted, our results of operations could be adversely affected.</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If we are unable to retain existing key employees or are unable to hire new qualified employees, our operating results could be adversely affected</w:t>
      </w:r>
    </w:p>
    <w:p>
      <w:pPr>
        <w:spacing w:after="0" w:line="160"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their recruitment of our existing personnel.</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face risks associated with our international sales and operations that could adversely affect our operating results</w:t>
      </w:r>
    </w:p>
    <w:p>
      <w:pPr>
        <w:spacing w:after="0" w:line="173" w:lineRule="exact"/>
        <w:rPr>
          <w:sz w:val="20"/>
          <w:szCs w:val="20"/>
          <w:color w:val="auto"/>
        </w:rPr>
      </w:pPr>
    </w:p>
    <w:p>
      <w:pPr>
        <w:ind w:right="3239" w:firstLine="175"/>
        <w:spacing w:after="0" w:line="256" w:lineRule="auto"/>
        <w:rPr>
          <w:sz w:val="20"/>
          <w:szCs w:val="20"/>
          <w:color w:val="auto"/>
        </w:rPr>
      </w:pPr>
      <w:r>
        <w:rPr>
          <w:rFonts w:ascii="Courier New" w:cs="Courier New" w:eastAsia="Courier New" w:hAnsi="Courier New"/>
          <w:sz w:val="14"/>
          <w:szCs w:val="14"/>
          <w:color w:val="auto"/>
        </w:rPr>
        <w:t>International sales comprised approximately 38% of our consolidated net sales in the third quarter and first nine months of 2000. We expect international sales to continue to increase in the future. In addition, we have manufacturing operations in Italy, Singapore, Japan and Scotland. Our international sales and international operations are subject to a variety of risks, including:</w:t>
      </w:r>
    </w:p>
    <w:p>
      <w:pPr>
        <w:spacing w:after="0" w:line="163" w:lineRule="exact"/>
        <w:rPr>
          <w:sz w:val="20"/>
          <w:szCs w:val="20"/>
          <w:color w:val="auto"/>
        </w:rPr>
      </w:pPr>
    </w:p>
    <w:p>
      <w:pPr>
        <w:ind w:left="880" w:right="3579" w:hanging="433"/>
        <w:spacing w:after="0" w:line="234"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fluctuations, export duties, changes to import and export regulations and restrictions on the transfer of funds,</w:t>
      </w:r>
    </w:p>
    <w:p>
      <w:pPr>
        <w:spacing w:after="0" w:line="167" w:lineRule="exact"/>
        <w:rPr>
          <w:sz w:val="20"/>
          <w:szCs w:val="20"/>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turnover and labor unrest,</w:t>
      </w:r>
    </w:p>
    <w:p>
      <w:pPr>
        <w:spacing w:after="0" w:line="173" w:lineRule="exact"/>
        <w:rPr>
          <w:sz w:val="20"/>
          <w:szCs w:val="20"/>
          <w:color w:val="auto"/>
        </w:rPr>
      </w:pPr>
    </w:p>
    <w:p>
      <w:pPr>
        <w:ind w:left="880" w:right="3499" w:hanging="433"/>
        <w:spacing w:after="0" w:line="234"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 and greater difficulty in collecting accounts receivable, and</w:t>
      </w:r>
    </w:p>
    <w:p>
      <w:pPr>
        <w:spacing w:after="0" w:line="173" w:lineRule="exact"/>
        <w:rPr>
          <w:sz w:val="20"/>
          <w:szCs w:val="20"/>
          <w:color w:val="auto"/>
        </w:rPr>
      </w:pPr>
    </w:p>
    <w:p>
      <w:pPr>
        <w:ind w:left="880" w:right="3499" w:hanging="433"/>
        <w:spacing w:after="0" w:line="23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burdens and costs of compliance with a variety of international laws, and political and economic instability.</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These factors may adversely impact our business, results of operations and financial condition.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We may not be able to generate sufficient cash flow to fund our operations if average selling prices of memory products decline</w:t>
      </w:r>
    </w:p>
    <w:p>
      <w:pPr>
        <w:spacing w:after="0" w:line="173"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Substantially all of our cash flow from semiconductor operations has historically been invested in capacity expansion and enhancement programs. Our cash flow from operations depends primarily on average selling prices and per megabit manufacturing costs of our semiconductor memory products. If average selling prices decline faster than the rate we are able to decrease our per megabit manufacturing costs, we may not be able to generate sufficient cash flows to sustain our operations. We may not be able to obtain other external sources of liquidity to fund our operations or our capacity and product and process technology enhancement programs. If we were unable to obtain additional financing, we may not be able to make investments in the enhancement programs, which could materially adversely affect our business, results of operations and financial condition.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 w:name="page23"/>
    <w:bookmarkEnd w:id="22"/>
    <w:p>
      <w:pPr>
        <w:ind w:right="3399"/>
        <w:spacing w:after="0" w:line="261" w:lineRule="auto"/>
        <w:rPr>
          <w:sz w:val="20"/>
          <w:szCs w:val="20"/>
          <w:color w:val="auto"/>
        </w:rPr>
      </w:pPr>
      <w:r>
        <w:rPr>
          <w:rFonts w:ascii="Courier New" w:cs="Courier New" w:eastAsia="Courier New" w:hAnsi="Courier New"/>
          <w:sz w:val="14"/>
          <w:szCs w:val="14"/>
          <w:color w:val="auto"/>
        </w:rPr>
        <w:t>If we fail to effectively compete in the highly competitive semiconductor industry, our results of operations and cash flows would be adversely affected</w:t>
      </w:r>
    </w:p>
    <w:p>
      <w:pPr>
        <w:spacing w:after="0" w:line="160"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semiconductor industry is highly competitive. We face intense competition from a number of companies, including Hitachi, Ltd., Hyundai Electronics Industries Co., Ltd., Infineon Technologies AG., NEC Corporation and Samsung Semiconductor, Inc. Some of these competitors are very large corporations or conglomerates that may have greater financial resources and a better ability to withstand downturns in the semiconductor memory market. In addition, a number of these competitors have historically been able to introduce new products more quickly than we have. Consolidations in the semiconductor industry could put us at a further disadvantage against these large competitors. If we fail to effectively compete in the highly competitive semiconductor industry, our results of operations and cash flows would be adversely affected.</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Products that do not conform to our specifications or that contain, or are rumored to contain, defects or that are otherwise incompatible with end users could impose significant costs on us or otherwise adversely affect our results of operations</w:t>
      </w:r>
    </w:p>
    <w:p>
      <w:pPr>
        <w:spacing w:after="0" w:line="17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Because the design and production process for semiconductors is highly complex, it is possible that we may produce products which do not comply with published specifications, contain defects, or are otherwise incompatible with end uses.</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despite design review, quality control and product qualification procedures, problems with nonconforming, defective or incompatible products occur after we have shipped such products, we could be adversely affected in one or more of the following ways:</w:t>
      </w:r>
    </w:p>
    <w:p>
      <w:pPr>
        <w:spacing w:after="0" w:line="175" w:lineRule="exact"/>
        <w:rPr>
          <w:sz w:val="20"/>
          <w:szCs w:val="20"/>
          <w:color w:val="auto"/>
        </w:rPr>
      </w:pPr>
    </w:p>
    <w:p>
      <w:pPr>
        <w:ind w:left="440" w:right="3239" w:hanging="343"/>
        <w:spacing w:after="0" w:line="234" w:lineRule="auto"/>
        <w:tabs>
          <w:tab w:leader="none" w:pos="52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need to replace product or otherwise compensate customers for costs incurred or damages caused by defective or incompatible product.</w:t>
      </w:r>
    </w:p>
    <w:p>
      <w:pPr>
        <w:spacing w:after="0" w:line="173" w:lineRule="exact"/>
        <w:rPr>
          <w:sz w:val="20"/>
          <w:szCs w:val="20"/>
          <w:color w:val="auto"/>
        </w:rPr>
      </w:pPr>
    </w:p>
    <w:p>
      <w:pPr>
        <w:ind w:left="440" w:right="3139" w:hanging="343"/>
        <w:spacing w:after="0" w:line="234" w:lineRule="auto"/>
        <w:tabs>
          <w:tab w:leader="none" w:pos="5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encounter adverse publicity which could cause a decrease in sales of our products.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our subsidiary, Micron Electronics, Inc., fails to effectively compete in the highly competitive PC and e-services industry, our results of operations could be adversely affected</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Historically, our operations have been affected by the operating results of Micron Electronics, Inc. ("MEI"), a PC and e-services business. MEI is a publicly traded company in which we own a majority of the common stock. MEI's results of operations, and the potential effect upon our consolidated results of operations, are linked to MEI's ability to effectively compete in the PC and e-services market places. This success depends on many factors, including MEI's ability to:</w:t>
      </w:r>
    </w:p>
    <w:p>
      <w:pPr>
        <w:spacing w:after="0" w:line="176" w:lineRule="exact"/>
        <w:rPr>
          <w:sz w:val="20"/>
          <w:szCs w:val="20"/>
          <w:color w:val="auto"/>
        </w:rPr>
      </w:pPr>
    </w:p>
    <w:p>
      <w:pPr>
        <w:ind w:left="880" w:right="3579" w:hanging="433"/>
        <w:spacing w:after="0" w:line="234"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accurately forecast technology trends, design and introduce new PC products and correctly identify demand for such products,</w:t>
      </w:r>
    </w:p>
    <w:p>
      <w:pPr>
        <w:spacing w:after="0" w:line="173" w:lineRule="exact"/>
        <w:rPr>
          <w:sz w:val="20"/>
          <w:szCs w:val="20"/>
          <w:color w:val="auto"/>
        </w:rPr>
      </w:pPr>
    </w:p>
    <w:p>
      <w:pPr>
        <w:ind w:left="880" w:right="4099" w:hanging="433"/>
        <w:spacing w:after="0" w:line="261" w:lineRule="auto"/>
        <w:tabs>
          <w:tab w:leader="none" w:pos="8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effectively manage materials and finished goods inventories, manufacturing constraints, and component costs,</w:t>
      </w:r>
    </w:p>
    <w:p>
      <w:pPr>
        <w:spacing w:after="0" w:line="160" w:lineRule="exact"/>
        <w:rPr>
          <w:sz w:val="20"/>
          <w:szCs w:val="20"/>
          <w:color w:val="auto"/>
        </w:rPr>
      </w:pPr>
    </w:p>
    <w:p>
      <w:pPr>
        <w:ind w:left="880" w:right="3399" w:hanging="433"/>
        <w:spacing w:after="0" w:line="23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market share and effectively market PC products directly to end customers relative to MEI's competitors, and</w:t>
      </w:r>
    </w:p>
    <w:p>
      <w:pPr>
        <w:spacing w:after="0" w:line="173" w:lineRule="exact"/>
        <w:rPr>
          <w:sz w:val="20"/>
          <w:szCs w:val="20"/>
          <w:color w:val="auto"/>
        </w:rPr>
      </w:pPr>
    </w:p>
    <w:p>
      <w:pPr>
        <w:ind w:left="880" w:right="3759" w:hanging="433"/>
        <w:spacing w:after="0" w:line="235"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value added e-services solutions, build an e-services infrastructure to deliver such solutions and generate e-services customers at acceptable margins.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3" w:name="page24"/>
    <w:bookmarkEnd w:id="23"/>
    <w:p>
      <w:pPr>
        <w:ind w:right="3759"/>
        <w:spacing w:after="0" w:line="234" w:lineRule="auto"/>
        <w:rPr>
          <w:sz w:val="20"/>
          <w:szCs w:val="20"/>
          <w:color w:val="auto"/>
        </w:rPr>
      </w:pPr>
      <w:r>
        <w:rPr>
          <w:rFonts w:ascii="Courier New" w:cs="Courier New" w:eastAsia="Courier New" w:hAnsi="Courier New"/>
          <w:sz w:val="15"/>
          <w:szCs w:val="15"/>
          <w:color w:val="auto"/>
        </w:rPr>
        <w:t>If MEI fails to effectively compete in the PC and e-services industry, our results of operations could be adversely affected.</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One of our shareholders owns a large portion of our common stock that could limit our ability to raise additional capital</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As of July 6, 2000, Texas Instruments Incorporated held 37,866,184 million shares of common stock, representing 7% of our total outstanding common stock. We have not registered these shares with the Commission. However, Texas Instruments has registration rights with respect to such sales. Our ability to raise additional capital funds may be affected by the number of shares and registration rights held by Texas Instruments. Texas Instruments also holds notes with a face value of $740 million which are convertible into 24,666,666 shares of our common stock. Texas Instruments' resale of these notes could limit our ability to raise capital through the issuance of additional convertible debt instruments.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4" w:name="page25"/>
    <w:bookmarkEnd w:id="24"/>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Substantially all of the Company's liquid investments and long-term debt are at fixed interest rates;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As of June 1, 2000, the Company held aggregate cash and receivables in foreign currency valued at approximately US $59 million and aggregate foreign currency payables valued at approximately US $120 million (including long-term liabilities denominated in Euros valued at approximately US $16 million). Foreign currency receivables and payables are comprised primarily of Euros, Singapore Dollars, Japanese Yen and British Pounds.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5" w:name="page26"/>
    <w:bookmarkEnd w:id="25"/>
    <w:p>
      <w:pPr>
        <w:ind w:left="2280"/>
        <w:spacing w:after="0"/>
        <w:tabs>
          <w:tab w:leader="none" w:pos="314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hanging="430"/>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Number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1060" w:space="260"/>
            <w:col w:w="891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spacing w:after="0" w:line="172" w:lineRule="exact"/>
        <w:rPr>
          <w:sz w:val="20"/>
          <w:szCs w:val="20"/>
          <w:color w:val="auto"/>
        </w:rPr>
      </w:pPr>
    </w:p>
    <w:p>
      <w:pPr>
        <w:ind w:left="440" w:right="357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the following report on Form 8-K during the fiscal quarter ended June 1, 2000:</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Form</w:t>
            </w: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Date</w:t>
            </w:r>
          </w:p>
        </w:tc>
        <w:tc>
          <w:tcPr>
            <w:tcW w:w="1960" w:type="dxa"/>
            <w:vAlign w:val="bottom"/>
          </w:tcPr>
          <w:p>
            <w:pPr>
              <w:ind w:left="220"/>
              <w:spacing w:after="0"/>
              <w:rPr>
                <w:sz w:val="20"/>
                <w:szCs w:val="20"/>
                <w:color w:val="auto"/>
              </w:rPr>
            </w:pPr>
            <w:r>
              <w:rPr>
                <w:rFonts w:ascii="Courier New" w:cs="Courier New" w:eastAsia="Courier New" w:hAnsi="Courier New"/>
                <w:sz w:val="15"/>
                <w:szCs w:val="15"/>
                <w:color w:val="auto"/>
              </w:rPr>
              <w:t>Item</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8-K</w:t>
            </w:r>
          </w:p>
        </w:tc>
        <w:tc>
          <w:tcPr>
            <w:tcW w:w="1760" w:type="dxa"/>
            <w:vAlign w:val="bottom"/>
          </w:tcPr>
          <w:p>
            <w:pPr>
              <w:ind w:left="400"/>
              <w:spacing w:after="0"/>
              <w:rPr>
                <w:sz w:val="20"/>
                <w:szCs w:val="20"/>
                <w:color w:val="auto"/>
              </w:rPr>
            </w:pPr>
            <w:r>
              <w:rPr>
                <w:rFonts w:ascii="Courier New" w:cs="Courier New" w:eastAsia="Courier New" w:hAnsi="Courier New"/>
                <w:sz w:val="15"/>
                <w:szCs w:val="15"/>
                <w:color w:val="auto"/>
              </w:rPr>
              <w:t>April 5, 2000</w:t>
            </w:r>
          </w:p>
        </w:tc>
        <w:tc>
          <w:tcPr>
            <w:tcW w:w="1960" w:type="dxa"/>
            <w:vAlign w:val="bottom"/>
          </w:tcPr>
          <w:p>
            <w:pPr>
              <w:ind w:left="220"/>
              <w:spacing w:after="0"/>
              <w:rPr>
                <w:sz w:val="20"/>
                <w:szCs w:val="20"/>
                <w:color w:val="auto"/>
              </w:rPr>
            </w:pPr>
            <w:r>
              <w:rPr>
                <w:rFonts w:ascii="Courier New" w:cs="Courier New" w:eastAsia="Courier New" w:hAnsi="Courier New"/>
                <w:sz w:val="15"/>
                <w:szCs w:val="15"/>
                <w:color w:val="auto"/>
                <w:w w:val="95"/>
              </w:rPr>
              <w:t>Item 5, Other Events</w:t>
            </w:r>
          </w:p>
        </w:tc>
      </w:tr>
      <w:tr>
        <w:trPr>
          <w:trHeight w:val="336"/>
        </w:trPr>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25</w:t>
            </w:r>
          </w:p>
        </w:tc>
      </w:tr>
    </w:tbl>
    <w:p>
      <w:pPr>
        <w:sectPr>
          <w:pgSz w:w="11900" w:h="16838" w:orient="portrait"/>
          <w:cols w:equalWidth="0" w:num="1">
            <w:col w:w="10239"/>
          </w:cols>
          <w:pgMar w:left="220" w:top="617" w:right="1440" w:bottom="1440" w:gutter="0" w:footer="0" w:header="0"/>
          <w:type w:val="continuous"/>
        </w:sectPr>
      </w:pPr>
    </w:p>
    <w:bookmarkStart w:id="26" w:name="page27"/>
    <w:bookmarkEnd w:id="26"/>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Micron Technology, Inc.</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12, 2000</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 Wilbur G. Stover, Jr. ------------------------------------------------ Wilbur G. Stover, Jr., Vice President of Finance and Chief Financial Officer (Principal Financial and Accounting Officer)</w:t>
      </w:r>
    </w:p>
    <w:p>
      <w:pPr>
        <w:spacing w:after="0" w:line="174" w:lineRule="exact"/>
        <w:rPr>
          <w:sz w:val="20"/>
          <w:szCs w:val="20"/>
          <w:color w:val="auto"/>
        </w:rPr>
      </w:pPr>
    </w:p>
    <w:p>
      <w:pPr>
        <w:sectPr>
          <w:pgSz w:w="11900" w:h="16838" w:orient="portrait"/>
          <w:cols w:equalWidth="0" w:num="3">
            <w:col w:w="540" w:space="160"/>
            <w:col w:w="1220" w:space="720"/>
            <w:col w:w="7599"/>
          </w:cols>
          <w:pgMar w:left="220" w:top="61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26</w:t>
      </w:r>
    </w:p>
    <w:p>
      <w:pPr>
        <w:sectPr>
          <w:pgSz w:w="11900" w:h="16838" w:orient="portrait"/>
          <w:cols w:equalWidth="0" w:num="1">
            <w:col w:w="10239"/>
          </w:cols>
          <w:pgMar w:left="220" w:top="617" w:right="1440" w:bottom="1440" w:gutter="0" w:footer="0" w:header="0"/>
          <w:type w:val="continuous"/>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9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accompanying financial statements and is qualified in its entirety by reference to such financial statements.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9-MOS</w:t>
      </w:r>
    </w:p>
    <w:p>
      <w:pPr>
        <w:ind w:left="2240"/>
        <w:spacing w:after="0" w:line="237" w:lineRule="auto"/>
        <w:rPr>
          <w:sz w:val="20"/>
          <w:szCs w:val="20"/>
          <w:color w:val="auto"/>
        </w:rPr>
      </w:pPr>
      <w:r>
        <w:rPr>
          <w:rFonts w:ascii="Courier New" w:cs="Courier New" w:eastAsia="Courier New" w:hAnsi="Courier New"/>
          <w:sz w:val="15"/>
          <w:szCs w:val="15"/>
          <w:color w:val="auto"/>
        </w:rPr>
        <w:t>AUG-31-2000</w:t>
      </w:r>
    </w:p>
    <w:p>
      <w:pPr>
        <w:ind w:left="2500"/>
        <w:spacing w:after="0" w:line="238" w:lineRule="auto"/>
        <w:rPr>
          <w:sz w:val="20"/>
          <w:szCs w:val="20"/>
          <w:color w:val="auto"/>
        </w:rPr>
      </w:pPr>
      <w:r>
        <w:rPr>
          <w:rFonts w:ascii="Courier New" w:cs="Courier New" w:eastAsia="Courier New" w:hAnsi="Courier New"/>
          <w:sz w:val="15"/>
          <w:szCs w:val="15"/>
          <w:color w:val="auto"/>
        </w:rPr>
        <w:t>SEP-03-1999</w:t>
      </w:r>
    </w:p>
    <w:p>
      <w:pPr>
        <w:ind w:left="2680"/>
        <w:spacing w:after="0" w:line="237" w:lineRule="auto"/>
        <w:rPr>
          <w:sz w:val="20"/>
          <w:szCs w:val="20"/>
          <w:color w:val="auto"/>
        </w:rPr>
      </w:pPr>
      <w:r>
        <w:rPr>
          <w:rFonts w:ascii="Courier New" w:cs="Courier New" w:eastAsia="Courier New" w:hAnsi="Courier New"/>
          <w:sz w:val="15"/>
          <w:szCs w:val="15"/>
          <w:color w:val="auto"/>
        </w:rPr>
        <w:t>JUN-01-2000</w:t>
      </w:r>
    </w:p>
    <w:p>
      <w:pPr>
        <w:ind w:left="3900"/>
        <w:spacing w:after="0" w:line="238" w:lineRule="auto"/>
        <w:rPr>
          <w:sz w:val="20"/>
          <w:szCs w:val="20"/>
          <w:color w:val="auto"/>
        </w:rPr>
      </w:pPr>
      <w:r>
        <w:rPr>
          <w:rFonts w:ascii="Courier New" w:cs="Courier New" w:eastAsia="Courier New" w:hAnsi="Courier New"/>
          <w:sz w:val="15"/>
          <w:szCs w:val="15"/>
          <w:color w:val="auto"/>
        </w:rPr>
        <w:t>383</w:t>
      </w:r>
    </w:p>
    <w:p>
      <w:pPr>
        <w:ind w:left="3200"/>
        <w:spacing w:after="0" w:line="237" w:lineRule="auto"/>
        <w:rPr>
          <w:sz w:val="20"/>
          <w:szCs w:val="20"/>
          <w:color w:val="auto"/>
        </w:rPr>
      </w:pPr>
      <w:r>
        <w:rPr>
          <w:rFonts w:ascii="Courier New" w:cs="Courier New" w:eastAsia="Courier New" w:hAnsi="Courier New"/>
          <w:sz w:val="15"/>
          <w:szCs w:val="15"/>
          <w:color w:val="auto"/>
        </w:rPr>
        <w:t>1,465</w:t>
      </w:r>
    </w:p>
    <w:p>
      <w:pPr>
        <w:ind w:left="3120"/>
        <w:spacing w:after="0" w:line="238" w:lineRule="auto"/>
        <w:rPr>
          <w:sz w:val="20"/>
          <w:szCs w:val="20"/>
          <w:color w:val="auto"/>
        </w:rPr>
      </w:pPr>
      <w:r>
        <w:rPr>
          <w:rFonts w:ascii="Courier New" w:cs="Courier New" w:eastAsia="Courier New" w:hAnsi="Courier New"/>
          <w:sz w:val="15"/>
          <w:szCs w:val="15"/>
          <w:color w:val="auto"/>
        </w:rPr>
        <w:t>1,167</w:t>
      </w:r>
    </w:p>
    <w:p>
      <w:pPr>
        <w:ind w:left="3300"/>
        <w:spacing w:after="0" w:line="237" w:lineRule="auto"/>
        <w:rPr>
          <w:sz w:val="20"/>
          <w:szCs w:val="20"/>
          <w:color w:val="auto"/>
        </w:rPr>
      </w:pPr>
      <w:r>
        <w:rPr>
          <w:rFonts w:ascii="Courier New" w:cs="Courier New" w:eastAsia="Courier New" w:hAnsi="Courier New"/>
          <w:sz w:val="15"/>
          <w:szCs w:val="15"/>
          <w:color w:val="auto"/>
        </w:rPr>
        <w:t>(23)</w:t>
      </w:r>
    </w:p>
    <w:p>
      <w:pPr>
        <w:ind w:left="3460"/>
        <w:spacing w:after="0" w:line="238" w:lineRule="auto"/>
        <w:rPr>
          <w:sz w:val="20"/>
          <w:szCs w:val="20"/>
          <w:color w:val="auto"/>
        </w:rPr>
      </w:pPr>
      <w:r>
        <w:rPr>
          <w:rFonts w:ascii="Courier New" w:cs="Courier New" w:eastAsia="Courier New" w:hAnsi="Courier New"/>
          <w:sz w:val="15"/>
          <w:szCs w:val="15"/>
          <w:color w:val="auto"/>
        </w:rPr>
        <w:t>642</w:t>
      </w:r>
    </w:p>
    <w:p>
      <w:pPr>
        <w:ind w:left="2860"/>
        <w:spacing w:after="0" w:line="238" w:lineRule="auto"/>
        <w:rPr>
          <w:sz w:val="20"/>
          <w:szCs w:val="20"/>
          <w:color w:val="auto"/>
        </w:rPr>
      </w:pPr>
      <w:r>
        <w:rPr>
          <w:rFonts w:ascii="Courier New" w:cs="Courier New" w:eastAsia="Courier New" w:hAnsi="Courier New"/>
          <w:sz w:val="15"/>
          <w:szCs w:val="15"/>
          <w:color w:val="auto"/>
        </w:rPr>
        <w:t>3,757</w:t>
      </w:r>
    </w:p>
    <w:p>
      <w:pPr>
        <w:ind w:left="3740"/>
        <w:spacing w:after="0" w:line="237" w:lineRule="auto"/>
        <w:rPr>
          <w:sz w:val="20"/>
          <w:szCs w:val="20"/>
          <w:color w:val="auto"/>
        </w:rPr>
      </w:pPr>
      <w:r>
        <w:rPr>
          <w:rFonts w:ascii="Courier New" w:cs="Courier New" w:eastAsia="Courier New" w:hAnsi="Courier New"/>
          <w:sz w:val="15"/>
          <w:szCs w:val="15"/>
          <w:color w:val="auto"/>
        </w:rPr>
        <w:t>6,735</w:t>
      </w:r>
    </w:p>
    <w:p>
      <w:pPr>
        <w:jc w:val="right"/>
        <w:ind w:right="6739"/>
        <w:spacing w:after="0" w:line="238" w:lineRule="auto"/>
        <w:rPr>
          <w:sz w:val="20"/>
          <w:szCs w:val="20"/>
          <w:color w:val="auto"/>
        </w:rPr>
      </w:pPr>
      <w:r>
        <w:rPr>
          <w:rFonts w:ascii="Courier New" w:cs="Courier New" w:eastAsia="Courier New" w:hAnsi="Courier New"/>
          <w:sz w:val="15"/>
          <w:szCs w:val="15"/>
          <w:color w:val="auto"/>
        </w:rPr>
        <w:t>(2,679)</w:t>
      </w:r>
    </w:p>
    <w:p>
      <w:pPr>
        <w:jc w:val="right"/>
        <w:ind w:right="6739"/>
        <w:spacing w:after="0" w:line="237" w:lineRule="auto"/>
        <w:rPr>
          <w:sz w:val="20"/>
          <w:szCs w:val="20"/>
          <w:color w:val="auto"/>
        </w:rPr>
      </w:pPr>
      <w:r>
        <w:rPr>
          <w:rFonts w:ascii="Courier New" w:cs="Courier New" w:eastAsia="Courier New" w:hAnsi="Courier New"/>
          <w:sz w:val="15"/>
          <w:szCs w:val="15"/>
          <w:color w:val="auto"/>
        </w:rPr>
        <w:t>8,211</w:t>
      </w:r>
    </w:p>
    <w:p>
      <w:pPr>
        <w:ind w:left="2420"/>
        <w:spacing w:after="0" w:line="238" w:lineRule="auto"/>
        <w:rPr>
          <w:sz w:val="20"/>
          <w:szCs w:val="20"/>
          <w:color w:val="auto"/>
        </w:rPr>
      </w:pPr>
      <w:r>
        <w:rPr>
          <w:rFonts w:ascii="Courier New" w:cs="Courier New" w:eastAsia="Courier New" w:hAnsi="Courier New"/>
          <w:sz w:val="15"/>
          <w:szCs w:val="15"/>
          <w:color w:val="auto"/>
        </w:rPr>
        <w:t>1,052</w:t>
      </w:r>
    </w:p>
    <w:p>
      <w:pPr>
        <w:ind w:left="3820"/>
        <w:spacing w:after="0" w:line="237" w:lineRule="auto"/>
        <w:rPr>
          <w:sz w:val="20"/>
          <w:szCs w:val="20"/>
          <w:color w:val="auto"/>
        </w:rPr>
      </w:pPr>
      <w:r>
        <w:rPr>
          <w:rFonts w:ascii="Courier New" w:cs="Courier New" w:eastAsia="Courier New" w:hAnsi="Courier New"/>
          <w:sz w:val="15"/>
          <w:szCs w:val="15"/>
          <w:color w:val="auto"/>
        </w:rPr>
        <w:t>942</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7" w:lineRule="auto"/>
        <w:rPr>
          <w:sz w:val="20"/>
          <w:szCs w:val="20"/>
          <w:color w:val="auto"/>
        </w:rPr>
      </w:pPr>
      <w:r>
        <w:rPr>
          <w:rFonts w:ascii="Courier New" w:cs="Courier New" w:eastAsia="Courier New" w:hAnsi="Courier New"/>
          <w:sz w:val="15"/>
          <w:szCs w:val="15"/>
          <w:color w:val="auto"/>
        </w:rPr>
        <w:t>55</w:t>
      </w:r>
    </w:p>
    <w:p>
      <w:pPr>
        <w:ind w:left="3380"/>
        <w:spacing w:after="0" w:line="238" w:lineRule="auto"/>
        <w:rPr>
          <w:sz w:val="20"/>
          <w:szCs w:val="20"/>
          <w:color w:val="auto"/>
        </w:rPr>
      </w:pPr>
      <w:r>
        <w:rPr>
          <w:rFonts w:ascii="Courier New" w:cs="Courier New" w:eastAsia="Courier New" w:hAnsi="Courier New"/>
          <w:sz w:val="15"/>
          <w:szCs w:val="15"/>
          <w:color w:val="auto"/>
        </w:rPr>
        <w:t>5,549</w:t>
      </w:r>
    </w:p>
    <w:p>
      <w:pPr>
        <w:ind w:left="1800"/>
        <w:spacing w:after="0" w:line="237" w:lineRule="auto"/>
        <w:rPr>
          <w:sz w:val="20"/>
          <w:szCs w:val="20"/>
          <w:color w:val="auto"/>
        </w:rPr>
      </w:pPr>
      <w:r>
        <w:rPr>
          <w:rFonts w:ascii="Courier New" w:cs="Courier New" w:eastAsia="Courier New" w:hAnsi="Courier New"/>
          <w:sz w:val="15"/>
          <w:szCs w:val="15"/>
          <w:color w:val="auto"/>
        </w:rPr>
        <w:t>8,211</w:t>
      </w:r>
    </w:p>
    <w:p>
      <w:pPr>
        <w:ind w:left="3640"/>
        <w:spacing w:after="0" w:line="238" w:lineRule="auto"/>
        <w:rPr>
          <w:sz w:val="20"/>
          <w:szCs w:val="20"/>
          <w:color w:val="auto"/>
        </w:rPr>
      </w:pPr>
      <w:r>
        <w:rPr>
          <w:rFonts w:ascii="Courier New" w:cs="Courier New" w:eastAsia="Courier New" w:hAnsi="Courier New"/>
          <w:sz w:val="15"/>
          <w:szCs w:val="15"/>
          <w:color w:val="auto"/>
        </w:rPr>
        <w:t>4,766</w:t>
      </w:r>
    </w:p>
    <w:p>
      <w:pPr>
        <w:ind w:left="2860"/>
        <w:spacing w:after="0" w:line="237" w:lineRule="auto"/>
        <w:rPr>
          <w:sz w:val="20"/>
          <w:szCs w:val="20"/>
          <w:color w:val="auto"/>
        </w:rPr>
      </w:pPr>
      <w:r>
        <w:rPr>
          <w:rFonts w:ascii="Courier New" w:cs="Courier New" w:eastAsia="Courier New" w:hAnsi="Courier New"/>
          <w:sz w:val="15"/>
          <w:szCs w:val="15"/>
          <w:color w:val="auto"/>
        </w:rPr>
        <w:t>4,766</w:t>
      </w:r>
    </w:p>
    <w:p>
      <w:pPr>
        <w:ind w:left="3820"/>
        <w:spacing w:after="0" w:line="238" w:lineRule="auto"/>
        <w:rPr>
          <w:sz w:val="20"/>
          <w:szCs w:val="20"/>
          <w:color w:val="auto"/>
        </w:rPr>
      </w:pPr>
      <w:r>
        <w:rPr>
          <w:rFonts w:ascii="Courier New" w:cs="Courier New" w:eastAsia="Courier New" w:hAnsi="Courier New"/>
          <w:sz w:val="15"/>
          <w:szCs w:val="15"/>
          <w:color w:val="auto"/>
        </w:rPr>
        <w:t>2,749</w:t>
      </w:r>
    </w:p>
    <w:p>
      <w:pPr>
        <w:ind w:left="3120"/>
        <w:spacing w:after="0" w:line="238" w:lineRule="auto"/>
        <w:rPr>
          <w:sz w:val="20"/>
          <w:szCs w:val="20"/>
          <w:color w:val="auto"/>
        </w:rPr>
      </w:pPr>
      <w:r>
        <w:rPr>
          <w:rFonts w:ascii="Courier New" w:cs="Courier New" w:eastAsia="Courier New" w:hAnsi="Courier New"/>
          <w:sz w:val="15"/>
          <w:szCs w:val="15"/>
          <w:color w:val="auto"/>
        </w:rPr>
        <w:t>3,571</w:t>
      </w:r>
    </w:p>
    <w:p>
      <w:pPr>
        <w:ind w:left="3120"/>
        <w:spacing w:after="0" w:line="237" w:lineRule="auto"/>
        <w:rPr>
          <w:sz w:val="20"/>
          <w:szCs w:val="20"/>
          <w:color w:val="auto"/>
        </w:rPr>
      </w:pPr>
      <w:r>
        <w:rPr>
          <w:rFonts w:ascii="Courier New" w:cs="Courier New" w:eastAsia="Courier New" w:hAnsi="Courier New"/>
          <w:sz w:val="15"/>
          <w:szCs w:val="15"/>
          <w:color w:val="auto"/>
        </w:rPr>
        <w:t>15</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860"/>
        <w:spacing w:after="0" w:line="237" w:lineRule="auto"/>
        <w:rPr>
          <w:sz w:val="20"/>
          <w:szCs w:val="20"/>
          <w:color w:val="auto"/>
        </w:rPr>
      </w:pPr>
      <w:r>
        <w:rPr>
          <w:rFonts w:ascii="Courier New" w:cs="Courier New" w:eastAsia="Courier New" w:hAnsi="Courier New"/>
          <w:sz w:val="15"/>
          <w:szCs w:val="15"/>
          <w:color w:val="auto"/>
        </w:rPr>
        <w:t>(4)</w:t>
      </w:r>
    </w:p>
    <w:p>
      <w:pPr>
        <w:ind w:left="2940"/>
        <w:spacing w:after="0" w:line="238" w:lineRule="auto"/>
        <w:rPr>
          <w:sz w:val="20"/>
          <w:szCs w:val="20"/>
          <w:color w:val="auto"/>
        </w:rPr>
      </w:pPr>
      <w:r>
        <w:rPr>
          <w:rFonts w:ascii="Courier New" w:cs="Courier New" w:eastAsia="Courier New" w:hAnsi="Courier New"/>
          <w:sz w:val="15"/>
          <w:szCs w:val="15"/>
          <w:color w:val="auto"/>
        </w:rPr>
        <w:t>1,199</w:t>
      </w:r>
    </w:p>
    <w:p>
      <w:pPr>
        <w:ind w:left="3200"/>
        <w:spacing w:after="0" w:line="237" w:lineRule="auto"/>
        <w:rPr>
          <w:sz w:val="20"/>
          <w:szCs w:val="20"/>
          <w:color w:val="auto"/>
        </w:rPr>
      </w:pPr>
      <w:r>
        <w:rPr>
          <w:rFonts w:ascii="Courier New" w:cs="Courier New" w:eastAsia="Courier New" w:hAnsi="Courier New"/>
          <w:sz w:val="15"/>
          <w:szCs w:val="15"/>
          <w:color w:val="auto"/>
        </w:rPr>
        <w:t>(422)</w:t>
      </w:r>
    </w:p>
    <w:p>
      <w:pPr>
        <w:ind w:left="2940"/>
        <w:spacing w:after="0" w:line="238" w:lineRule="auto"/>
        <w:rPr>
          <w:sz w:val="20"/>
          <w:szCs w:val="20"/>
          <w:color w:val="auto"/>
        </w:rPr>
      </w:pPr>
      <w:r>
        <w:rPr>
          <w:rFonts w:ascii="Courier New" w:cs="Courier New" w:eastAsia="Courier New" w:hAnsi="Courier New"/>
          <w:sz w:val="15"/>
          <w:szCs w:val="15"/>
          <w:color w:val="auto"/>
        </w:rPr>
        <w:t>0</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380"/>
        <w:spacing w:after="0" w:line="237" w:lineRule="auto"/>
        <w:rPr>
          <w:sz w:val="20"/>
          <w:szCs w:val="20"/>
          <w:color w:val="auto"/>
        </w:rPr>
      </w:pPr>
      <w:r>
        <w:rPr>
          <w:rFonts w:ascii="Courier New" w:cs="Courier New" w:eastAsia="Courier New" w:hAnsi="Courier New"/>
          <w:sz w:val="15"/>
          <w:szCs w:val="15"/>
          <w:color w:val="auto"/>
        </w:rPr>
        <w:t>778</w:t>
      </w:r>
    </w:p>
    <w:p>
      <w:pPr>
        <w:ind w:left="3380"/>
        <w:spacing w:after="0" w:line="238" w:lineRule="auto"/>
        <w:rPr>
          <w:sz w:val="20"/>
          <w:szCs w:val="20"/>
          <w:color w:val="auto"/>
        </w:rPr>
      </w:pPr>
      <w:r>
        <w:rPr>
          <w:rFonts w:ascii="Courier New" w:cs="Courier New" w:eastAsia="Courier New" w:hAnsi="Courier New"/>
          <w:sz w:val="15"/>
          <w:szCs w:val="15"/>
          <w:color w:val="auto"/>
        </w:rPr>
        <w:t>1.45</w:t>
      </w:r>
    </w:p>
    <w:p>
      <w:pPr>
        <w:ind w:left="3200"/>
        <w:spacing w:after="0" w:line="237" w:lineRule="auto"/>
        <w:rPr>
          <w:sz w:val="20"/>
          <w:szCs w:val="20"/>
          <w:color w:val="auto"/>
        </w:rPr>
      </w:pPr>
      <w:r>
        <w:rPr>
          <w:rFonts w:ascii="Courier New" w:cs="Courier New" w:eastAsia="Courier New" w:hAnsi="Courier New"/>
          <w:sz w:val="15"/>
          <w:szCs w:val="15"/>
          <w:color w:val="auto"/>
        </w:rPr>
        <w:t>1.37</w:t>
      </w: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decimal"/>
      <w:start w:val="208"/>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2019-12-13T13:20:13Z</dcterms:created>
  <dcterms:modified xsi:type="dcterms:W3CDTF">2019-12-13T13:20:13Z</dcterms:modified>
</cp:coreProperties>
</file>