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8107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8107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MADDOCK ERNEST E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8000 S FEDERAL WAY</w:t>
      </w:r>
    </w:p>
    <w:p>
      <w:pPr>
        <w:spacing w:after="0" w:line="63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MS 1-557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MICRON TECHNOLOGY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MU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7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3. Date of Earliest Transaction (Month/Day/Year)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06/03/2017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94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CFO &amp; VP, Finance</w:t>
      </w:r>
    </w:p>
    <w:p>
      <w:pPr>
        <w:spacing w:after="0" w:line="40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400" w:space="577"/>
            <w:col w:w="3363"/>
          </w:cols>
          <w:pgMar w:left="240" w:top="226" w:right="23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40" w:type="dxa"/>
            <w:vAlign w:val="bottom"/>
            <w:gridSpan w:val="6"/>
          </w:tcPr>
          <w:p>
            <w:pPr>
              <w:jc w:val="right"/>
              <w:ind w:right="197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9"/>
              </w:rPr>
              <w:t>4. If Amendment, Date of Original Filed (Month/Day/Year)</w:t>
            </w:r>
          </w:p>
        </w:tc>
        <w:tc>
          <w:tcPr>
            <w:tcW w:w="3660" w:type="dxa"/>
            <w:vAlign w:val="bottom"/>
            <w:gridSpan w:val="7"/>
          </w:tcPr>
          <w:p>
            <w:pPr>
              <w:ind w:left="30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60" w:type="dxa"/>
            <w:vAlign w:val="bottom"/>
            <w:gridSpan w:val="6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BOISE</w:t>
            </w:r>
          </w:p>
        </w:tc>
        <w:tc>
          <w:tcPr>
            <w:tcW w:w="860" w:type="dxa"/>
            <w:vAlign w:val="bottom"/>
            <w:vMerge w:val="restart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ID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83716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6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60" w:type="dxa"/>
            <w:vAlign w:val="bottom"/>
            <w:gridSpan w:val="5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900" w:type="dxa"/>
            <w:vAlign w:val="bottom"/>
            <w:gridSpan w:val="2"/>
            <w:vMerge w:val="restart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300" w:type="dxa"/>
            <w:vAlign w:val="bottom"/>
            <w:tcBorders>
              <w:bottom w:val="single" w:sz="8" w:color="2C2C2C"/>
            </w:tcBorders>
            <w:gridSpan w:val="8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8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jc w:val="center"/>
              <w:ind w:left="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680" w:type="dxa"/>
            <w:vAlign w:val="bottom"/>
            <w:gridSpan w:val="3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1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12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3"/>
          </w:tcPr>
          <w:p>
            <w:pPr>
              <w:ind w:left="6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7"/>
              </w:rPr>
              <w:t>06/03/2017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F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2,946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9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31.21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3"/>
                <w:vertAlign w:val="superscript"/>
              </w:rPr>
              <w:t>(1)</w:t>
            </w: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188,985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300" w:type="dxa"/>
            <w:vAlign w:val="bottom"/>
            <w:tcBorders>
              <w:top w:val="single" w:sz="8" w:color="2C2C2C"/>
            </w:tcBorders>
            <w:gridSpan w:val="12"/>
          </w:tcPr>
          <w:p>
            <w:pPr>
              <w:jc w:val="center"/>
              <w:ind w:left="8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0" w:type="dxa"/>
            <w:vAlign w:val="bottom"/>
            <w:gridSpan w:val="10"/>
          </w:tcPr>
          <w:p>
            <w:pPr>
              <w:jc w:val="center"/>
              <w:ind w:left="25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4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4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0" w:type="dxa"/>
            <w:vAlign w:val="bottom"/>
            <w:gridSpan w:val="3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  <w:gridSpan w:val="3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4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8000"/>
        </w:rPr>
        <w:t>1. Withholding of shares of common stock to satisfy tax withholding obligations in connection with the vesting of restricted stock awarded under the Issuer's 2004 Equity Incentive Plan.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18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2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Robert Case, attorney-in-fact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06/06/2017</w:t>
            </w:r>
          </w:p>
        </w:tc>
      </w:tr>
      <w:tr>
        <w:trPr>
          <w:trHeight w:val="20"/>
        </w:trPr>
        <w:tc>
          <w:tcPr>
            <w:tcW w:w="20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27050" TargetMode="External"/><Relationship Id="rId13" Type="http://schemas.openxmlformats.org/officeDocument/2006/relationships/hyperlink" Target="http://www.sec.gov/cgi-bin/browse-edgar?action=getcompany&amp;CIK=000072312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2019-12-23T14:57:47Z</dcterms:created>
  <dcterms:modified xsi:type="dcterms:W3CDTF">2019-12-23T14:57:47Z</dcterms:modified>
</cp:coreProperties>
</file>