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30,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March 30, 2016, the Company announced its financial results for the second quarter of fiscal year 2016 ended March 3, 2016.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March 30, 2016</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March 30, 2016</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March 30, 2016</w:t>
      </w:r>
    </w:p>
    <w:p>
      <w:pPr>
        <w:sectPr>
          <w:pgSz w:w="11900" w:h="16838" w:orient="portrait"/>
          <w:cols w:equalWidth="0" w:num="1">
            <w:col w:w="9799"/>
          </w:cols>
          <w:pgMar w:left="6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6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120" w:type="dxa"/>
            <w:vAlign w:val="bottom"/>
          </w:tcPr>
          <w:p>
            <w:pPr>
              <w:spacing w:after="0"/>
              <w:rPr>
                <w:sz w:val="24"/>
                <w:szCs w:val="24"/>
                <w:color w:val="auto"/>
              </w:rPr>
            </w:pPr>
          </w:p>
        </w:tc>
      </w:tr>
      <w:tr>
        <w:trPr>
          <w:trHeight w:val="638"/>
        </w:trPr>
        <w:tc>
          <w:tcPr>
            <w:tcW w:w="3960" w:type="dxa"/>
            <w:vAlign w:val="bottom"/>
            <w:gridSpan w:val="3"/>
          </w:tcPr>
          <w:p>
            <w:pPr>
              <w:ind w:left="40"/>
              <w:spacing w:after="0"/>
              <w:rPr>
                <w:sz w:val="20"/>
                <w:szCs w:val="20"/>
                <w:color w:val="auto"/>
              </w:rPr>
            </w:pPr>
            <w:r>
              <w:rPr>
                <w:rFonts w:ascii="Arial" w:cs="Arial" w:eastAsia="Arial" w:hAnsi="Arial"/>
                <w:sz w:val="22"/>
                <w:szCs w:val="22"/>
                <w:color w:val="auto"/>
                <w:w w:val="88"/>
              </w:rPr>
              <w:t>Contacts:Ivan Donaldson</w:t>
            </w:r>
          </w:p>
        </w:tc>
        <w:tc>
          <w:tcPr>
            <w:tcW w:w="2120" w:type="dxa"/>
            <w:vAlign w:val="bottom"/>
          </w:tcPr>
          <w:p>
            <w:pPr>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1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18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idonaldson@micron.com</w:t>
            </w:r>
          </w:p>
        </w:tc>
        <w:tc>
          <w:tcPr>
            <w:tcW w:w="520" w:type="dxa"/>
            <w:vAlign w:val="bottom"/>
          </w:tcPr>
          <w:p>
            <w:pPr>
              <w:spacing w:after="0"/>
              <w:rPr>
                <w:sz w:val="21"/>
                <w:szCs w:val="21"/>
                <w:color w:val="auto"/>
              </w:rPr>
            </w:pPr>
          </w:p>
        </w:tc>
        <w:tc>
          <w:tcPr>
            <w:tcW w:w="21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dfrancisco@micron.com</w:t>
            </w:r>
          </w:p>
        </w:tc>
      </w:tr>
      <w:tr>
        <w:trPr>
          <w:trHeight w:val="328"/>
        </w:trPr>
        <w:tc>
          <w:tcPr>
            <w:tcW w:w="3440" w:type="dxa"/>
            <w:vAlign w:val="bottom"/>
            <w:gridSpan w:val="2"/>
          </w:tcPr>
          <w:p>
            <w:pPr>
              <w:ind w:left="1260"/>
              <w:spacing w:after="0"/>
              <w:rPr>
                <w:sz w:val="20"/>
                <w:szCs w:val="20"/>
                <w:color w:val="auto"/>
              </w:rPr>
            </w:pPr>
            <w:r>
              <w:rPr>
                <w:rFonts w:ascii="Arial" w:cs="Arial" w:eastAsia="Arial" w:hAnsi="Arial"/>
                <w:sz w:val="22"/>
                <w:szCs w:val="22"/>
                <w:color w:val="auto"/>
              </w:rPr>
              <w:t>(208) 368-4093</w:t>
            </w:r>
          </w:p>
        </w:tc>
        <w:tc>
          <w:tcPr>
            <w:tcW w:w="5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2016</w:t>
      </w:r>
    </w:p>
    <w:p>
      <w:pPr>
        <w:spacing w:after="0" w:line="290" w:lineRule="exact"/>
        <w:rPr>
          <w:sz w:val="20"/>
          <w:szCs w:val="20"/>
          <w:color w:val="auto"/>
        </w:rPr>
      </w:pPr>
    </w:p>
    <w:p>
      <w:pPr>
        <w:ind w:right="240" w:firstLine="324"/>
        <w:spacing w:after="0" w:line="375" w:lineRule="auto"/>
        <w:rPr>
          <w:sz w:val="20"/>
          <w:szCs w:val="20"/>
          <w:color w:val="auto"/>
        </w:rPr>
      </w:pPr>
      <w:r>
        <w:rPr>
          <w:rFonts w:ascii="Arial" w:cs="Arial" w:eastAsia="Arial" w:hAnsi="Arial"/>
          <w:sz w:val="21"/>
          <w:szCs w:val="21"/>
          <w:b w:val="1"/>
          <w:bCs w:val="1"/>
          <w:color w:val="auto"/>
        </w:rPr>
        <w:t xml:space="preserve">BOISE, Idaho, </w:t>
      </w:r>
      <w:r>
        <w:rPr>
          <w:rFonts w:ascii="Arial" w:cs="Arial" w:eastAsia="Arial" w:hAnsi="Arial"/>
          <w:sz w:val="21"/>
          <w:szCs w:val="21"/>
          <w:color w:val="auto"/>
        </w:rPr>
        <w:t>March 30, 2016 – Micron Technology, Inc., (NASDAQ: MU) today announced results of operations for its</w:t>
      </w:r>
      <w:r>
        <w:rPr>
          <w:rFonts w:ascii="Arial" w:cs="Arial" w:eastAsia="Arial" w:hAnsi="Arial"/>
          <w:sz w:val="21"/>
          <w:szCs w:val="21"/>
          <w:b w:val="1"/>
          <w:bCs w:val="1"/>
          <w:color w:val="auto"/>
        </w:rPr>
        <w:t xml:space="preserve"> </w:t>
      </w:r>
      <w:r>
        <w:rPr>
          <w:rFonts w:ascii="Arial" w:cs="Arial" w:eastAsia="Arial" w:hAnsi="Arial"/>
          <w:sz w:val="21"/>
          <w:szCs w:val="21"/>
          <w:color w:val="auto"/>
        </w:rPr>
        <w:t>second quarter of fiscal 2016, which ended March 3, 2016. Revenues for the second quarter of fiscal 2016 were $2.93 billion and were 12 percent lower compared to the first quarter of fiscal 2016 and 30 percent lower compared to the second quarter of fiscal 2015. Cash flows from operations were $763 million for the second quarter of fiscal 2016.</w:t>
      </w:r>
    </w:p>
    <w:p>
      <w:pPr>
        <w:spacing w:after="0" w:line="255" w:lineRule="exact"/>
        <w:rPr>
          <w:sz w:val="20"/>
          <w:szCs w:val="20"/>
          <w:color w:val="auto"/>
        </w:rPr>
      </w:pPr>
    </w:p>
    <w:p>
      <w:pPr>
        <w:jc w:val="both"/>
        <w:ind w:right="40" w:firstLine="324"/>
        <w:spacing w:after="0" w:line="340" w:lineRule="auto"/>
        <w:rPr>
          <w:sz w:val="20"/>
          <w:szCs w:val="20"/>
          <w:color w:val="auto"/>
        </w:rPr>
      </w:pPr>
      <w:r>
        <w:rPr>
          <w:rFonts w:ascii="Arial" w:cs="Arial" w:eastAsia="Arial" w:hAnsi="Arial"/>
          <w:sz w:val="22"/>
          <w:szCs w:val="22"/>
          <w:b w:val="1"/>
          <w:bCs w:val="1"/>
          <w:color w:val="auto"/>
        </w:rPr>
        <w:t xml:space="preserve">GAAP Income and Per Share Data </w:t>
      </w:r>
      <w:r>
        <w:rPr>
          <w:rFonts w:ascii="Arial" w:cs="Arial" w:eastAsia="Arial" w:hAnsi="Arial"/>
          <w:sz w:val="22"/>
          <w:szCs w:val="22"/>
          <w:color w:val="auto"/>
        </w:rPr>
        <w:t>– On a GAAP</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loss attributable to Micron shareholders for the second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of fiscal 2016 was $97 million, or ($0.09) per diluted share, compared to net income of $206 million, or $0.19 per diluted share, for the first quarter of fiscal 2016.</w:t>
      </w:r>
    </w:p>
    <w:p>
      <w:pPr>
        <w:spacing w:after="0" w:line="286" w:lineRule="exact"/>
        <w:rPr>
          <w:sz w:val="20"/>
          <w:szCs w:val="20"/>
          <w:color w:val="auto"/>
        </w:rPr>
      </w:pPr>
    </w:p>
    <w:p>
      <w:pPr>
        <w:ind w:right="24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loss attributable to Micron shareholders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fiscal 2016 was $48 million, or ($0.05) per diluted share, compared to net income of $249 million, or $0.24 per diluted share, for the first quarter of fiscal 2016. For a reconciliation of GAAP to non-GAAP results, see the accompanying financial tables and footnotes.</w:t>
      </w:r>
    </w:p>
    <w:p>
      <w:pPr>
        <w:spacing w:after="0" w:line="348" w:lineRule="exact"/>
        <w:rPr>
          <w:sz w:val="20"/>
          <w:szCs w:val="20"/>
          <w:color w:val="auto"/>
        </w:rPr>
      </w:pPr>
    </w:p>
    <w:p>
      <w:pPr>
        <w:jc w:val="both"/>
        <w:ind w:right="320" w:firstLine="324"/>
        <w:spacing w:after="0" w:line="356" w:lineRule="auto"/>
        <w:rPr>
          <w:sz w:val="20"/>
          <w:szCs w:val="20"/>
          <w:color w:val="auto"/>
        </w:rPr>
      </w:pPr>
      <w:r>
        <w:rPr>
          <w:rFonts w:ascii="Arial" w:cs="Arial" w:eastAsia="Arial" w:hAnsi="Arial"/>
          <w:sz w:val="22"/>
          <w:szCs w:val="22"/>
          <w:color w:val="auto"/>
        </w:rPr>
        <w:t>"Although we continue to navigate challenging market conditions, we are on track with deploying our advanced DRAM and NAND technologies and improving our cost structure," said Micron CEO Mark Durcan. "As a result, we expect to significantly improve our competitive position as we move through the second half of 2016 and beyond."</w:t>
      </w:r>
    </w:p>
    <w:p>
      <w:pPr>
        <w:spacing w:after="0" w:line="333" w:lineRule="exact"/>
        <w:rPr>
          <w:sz w:val="20"/>
          <w:szCs w:val="20"/>
          <w:color w:val="auto"/>
        </w:rPr>
      </w:pPr>
    </w:p>
    <w:p>
      <w:pPr>
        <w:ind w:right="380" w:firstLine="324"/>
        <w:spacing w:after="0" w:line="352" w:lineRule="auto"/>
        <w:rPr>
          <w:sz w:val="20"/>
          <w:szCs w:val="20"/>
          <w:color w:val="auto"/>
        </w:rPr>
      </w:pPr>
      <w:r>
        <w:rPr>
          <w:rFonts w:ascii="Arial" w:cs="Arial" w:eastAsia="Arial" w:hAnsi="Arial"/>
          <w:sz w:val="22"/>
          <w:szCs w:val="22"/>
          <w:color w:val="auto"/>
        </w:rPr>
        <w:t>Revenues for the second quarter of fiscal 2016 were lower compared to the first quarter of fiscal 2016 primarily due to approximate 10 percent declines in both DRAM average selling prices and sales volume. Non-Volatile trade revenues for the second quarter of fiscal 2016 declined 6 percent compared to the first quarter primarily as a result of an approximate 15 percent decline in average selling prices partially offset</w:t>
      </w:r>
    </w:p>
    <w:p>
      <w:pPr>
        <w:sectPr>
          <w:pgSz w:w="11900" w:h="16838" w:orient="portrait"/>
          <w:cols w:equalWidth="0" w:num="1">
            <w:col w:w="11420"/>
          </w:cols>
          <w:pgMar w:left="240" w:top="801" w:right="239" w:bottom="1440" w:gutter="0" w:footer="0" w:header="0"/>
        </w:sectPr>
      </w:pPr>
    </w:p>
    <w:bookmarkStart w:id="5" w:name="page6"/>
    <w:bookmarkEnd w:id="5"/>
    <w:p>
      <w:pPr>
        <w:spacing w:after="0" w:line="356" w:lineRule="auto"/>
        <w:rPr>
          <w:sz w:val="20"/>
          <w:szCs w:val="20"/>
          <w:color w:val="auto"/>
        </w:rPr>
      </w:pPr>
      <w:r>
        <w:rPr>
          <w:rFonts w:ascii="Arial" w:cs="Arial" w:eastAsia="Arial" w:hAnsi="Arial"/>
          <w:sz w:val="22"/>
          <w:szCs w:val="22"/>
          <w:color w:val="auto"/>
        </w:rPr>
        <w:t>by an increase in sales volume. The company's overall consolidated gross margin of 20 percent for the second quarter of fiscal 2016 was 5 percent lower compared to the first quarter of fiscal 2016 primarily due to lower average selling prices partially offset by manufacturing cost reductions for Non-Volatile products.</w:t>
      </w:r>
    </w:p>
    <w:p>
      <w:pPr>
        <w:spacing w:after="0" w:line="333" w:lineRule="exact"/>
        <w:rPr>
          <w:sz w:val="20"/>
          <w:szCs w:val="20"/>
          <w:color w:val="auto"/>
        </w:rPr>
      </w:pPr>
    </w:p>
    <w:p>
      <w:pPr>
        <w:ind w:right="360" w:firstLine="324"/>
        <w:spacing w:after="0" w:line="366" w:lineRule="auto"/>
        <w:rPr>
          <w:sz w:val="20"/>
          <w:szCs w:val="20"/>
          <w:color w:val="auto"/>
        </w:rPr>
      </w:pPr>
      <w:r>
        <w:rPr>
          <w:rFonts w:ascii="Arial" w:cs="Arial" w:eastAsia="Arial" w:hAnsi="Arial"/>
          <w:sz w:val="22"/>
          <w:szCs w:val="22"/>
          <w:color w:val="auto"/>
        </w:rPr>
        <w:t>Investments in capital expenditures for the second quarter of fiscal 2016 were $1.23 billion. The company ended the second quarter of fiscal 2016 with cash and marketable investments of $5.14 billion.</w:t>
      </w:r>
    </w:p>
    <w:p>
      <w:pPr>
        <w:spacing w:after="0" w:line="322" w:lineRule="exact"/>
        <w:rPr>
          <w:sz w:val="20"/>
          <w:szCs w:val="20"/>
          <w:color w:val="auto"/>
        </w:rPr>
      </w:pPr>
    </w:p>
    <w:p>
      <w:pPr>
        <w:ind w:right="20" w:firstLine="324"/>
        <w:spacing w:after="0" w:line="352" w:lineRule="auto"/>
        <w:rPr>
          <w:sz w:val="20"/>
          <w:szCs w:val="20"/>
          <w:color w:val="auto"/>
        </w:rPr>
      </w:pPr>
      <w:r>
        <w:rPr>
          <w:rFonts w:ascii="Arial" w:cs="Arial" w:eastAsia="Arial" w:hAnsi="Arial"/>
          <w:sz w:val="22"/>
          <w:szCs w:val="22"/>
          <w:color w:val="auto"/>
        </w:rPr>
        <w:t xml:space="preserve">The company will host a conference call Wednesday, March 30, 2016 at 2:30 p.m. MT to discuss its financial results. The call, audio, and slides will be available online at </w:t>
      </w:r>
      <w:r>
        <w:rPr>
          <w:rFonts w:ascii="Arial" w:cs="Arial" w:eastAsia="Arial" w:hAnsi="Arial"/>
          <w:sz w:val="19"/>
          <w:szCs w:val="19"/>
          <w:u w:val="single" w:color="auto"/>
          <w:color w:val="0563C1"/>
        </w:rPr>
        <w:t>http://edge.media-server.com/m/p/336xx5th</w:t>
      </w:r>
      <w:r>
        <w:rPr>
          <w:rFonts w:ascii="Arial" w:cs="Arial" w:eastAsia="Arial" w:hAnsi="Arial"/>
          <w:sz w:val="22"/>
          <w:szCs w:val="22"/>
          <w:color w:val="auto"/>
        </w:rPr>
        <w:t xml:space="preserve">. A webcast replay will be available on the company's website until March 30, 2017. A taped audio replay of the conference call will also be available at 1-404-537-3406 or 1-855-859-2056 (conference number: 67709190) beginning at 5:30 p.m. MT, Wednesday, March 30, 2016 and continuing through Thursday, April 7, 2016. </w:t>
      </w:r>
      <w:r>
        <w:rPr>
          <w:rFonts w:ascii="Arial" w:cs="Arial" w:eastAsia="Arial" w:hAnsi="Arial"/>
          <w:sz w:val="22"/>
          <w:szCs w:val="22"/>
          <w:color w:val="222222"/>
        </w:rPr>
        <w:t>For</w:t>
      </w:r>
      <w:r>
        <w:rPr>
          <w:rFonts w:ascii="Arial" w:cs="Arial" w:eastAsia="Arial" w:hAnsi="Arial"/>
          <w:sz w:val="22"/>
          <w:szCs w:val="22"/>
          <w:color w:val="auto"/>
        </w:rPr>
        <w:t xml:space="preserve"> Investor Relations and other company updates, follow @MicronTech on Twitter at </w:t>
      </w:r>
      <w:r>
        <w:rPr>
          <w:rFonts w:ascii="Arial" w:cs="Arial" w:eastAsia="Arial" w:hAnsi="Arial"/>
          <w:sz w:val="22"/>
          <w:szCs w:val="22"/>
          <w:u w:val="single" w:color="auto"/>
          <w:color w:val="006EBF"/>
        </w:rPr>
        <w:t>https://twitter.com/MicronTech</w:t>
      </w:r>
      <w:r>
        <w:rPr>
          <w:rFonts w:ascii="Arial" w:cs="Arial" w:eastAsia="Arial" w:hAnsi="Arial"/>
          <w:sz w:val="22"/>
          <w:szCs w:val="22"/>
          <w:color w:val="000000"/>
        </w:rPr>
        <w:t>.</w:t>
      </w:r>
    </w:p>
    <w:p>
      <w:pPr>
        <w:spacing w:after="0" w:line="340" w:lineRule="exact"/>
        <w:rPr>
          <w:sz w:val="20"/>
          <w:szCs w:val="20"/>
          <w:color w:val="auto"/>
        </w:rPr>
      </w:pPr>
    </w:p>
    <w:p>
      <w:pPr>
        <w:ind w:right="140" w:firstLine="324"/>
        <w:spacing w:after="0" w:line="350"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6EBF"/>
        </w:rPr>
        <w:t>www.micron.com</w:t>
      </w:r>
      <w:r>
        <w:rPr>
          <w:rFonts w:ascii="Arial" w:cs="Arial" w:eastAsia="Arial" w:hAnsi="Arial"/>
          <w:sz w:val="22"/>
          <w:szCs w:val="22"/>
          <w:color w:val="auto"/>
        </w:rPr>
        <w:t>.</w:t>
      </w:r>
    </w:p>
    <w:p>
      <w:pPr>
        <w:spacing w:after="0" w:line="303"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44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400"/>
          </w:cols>
          <w:pgMar w:left="240" w:top="861" w:right="25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260" w:type="dxa"/>
            <w:vAlign w:val="bottom"/>
            <w:gridSpan w:val="7"/>
          </w:tcPr>
          <w:p>
            <w:pPr>
              <w:ind w:left="60"/>
              <w:spacing w:after="0"/>
              <w:rPr>
                <w:sz w:val="20"/>
                <w:szCs w:val="20"/>
                <w:color w:val="auto"/>
              </w:rPr>
            </w:pPr>
            <w:r>
              <w:rPr>
                <w:rFonts w:ascii="Arial" w:cs="Arial" w:eastAsia="Arial" w:hAnsi="Arial"/>
                <w:sz w:val="18"/>
                <w:szCs w:val="18"/>
                <w:b w:val="1"/>
                <w:bCs w:val="1"/>
                <w:color w:val="auto"/>
                <w:w w:val="96"/>
              </w:rPr>
              <w:t>(in millions except per share amounts)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10"/>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25"/>
                <w:szCs w:val="25"/>
                <w:b w:val="1"/>
                <w:bCs w:val="1"/>
                <w:color w:val="auto"/>
                <w:vertAlign w:val="superscript"/>
              </w:rPr>
              <w:t>nd</w:t>
            </w:r>
            <w:r>
              <w:rPr>
                <w:rFonts w:ascii="Arial" w:cs="Arial" w:eastAsia="Arial" w:hAnsi="Arial"/>
                <w:sz w:val="18"/>
                <w:szCs w:val="18"/>
                <w:b w:val="1"/>
                <w:bCs w:val="1"/>
                <w:color w:val="auto"/>
              </w:rPr>
              <w:t xml:space="preserve"> Qtr.</w:t>
            </w:r>
          </w:p>
        </w:tc>
        <w:tc>
          <w:tcPr>
            <w:tcW w:w="180" w:type="dxa"/>
            <w:vAlign w:val="bottom"/>
          </w:tcPr>
          <w:p>
            <w:pPr>
              <w:spacing w:after="0"/>
              <w:rPr>
                <w:sz w:val="24"/>
                <w:szCs w:val="24"/>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w:t>
            </w: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 3,</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5,</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w:t>
            </w:r>
          </w:p>
        </w:tc>
        <w:tc>
          <w:tcPr>
            <w:tcW w:w="2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5,</w:t>
            </w:r>
          </w:p>
        </w:tc>
      </w:tr>
      <w:tr>
        <w:trPr>
          <w:trHeight w:val="234"/>
        </w:trPr>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8,739</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5,696</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3,043</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4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equity method investees</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Micron</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97"/>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1,072</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r>
      <w:tr>
        <w:trPr>
          <w:trHeight w:val="27"/>
        </w:trPr>
        <w:tc>
          <w:tcPr>
            <w:tcW w:w="4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September 3,</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8,596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10,554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24,143</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(1)(3)</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r>
      <w:tr>
        <w:trPr>
          <w:trHeight w:val="270"/>
        </w:trPr>
        <w:tc>
          <w:tcPr>
            <w:tcW w:w="67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(1)(3)</w:t>
            </w:r>
          </w:p>
        </w:tc>
        <w:tc>
          <w:tcPr>
            <w:tcW w:w="2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6,252</w:t>
            </w: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Micron shareholders' equity</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12,302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13,239</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w:t>
            </w:r>
          </w:p>
        </w:tc>
        <w:tc>
          <w:tcPr>
            <w:tcW w:w="24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5,</w:t>
            </w:r>
          </w:p>
        </w:tc>
      </w:tr>
      <w:tr>
        <w:trPr>
          <w:trHeight w:val="234"/>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(3,202)</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97"/>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1,254</w:t>
            </w: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to acquire treasury stock</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8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(1) Other non-operating income (expense)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2</w:t>
            </w:r>
            <w:r>
              <w:rPr>
                <w:rFonts w:ascii="Arial" w:cs="Arial" w:eastAsia="Arial" w:hAnsi="Arial"/>
                <w:sz w:val="25"/>
                <w:szCs w:val="25"/>
                <w:b w:val="1"/>
                <w:bCs w:val="1"/>
                <w:color w:val="auto"/>
                <w:w w:val="88"/>
                <w:vertAlign w:val="superscript"/>
              </w:rPr>
              <w:t>nd</w:t>
            </w:r>
            <w:r>
              <w:rPr>
                <w:rFonts w:ascii="Arial" w:cs="Arial" w:eastAsia="Arial" w:hAnsi="Arial"/>
                <w:sz w:val="18"/>
                <w:szCs w:val="18"/>
                <w:b w:val="1"/>
                <w:bCs w:val="1"/>
                <w:color w:val="auto"/>
                <w:w w:val="88"/>
              </w:rPr>
              <w:t xml:space="preserve"> Qtr.</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1</w:t>
            </w:r>
            <w:r>
              <w:rPr>
                <w:rFonts w:ascii="Arial" w:cs="Arial" w:eastAsia="Arial" w:hAnsi="Arial"/>
                <w:sz w:val="25"/>
                <w:szCs w:val="25"/>
                <w:b w:val="1"/>
                <w:bCs w:val="1"/>
                <w:color w:val="auto"/>
                <w:w w:val="84"/>
                <w:vertAlign w:val="superscript"/>
              </w:rPr>
              <w:t>st</w:t>
            </w:r>
            <w:r>
              <w:rPr>
                <w:rFonts w:ascii="Arial" w:cs="Arial" w:eastAsia="Arial" w:hAnsi="Arial"/>
                <w:sz w:val="18"/>
                <w:szCs w:val="18"/>
                <w:b w:val="1"/>
                <w:bCs w:val="1"/>
                <w:color w:val="auto"/>
                <w:w w:val="84"/>
              </w:rPr>
              <w:t xml:space="preserve"> Qtr.</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180" w:type="dxa"/>
            <w:vAlign w:val="bottom"/>
          </w:tcPr>
          <w:p>
            <w:pPr>
              <w:spacing w:after="0"/>
              <w:rPr>
                <w:sz w:val="24"/>
                <w:szCs w:val="24"/>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580" w:type="dxa"/>
            <w:vAlign w:val="bottom"/>
          </w:tcPr>
          <w:p>
            <w:pPr>
              <w:spacing w:after="0"/>
              <w:rPr>
                <w:sz w:val="18"/>
                <w:szCs w:val="18"/>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b w:val="1"/>
                <w:bCs w:val="1"/>
                <w:color w:val="auto"/>
                <w:w w:val="93"/>
              </w:rPr>
              <w:t>March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 3,</w:t>
            </w:r>
          </w:p>
        </w:tc>
        <w:tc>
          <w:tcPr>
            <w:tcW w:w="18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5,</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w:t>
            </w:r>
          </w:p>
        </w:tc>
        <w:tc>
          <w:tcPr>
            <w:tcW w:w="2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5,</w:t>
            </w:r>
          </w:p>
        </w:tc>
      </w:tr>
      <w:tr>
        <w:trPr>
          <w:trHeight w:val="234"/>
        </w:trPr>
        <w:tc>
          <w:tcPr>
            <w:tcW w:w="4580" w:type="dxa"/>
            <w:vAlign w:val="bottom"/>
          </w:tcPr>
          <w:p>
            <w:pPr>
              <w:spacing w:after="0"/>
              <w:rPr>
                <w:sz w:val="20"/>
                <w:szCs w:val="20"/>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Loss on restructure of debt</w:t>
            </w:r>
          </w:p>
        </w:tc>
        <w:tc>
          <w:tcPr>
            <w:tcW w:w="9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458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86" w:lineRule="auto"/>
        <w:rPr>
          <w:sz w:val="20"/>
          <w:szCs w:val="20"/>
          <w:color w:val="auto"/>
        </w:rPr>
      </w:pPr>
      <w:r>
        <w:rPr>
          <w:rFonts w:ascii="Arial" w:cs="Arial" w:eastAsia="Arial" w:hAnsi="Arial"/>
          <w:sz w:val="17"/>
          <w:szCs w:val="17"/>
          <w:color w:val="auto"/>
        </w:rPr>
        <w:t>During the first quarter of fiscal 2016, the company recognized a loss of $1 million on the repurchase of $57 million in aggregate principal amount of 2033E Notes for $94 million in cash. In the first six months of fiscal 2015, the company recognized losses of $30 million from transactions to restructure its debt, including conversions, settlements and repurchases of convertible notes, and the early repayment of a note.</w:t>
      </w:r>
    </w:p>
    <w:p>
      <w:pPr>
        <w:spacing w:after="0" w:line="166" w:lineRule="exact"/>
        <w:rPr>
          <w:sz w:val="20"/>
          <w:szCs w:val="20"/>
          <w:color w:val="auto"/>
        </w:rPr>
      </w:pPr>
    </w:p>
    <w:p>
      <w:pPr>
        <w:ind w:left="340" w:right="16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included a provision related to changes in amounts of net deferred tax assets associated with the company's MMJ and MMT operations of $10 million for the second quarter of fiscal 2016, $22 million for the first quarter of fiscal 2016, and $33 million for the second quarter of fiscal 2015. Income taxes for the first quarter of fiscal 2016 also included a benefit of $41 million from business acquisition activities. Remaining taxes for fiscal 2016 and 2015 primarily reflect taxes on the company's other non-U.S. operations. The company has a full valuation allowance for its net deferred tax asset associated with its U.S. operations. Income taxes on U.S. operations for fiscal 2016 and 2015 were substantially offset by changes in the valuation allowance.</w:t>
      </w:r>
    </w:p>
    <w:p>
      <w:pPr>
        <w:spacing w:after="0" w:line="193" w:lineRule="exact"/>
        <w:rPr>
          <w:rFonts w:ascii="Arial" w:cs="Arial" w:eastAsia="Arial" w:hAnsi="Arial"/>
          <w:sz w:val="18"/>
          <w:szCs w:val="18"/>
          <w:color w:val="auto"/>
        </w:rPr>
      </w:pPr>
    </w:p>
    <w:p>
      <w:pPr>
        <w:ind w:left="340" w:right="160" w:hanging="332"/>
        <w:spacing w:after="0" w:line="31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second quarter of fiscal 2016, the company recorded capital lease obligations aggregating $424 million related to equipment sale-leaseback transactions at a weighted-average effective interest rate of 2.7%, payable in periodic installments through December 2020. In the first quarter of fiscal 2016, the company drew the remaining $174 million of financing under a term loan agreement, collateralized by certain property, plant, and equipment.</w:t>
      </w:r>
    </w:p>
    <w:p>
      <w:pPr>
        <w:sectPr>
          <w:pgSz w:w="11900" w:h="16838" w:orient="portrait"/>
          <w:cols w:equalWidth="0" w:num="1">
            <w:col w:w="11420"/>
          </w:cols>
          <w:pgMar w:left="240" w:top="800" w:right="2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4620" w:type="dxa"/>
            <w:vAlign w:val="bottom"/>
            <w:gridSpan w:val="2"/>
          </w:tcPr>
          <w:p>
            <w:pPr>
              <w:jc w:val="right"/>
              <w:ind w:right="160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12"/>
        </w:trPr>
        <w:tc>
          <w:tcPr>
            <w:tcW w:w="4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2</w:t>
            </w:r>
            <w:r>
              <w:rPr>
                <w:rFonts w:ascii="Arial" w:cs="Arial" w:eastAsia="Arial" w:hAnsi="Arial"/>
                <w:sz w:val="25"/>
                <w:szCs w:val="25"/>
                <w:b w:val="1"/>
                <w:bCs w:val="1"/>
                <w:color w:val="auto"/>
                <w:w w:val="85"/>
                <w:vertAlign w:val="superscript"/>
              </w:rPr>
              <w:t>nd</w:t>
            </w:r>
            <w:r>
              <w:rPr>
                <w:rFonts w:ascii="Arial" w:cs="Arial" w:eastAsia="Arial" w:hAnsi="Arial"/>
                <w:sz w:val="18"/>
                <w:szCs w:val="18"/>
                <w:b w:val="1"/>
                <w:bCs w:val="1"/>
                <w:color w:val="auto"/>
                <w:w w:val="85"/>
              </w:rPr>
              <w:t xml:space="preserve"> Qtr.</w:t>
            </w:r>
          </w:p>
        </w:tc>
        <w:tc>
          <w:tcPr>
            <w:tcW w:w="160" w:type="dxa"/>
            <w:vAlign w:val="bottom"/>
          </w:tcPr>
          <w:p>
            <w:pPr>
              <w:spacing w:after="0"/>
              <w:rPr>
                <w:sz w:val="24"/>
                <w:szCs w:val="24"/>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r>
      <w:tr>
        <w:trPr>
          <w:trHeight w:val="216"/>
        </w:trPr>
        <w:tc>
          <w:tcPr>
            <w:tcW w:w="4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March 3,</w:t>
            </w:r>
          </w:p>
        </w:tc>
        <w:tc>
          <w:tcPr>
            <w:tcW w:w="16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December 3,</w:t>
            </w:r>
          </w:p>
        </w:tc>
      </w:tr>
      <w:tr>
        <w:trPr>
          <w:trHeight w:val="234"/>
        </w:trPr>
        <w:tc>
          <w:tcPr>
            <w:tcW w:w="4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1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(loss) attributable to Micron</w:t>
            </w:r>
          </w:p>
        </w:tc>
        <w:tc>
          <w:tcPr>
            <w:tcW w:w="4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Restructure and asset impairments</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restructure of debt</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w w:val="92"/>
              </w:rPr>
              <w:t>(Gain) loss from changes in currency exchange rates</w:t>
            </w: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Estimated tax effects of above items</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rPr>
              <w:t>Non-cash taxes from MMJ, MMT, and Inotera</w:t>
            </w: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rPr>
              <w:t>Non-cash taxes from business acquisition activities</w:t>
            </w:r>
          </w:p>
        </w:tc>
        <w:tc>
          <w:tcPr>
            <w:tcW w:w="4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4140" w:type="dxa"/>
            <w:vAlign w:val="bottom"/>
          </w:tcPr>
          <w:p>
            <w:pPr>
              <w:ind w:left="360"/>
              <w:spacing w:after="0"/>
              <w:rPr>
                <w:sz w:val="20"/>
                <w:szCs w:val="20"/>
                <w:color w:val="auto"/>
              </w:rPr>
            </w:pPr>
            <w:r>
              <w:rPr>
                <w:rFonts w:ascii="Arial" w:cs="Arial" w:eastAsia="Arial" w:hAnsi="Arial"/>
                <w:sz w:val="18"/>
                <w:szCs w:val="18"/>
                <w:color w:val="auto"/>
              </w:rPr>
              <w:t>Total non-GAAP adjustments</w:t>
            </w:r>
          </w:p>
        </w:tc>
        <w:tc>
          <w:tcPr>
            <w:tcW w:w="4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1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 attributable to Micron</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Number of shares used in diluted per share calculations:</w:t>
            </w:r>
          </w:p>
        </w:tc>
        <w:tc>
          <w:tcPr>
            <w:tcW w:w="4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rPr>
              <w:t>GAAP</w:t>
            </w: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1,085</w:t>
            </w: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capped calls</w:t>
            </w:r>
          </w:p>
        </w:tc>
        <w:tc>
          <w:tcPr>
            <w:tcW w:w="4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Non-GAAP</w:t>
            </w:r>
          </w:p>
        </w:tc>
        <w:tc>
          <w:tcPr>
            <w:tcW w:w="44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1,035</w:t>
            </w:r>
          </w:p>
        </w:tc>
      </w:tr>
      <w:tr>
        <w:trPr>
          <w:trHeight w:val="284"/>
        </w:trPr>
        <w:tc>
          <w:tcPr>
            <w:tcW w:w="414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4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43"/>
        </w:trPr>
        <w:tc>
          <w:tcPr>
            <w:tcW w:w="4140" w:type="dxa"/>
            <w:vAlign w:val="bottom"/>
          </w:tcPr>
          <w:p>
            <w:pPr>
              <w:ind w:left="200"/>
              <w:spacing w:after="0"/>
              <w:rPr>
                <w:sz w:val="20"/>
                <w:szCs w:val="20"/>
                <w:color w:val="auto"/>
              </w:rPr>
            </w:pPr>
            <w:r>
              <w:rPr>
                <w:rFonts w:ascii="Arial" w:cs="Arial" w:eastAsia="Arial" w:hAnsi="Arial"/>
                <w:sz w:val="18"/>
                <w:szCs w:val="18"/>
                <w:color w:val="auto"/>
              </w:rPr>
              <w:t>Effects of above</w:t>
            </w:r>
          </w:p>
        </w:tc>
        <w:tc>
          <w:tcPr>
            <w:tcW w:w="4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41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2" w:lineRule="auto"/>
        <w:rPr>
          <w:sz w:val="20"/>
          <w:szCs w:val="20"/>
          <w:color w:val="auto"/>
        </w:rPr>
      </w:pPr>
      <w:r>
        <w:rPr>
          <w:rFonts w:ascii="Arial" w:cs="Arial" w:eastAsia="Arial" w:hAnsi="Arial"/>
          <w:sz w:val="17"/>
          <w:szCs w:val="17"/>
          <w:color w:val="auto"/>
        </w:rPr>
        <w:t>The table above sets forth non-GAAP net income (loss) attributable to Micron, diluted shares and diluted earnings (loss)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tax effects of above items;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taxes resulting from utilization of, and other changes in, deferred tax assets of MMJ, MMT, and Inotera (an equity method investment of the company);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taxes resulting from business acquisition activities.</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Non-GAAP diluted shares include the impact of the company's outstanding capped call transactions, which are anti-dilutive in GAAP earnings per share but are expected to mitigate the dilutive effect of the company's convertible notes. The anti-dilutive effect of the capped calls is based on the average share price for the period the capped calls are outstanding during the quarter.</w:t>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2019-12-05T16:48:34Z</dcterms:created>
  <dcterms:modified xsi:type="dcterms:W3CDTF">2019-12-05T16:48:34Z</dcterms:modified>
</cp:coreProperties>
</file>