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ARNZEN APRIL S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8000 S. FEDERAL WAY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MS 1-557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10/15/2018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SVP, Human Resources</w:t>
      </w:r>
    </w:p>
    <w:p>
      <w:pPr>
        <w:spacing w:after="0" w:line="4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00" w:space="577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80" w:type="dxa"/>
            <w:vAlign w:val="bottom"/>
            <w:gridSpan w:val="7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20" w:type="dxa"/>
            <w:vAlign w:val="bottom"/>
            <w:gridSpan w:val="7"/>
          </w:tcPr>
          <w:p>
            <w:pPr>
              <w:ind w:left="2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ID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83716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10/15/2018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2"/>
              </w:rPr>
              <w:t>1,963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2"/>
                <w:vertAlign w:val="superscript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42.47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54,850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1"/>
          </w:tcPr>
          <w:p>
            <w:pPr>
              <w:jc w:val="center"/>
              <w:ind w:left="2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Withholding of shares of common stock to satisfy tax withholding obligations in connection with the vesting of restricted stock awarded under the Issuer's 2004 Equity Incentive Plan.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Rachel Southorn, Attorney-in-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23"/>
          <w:szCs w:val="23"/>
          <w:color w:val="0000FF"/>
          <w:vertAlign w:val="subscript"/>
        </w:rPr>
        <w:t>10/16/2018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-16510</wp:posOffset>
            </wp:positionV>
            <wp:extent cx="135890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89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6700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00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632063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2019-12-23T14:57:15Z</dcterms:created>
  <dcterms:modified xsi:type="dcterms:W3CDTF">2019-12-23T14:57:15Z</dcterms:modified>
</cp:coreProperties>
</file>