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152400</wp:posOffset>
            </wp:positionH>
            <wp:positionV relativeFrom="page">
              <wp:posOffset>111125</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July 29, 2013</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Date of Report (date of earliest event reported)</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25297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3800" w:type="dxa"/>
            <w:vAlign w:val="bottom"/>
            <w:tcBorders>
              <w:bottom w:val="single" w:sz="8" w:color="auto"/>
            </w:tcBorders>
          </w:tcPr>
          <w:p>
            <w:pPr>
              <w:jc w:val="center"/>
              <w:ind w:left="334"/>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4080" w:type="dxa"/>
            <w:vAlign w:val="bottom"/>
            <w:tcBorders>
              <w:bottom w:val="single" w:sz="8" w:color="auto"/>
            </w:tcBorders>
          </w:tcPr>
          <w:p>
            <w:pPr>
              <w:jc w:val="right"/>
              <w:ind w:right="1534"/>
              <w:spacing w:after="0"/>
              <w:rPr>
                <w:sz w:val="20"/>
                <w:szCs w:val="20"/>
                <w:color w:val="auto"/>
              </w:rPr>
            </w:pPr>
            <w:r>
              <w:rPr>
                <w:rFonts w:ascii="Times New Roman" w:cs="Times New Roman" w:eastAsia="Times New Roman" w:hAnsi="Times New Roman"/>
                <w:sz w:val="17"/>
                <w:szCs w:val="17"/>
                <w:b w:val="1"/>
                <w:bCs w:val="1"/>
                <w:color w:val="auto"/>
              </w:rPr>
              <w:t>1-10658</w:t>
            </w:r>
          </w:p>
        </w:tc>
        <w:tc>
          <w:tcPr>
            <w:tcW w:w="3540" w:type="dxa"/>
            <w:vAlign w:val="bottom"/>
            <w:tcBorders>
              <w:bottom w:val="single" w:sz="8" w:color="auto"/>
            </w:tcBorders>
          </w:tcPr>
          <w:p>
            <w:pPr>
              <w:jc w:val="right"/>
              <w:ind w:right="1334"/>
              <w:spacing w:after="0"/>
              <w:rPr>
                <w:sz w:val="20"/>
                <w:szCs w:val="20"/>
                <w:color w:val="auto"/>
              </w:rPr>
            </w:pPr>
            <w:r>
              <w:rPr>
                <w:rFonts w:ascii="Times New Roman" w:cs="Times New Roman" w:eastAsia="Times New Roman" w:hAnsi="Times New Roman"/>
                <w:sz w:val="17"/>
                <w:szCs w:val="17"/>
                <w:b w:val="1"/>
                <w:bCs w:val="1"/>
                <w:color w:val="auto"/>
              </w:rPr>
              <w:t>75-1618004</w:t>
            </w:r>
          </w:p>
        </w:tc>
      </w:tr>
      <w:tr>
        <w:trPr>
          <w:trHeight w:val="223"/>
        </w:trPr>
        <w:tc>
          <w:tcPr>
            <w:tcW w:w="3800" w:type="dxa"/>
            <w:vAlign w:val="bottom"/>
          </w:tcPr>
          <w:p>
            <w:pPr>
              <w:jc w:val="center"/>
              <w:ind w:left="334"/>
              <w:spacing w:after="0"/>
              <w:rPr>
                <w:sz w:val="20"/>
                <w:szCs w:val="20"/>
                <w:color w:val="auto"/>
              </w:rPr>
            </w:pPr>
            <w:r>
              <w:rPr>
                <w:rFonts w:ascii="Times New Roman" w:cs="Times New Roman" w:eastAsia="Times New Roman" w:hAnsi="Times New Roman"/>
                <w:sz w:val="17"/>
                <w:szCs w:val="17"/>
                <w:color w:val="auto"/>
              </w:rPr>
              <w:t>(State or other jurisdiction of incorporation)</w:t>
            </w:r>
          </w:p>
        </w:tc>
        <w:tc>
          <w:tcPr>
            <w:tcW w:w="4080" w:type="dxa"/>
            <w:vAlign w:val="bottom"/>
          </w:tcPr>
          <w:p>
            <w:pPr>
              <w:jc w:val="center"/>
              <w:ind w:left="174"/>
              <w:spacing w:after="0"/>
              <w:rPr>
                <w:sz w:val="20"/>
                <w:szCs w:val="20"/>
                <w:color w:val="auto"/>
              </w:rPr>
            </w:pPr>
            <w:r>
              <w:rPr>
                <w:rFonts w:ascii="Times New Roman" w:cs="Times New Roman" w:eastAsia="Times New Roman" w:hAnsi="Times New Roman"/>
                <w:sz w:val="17"/>
                <w:szCs w:val="17"/>
                <w:color w:val="auto"/>
              </w:rPr>
              <w:t>(Commission File Number)</w:t>
            </w:r>
          </w:p>
        </w:tc>
        <w:tc>
          <w:tcPr>
            <w:tcW w:w="354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(I.R.S. Employer Identification No.)</w:t>
            </w:r>
          </w:p>
        </w:tc>
      </w:tr>
      <w:tr>
        <w:trPr>
          <w:trHeight w:val="402"/>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8000 South Federal Way</w:t>
            </w:r>
          </w:p>
        </w:tc>
        <w:tc>
          <w:tcPr>
            <w:tcW w:w="3540" w:type="dxa"/>
            <w:vAlign w:val="bottom"/>
          </w:tcPr>
          <w:p>
            <w:pPr>
              <w:spacing w:after="0"/>
              <w:rPr>
                <w:sz w:val="24"/>
                <w:szCs w:val="24"/>
                <w:color w:val="auto"/>
              </w:rPr>
            </w:pPr>
          </w:p>
        </w:tc>
      </w:tr>
      <w:tr>
        <w:trPr>
          <w:trHeight w:val="233"/>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Boise, Idaho 83716-9632</w:t>
            </w:r>
          </w:p>
        </w:tc>
        <w:tc>
          <w:tcPr>
            <w:tcW w:w="3540" w:type="dxa"/>
            <w:vAlign w:val="bottom"/>
          </w:tcPr>
          <w:p>
            <w:pPr>
              <w:spacing w:after="0"/>
              <w:rPr>
                <w:sz w:val="20"/>
                <w:szCs w:val="20"/>
                <w:color w:val="auto"/>
              </w:rPr>
            </w:pPr>
          </w:p>
        </w:tc>
      </w:tr>
      <w:tr>
        <w:trPr>
          <w:trHeight w:val="223"/>
        </w:trPr>
        <w:tc>
          <w:tcPr>
            <w:tcW w:w="3800" w:type="dxa"/>
            <w:vAlign w:val="bottom"/>
          </w:tcPr>
          <w:p>
            <w:pPr>
              <w:spacing w:after="0"/>
              <w:rPr>
                <w:sz w:val="19"/>
                <w:szCs w:val="19"/>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3540" w:type="dxa"/>
            <w:vAlign w:val="bottom"/>
          </w:tcPr>
          <w:p>
            <w:pPr>
              <w:spacing w:after="0"/>
              <w:rPr>
                <w:sz w:val="19"/>
                <w:szCs w:val="19"/>
                <w:color w:val="auto"/>
              </w:rPr>
            </w:pPr>
          </w:p>
        </w:tc>
      </w:tr>
    </w:tbl>
    <w:p>
      <w:pPr>
        <w:spacing w:after="0" w:line="195" w:lineRule="exact"/>
        <w:rPr>
          <w:sz w:val="24"/>
          <w:szCs w:val="24"/>
          <w:color w:val="auto"/>
        </w:rPr>
      </w:pPr>
    </w:p>
    <w:p>
      <w:pPr>
        <w:jc w:val="center"/>
        <w:ind w:left="560"/>
        <w:spacing w:after="0"/>
        <w:rPr>
          <w:sz w:val="20"/>
          <w:szCs w:val="20"/>
          <w:color w:val="auto"/>
        </w:rPr>
      </w:pPr>
      <w:r>
        <w:rPr>
          <w:rFonts w:ascii="Times New Roman" w:cs="Times New Roman" w:eastAsia="Times New Roman" w:hAnsi="Times New Roman"/>
          <w:sz w:val="17"/>
          <w:szCs w:val="17"/>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19685</wp:posOffset>
            </wp:positionV>
            <wp:extent cx="328612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86125" cy="16510"/>
                    </a:xfrm>
                    <a:prstGeom prst="rect">
                      <a:avLst/>
                    </a:prstGeom>
                    <a:noFill/>
                  </pic:spPr>
                </pic:pic>
              </a:graphicData>
            </a:graphic>
          </wp:anchor>
        </w:drawing>
      </w:r>
    </w:p>
    <w:p>
      <w:pPr>
        <w:spacing w:after="0" w:line="21" w:lineRule="exact"/>
        <w:rPr>
          <w:sz w:val="24"/>
          <w:szCs w:val="24"/>
          <w:color w:val="auto"/>
        </w:rPr>
      </w:pPr>
    </w:p>
    <w:p>
      <w:pPr>
        <w:jc w:val="center"/>
        <w:ind w:left="56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43" w:lineRule="exact"/>
        <w:rPr>
          <w:sz w:val="24"/>
          <w:szCs w:val="24"/>
          <w:color w:val="auto"/>
        </w:rPr>
      </w:pPr>
    </w:p>
    <w:p>
      <w:pPr>
        <w:ind w:right="620"/>
        <w:spacing w:after="0" w:line="287"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o Written communications pursuant to Rule 425 under the Securities Act (17 CFR 230.425)</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o Soliciting material pursuant to Rule 14a-12 under the Exchange Act (17 CFR 240.14a-12)</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o Pre-commencement communications pursuant to Rule 14d-2(b) under the Exchange Act (17 CFR 240.14d-2(b))</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408305</wp:posOffset>
            </wp:positionV>
            <wp:extent cx="725741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55" w:right="239" w:bottom="1440" w:gutter="0" w:footer="0" w:header="0"/>
        </w:sectPr>
      </w:pPr>
    </w:p>
    <w:bookmarkStart w:id="1" w:name="page2"/>
    <w:bookmarkEnd w:id="1"/>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1" w:lineRule="exact"/>
        <w:rPr>
          <w:sz w:val="20"/>
          <w:szCs w:val="20"/>
          <w:color w:val="auto"/>
        </w:rPr>
      </w:pPr>
    </w:p>
    <w:p>
      <w:pPr>
        <w:ind w:right="140" w:firstLine="620"/>
        <w:spacing w:after="0" w:line="287" w:lineRule="auto"/>
        <w:rPr>
          <w:sz w:val="20"/>
          <w:szCs w:val="20"/>
          <w:color w:val="auto"/>
        </w:rPr>
      </w:pPr>
      <w:r>
        <w:rPr>
          <w:rFonts w:ascii="Times New Roman" w:cs="Times New Roman" w:eastAsia="Times New Roman" w:hAnsi="Times New Roman"/>
          <w:sz w:val="17"/>
          <w:szCs w:val="17"/>
          <w:color w:val="auto"/>
        </w:rPr>
        <w:t>On July 29, 2013, the Company issued the press release related to the anticipated closing date of its acquisition of Elpida Memory, Inc. The full text of the press release is attached as Exhibit 99.1 to this Current Report on Form 8-K.</w:t>
      </w:r>
    </w:p>
    <w:p>
      <w:pPr>
        <w:spacing w:after="0" w:line="17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7"/>
          <w:szCs w:val="17"/>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500" w:type="dxa"/>
            <w:vAlign w:val="bottom"/>
            <w:gridSpan w:val="2"/>
          </w:tcPr>
          <w:p>
            <w:pPr>
              <w:ind w:left="1220"/>
              <w:spacing w:after="0"/>
              <w:rPr>
                <w:sz w:val="20"/>
                <w:szCs w:val="20"/>
                <w:color w:val="auto"/>
              </w:rPr>
            </w:pPr>
            <w:r>
              <w:rPr>
                <w:rFonts w:ascii="Times New Roman" w:cs="Times New Roman" w:eastAsia="Times New Roman" w:hAnsi="Times New Roman"/>
                <w:sz w:val="17"/>
                <w:szCs w:val="17"/>
                <w:color w:val="auto"/>
              </w:rPr>
              <w:t>(d)</w:t>
            </w:r>
          </w:p>
        </w:tc>
        <w:tc>
          <w:tcPr>
            <w:tcW w:w="9900" w:type="dxa"/>
            <w:vAlign w:val="bottom"/>
          </w:tcPr>
          <w:p>
            <w:pPr>
              <w:spacing w:after="0"/>
              <w:rPr>
                <w:sz w:val="20"/>
                <w:szCs w:val="20"/>
                <w:color w:val="auto"/>
              </w:rPr>
            </w:pPr>
            <w:r>
              <w:rPr>
                <w:rFonts w:ascii="Times New Roman" w:cs="Times New Roman" w:eastAsia="Times New Roman" w:hAnsi="Times New Roman"/>
                <w:sz w:val="17"/>
                <w:szCs w:val="17"/>
                <w:color w:val="auto"/>
              </w:rPr>
              <w:t>Exhibits.</w:t>
            </w:r>
          </w:p>
        </w:tc>
      </w:tr>
      <w:tr>
        <w:trPr>
          <w:trHeight w:val="651"/>
        </w:trPr>
        <w:tc>
          <w:tcPr>
            <w:tcW w:w="15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99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223"/>
        </w:trPr>
        <w:tc>
          <w:tcPr>
            <w:tcW w:w="20" w:type="dxa"/>
            <w:vAlign w:val="bottom"/>
          </w:tcPr>
          <w:p>
            <w:pPr>
              <w:spacing w:after="0"/>
              <w:rPr>
                <w:sz w:val="19"/>
                <w:szCs w:val="19"/>
                <w:color w:val="auto"/>
              </w:rPr>
            </w:pPr>
          </w:p>
        </w:tc>
        <w:tc>
          <w:tcPr>
            <w:tcW w:w="1240" w:type="dxa"/>
            <w:vAlign w:val="bottom"/>
            <w:tcBorders>
              <w:top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rPr>
              <w:t>99.1</w:t>
            </w:r>
          </w:p>
        </w:tc>
        <w:tc>
          <w:tcPr>
            <w:tcW w:w="260" w:type="dxa"/>
            <w:vAlign w:val="bottom"/>
          </w:tcPr>
          <w:p>
            <w:pPr>
              <w:spacing w:after="0"/>
              <w:rPr>
                <w:sz w:val="19"/>
                <w:szCs w:val="19"/>
                <w:color w:val="auto"/>
              </w:rPr>
            </w:pPr>
          </w:p>
        </w:tc>
        <w:tc>
          <w:tcPr>
            <w:tcW w:w="9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Press Release issued on July 29, 2013</w:t>
            </w:r>
          </w:p>
        </w:tc>
      </w:tr>
    </w:tbl>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25741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26"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47" w:lineRule="exact"/>
        <w:rPr>
          <w:sz w:val="20"/>
          <w:szCs w:val="20"/>
          <w:color w:val="auto"/>
        </w:rPr>
      </w:pPr>
    </w:p>
    <w:p>
      <w:pPr>
        <w:ind w:right="40" w:firstLine="620"/>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20" w:type="dxa"/>
            <w:vAlign w:val="bottom"/>
          </w:tcPr>
          <w:p>
            <w:pPr>
              <w:spacing w:after="0"/>
              <w:rPr>
                <w:sz w:val="19"/>
                <w:szCs w:val="19"/>
                <w:color w:val="auto"/>
              </w:rPr>
            </w:pPr>
          </w:p>
        </w:tc>
        <w:tc>
          <w:tcPr>
            <w:tcW w:w="7200" w:type="dxa"/>
            <w:vAlign w:val="bottom"/>
            <w:gridSpan w:val="2"/>
          </w:tcPr>
          <w:p>
            <w:pPr>
              <w:ind w:left="2720"/>
              <w:spacing w:after="0"/>
              <w:rPr>
                <w:sz w:val="20"/>
                <w:szCs w:val="20"/>
                <w:color w:val="auto"/>
              </w:rPr>
            </w:pPr>
            <w:r>
              <w:rPr>
                <w:rFonts w:ascii="Times New Roman" w:cs="Times New Roman" w:eastAsia="Times New Roman" w:hAnsi="Times New Roman"/>
                <w:sz w:val="17"/>
                <w:szCs w:val="17"/>
                <w:b w:val="1"/>
                <w:bCs w:val="1"/>
                <w:color w:val="auto"/>
              </w:rPr>
              <w:t>MICRON TECHNOLOGY, INC.</w:t>
            </w:r>
          </w:p>
        </w:tc>
      </w:tr>
      <w:tr>
        <w:trPr>
          <w:trHeight w:val="625"/>
        </w:trPr>
        <w:tc>
          <w:tcPr>
            <w:tcW w:w="4220" w:type="dxa"/>
            <w:vAlign w:val="bottom"/>
          </w:tcPr>
          <w:p>
            <w:pPr>
              <w:spacing w:after="0"/>
              <w:rPr>
                <w:sz w:val="20"/>
                <w:szCs w:val="20"/>
                <w:color w:val="auto"/>
              </w:rPr>
            </w:pPr>
            <w:r>
              <w:rPr>
                <w:rFonts w:ascii="Times New Roman" w:cs="Times New Roman" w:eastAsia="Times New Roman" w:hAnsi="Times New Roman"/>
                <w:sz w:val="17"/>
                <w:szCs w:val="17"/>
                <w:color w:val="auto"/>
              </w:rPr>
              <w:t>Date:  July 29, 2013</w:t>
            </w:r>
          </w:p>
        </w:tc>
        <w:tc>
          <w:tcPr>
            <w:tcW w:w="3580" w:type="dxa"/>
            <w:vAlign w:val="bottom"/>
          </w:tcPr>
          <w:p>
            <w:pPr>
              <w:ind w:left="2720"/>
              <w:spacing w:after="0"/>
              <w:rPr>
                <w:sz w:val="20"/>
                <w:szCs w:val="20"/>
                <w:color w:val="auto"/>
              </w:rPr>
            </w:pPr>
            <w:r>
              <w:rPr>
                <w:rFonts w:ascii="Times New Roman" w:cs="Times New Roman" w:eastAsia="Times New Roman" w:hAnsi="Times New Roman"/>
                <w:sz w:val="17"/>
                <w:szCs w:val="17"/>
                <w:color w:val="auto"/>
              </w:rPr>
              <w:t>By:</w:t>
            </w:r>
          </w:p>
        </w:tc>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Ronald C. Foster</w:t>
            </w:r>
          </w:p>
        </w:tc>
      </w:tr>
      <w:tr>
        <w:trPr>
          <w:trHeight w:val="190"/>
        </w:trPr>
        <w:tc>
          <w:tcPr>
            <w:tcW w:w="4220" w:type="dxa"/>
            <w:vAlign w:val="bottom"/>
          </w:tcPr>
          <w:p>
            <w:pPr>
              <w:spacing w:after="0"/>
              <w:rPr>
                <w:sz w:val="16"/>
                <w:szCs w:val="16"/>
                <w:color w:val="auto"/>
              </w:rPr>
            </w:pPr>
          </w:p>
        </w:tc>
        <w:tc>
          <w:tcPr>
            <w:tcW w:w="3580" w:type="dxa"/>
            <w:vAlign w:val="bottom"/>
          </w:tcPr>
          <w:p>
            <w:pPr>
              <w:ind w:left="2720"/>
              <w:spacing w:after="0" w:line="190" w:lineRule="exact"/>
              <w:rPr>
                <w:sz w:val="20"/>
                <w:szCs w:val="20"/>
                <w:color w:val="auto"/>
              </w:rPr>
            </w:pPr>
            <w:r>
              <w:rPr>
                <w:rFonts w:ascii="Times New Roman" w:cs="Times New Roman" w:eastAsia="Times New Roman" w:hAnsi="Times New Roman"/>
                <w:sz w:val="17"/>
                <w:szCs w:val="17"/>
                <w:color w:val="auto"/>
              </w:rPr>
              <w:t>Name:</w:t>
            </w:r>
          </w:p>
        </w:tc>
        <w:tc>
          <w:tcPr>
            <w:tcW w:w="362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Ronald C. Foster</w:t>
            </w:r>
          </w:p>
        </w:tc>
      </w:tr>
      <w:tr>
        <w:trPr>
          <w:trHeight w:val="206"/>
        </w:trPr>
        <w:tc>
          <w:tcPr>
            <w:tcW w:w="4220" w:type="dxa"/>
            <w:vAlign w:val="bottom"/>
          </w:tcPr>
          <w:p>
            <w:pPr>
              <w:spacing w:after="0"/>
              <w:rPr>
                <w:sz w:val="17"/>
                <w:szCs w:val="17"/>
                <w:color w:val="auto"/>
              </w:rPr>
            </w:pPr>
          </w:p>
        </w:tc>
        <w:tc>
          <w:tcPr>
            <w:tcW w:w="3580" w:type="dxa"/>
            <w:vAlign w:val="bottom"/>
          </w:tcPr>
          <w:p>
            <w:pPr>
              <w:ind w:left="2720"/>
              <w:spacing w:after="0"/>
              <w:rPr>
                <w:sz w:val="20"/>
                <w:szCs w:val="20"/>
                <w:color w:val="auto"/>
              </w:rPr>
            </w:pPr>
            <w:r>
              <w:rPr>
                <w:rFonts w:ascii="Times New Roman" w:cs="Times New Roman" w:eastAsia="Times New Roman" w:hAnsi="Times New Roman"/>
                <w:sz w:val="17"/>
                <w:szCs w:val="17"/>
                <w:color w:val="auto"/>
              </w:rPr>
              <w:t>Title:</w:t>
            </w:r>
          </w:p>
        </w:tc>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 and</w:t>
            </w:r>
          </w:p>
        </w:tc>
      </w:tr>
      <w:tr>
        <w:trPr>
          <w:trHeight w:val="223"/>
        </w:trPr>
        <w:tc>
          <w:tcPr>
            <w:tcW w:w="42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Vice President of Finance</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25741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3" w:name="page4"/>
    <w:bookmarkEnd w:id="3"/>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INDEX TO EXHIBITS FILED WITH</w:t>
      </w:r>
    </w:p>
    <w:p>
      <w:pPr>
        <w:spacing w:after="0" w:line="3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THE CURRENT REPORT ON FORM 8-K DATED JULY 29, 2013</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7"/>
          <w:szCs w:val="17"/>
          <w:b w:val="1"/>
          <w:bCs w:val="1"/>
          <w:color w:val="auto"/>
        </w:rPr>
        <w:t>Exhibit</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19685</wp:posOffset>
            </wp:positionV>
            <wp:extent cx="725297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21" w:lineRule="exact"/>
        <w:rPr>
          <w:sz w:val="20"/>
          <w:szCs w:val="20"/>
          <w:color w:val="auto"/>
        </w:rPr>
      </w:pPr>
    </w:p>
    <w:p>
      <w:pPr>
        <w:ind w:left="120"/>
        <w:spacing w:after="0"/>
        <w:tabs>
          <w:tab w:leader="none" w:pos="1160" w:val="left"/>
        </w:tabs>
        <w:rPr>
          <w:sz w:val="20"/>
          <w:szCs w:val="20"/>
          <w:color w:val="auto"/>
        </w:rPr>
      </w:pPr>
      <w:r>
        <w:rPr>
          <w:rFonts w:ascii="Times New Roman" w:cs="Times New Roman" w:eastAsia="Times New Roman" w:hAnsi="Times New Roman"/>
          <w:sz w:val="17"/>
          <w:szCs w:val="17"/>
          <w:color w:val="auto"/>
        </w:rPr>
        <w:t>99.1</w:t>
      </w:r>
      <w:r>
        <w:rPr>
          <w:sz w:val="20"/>
          <w:szCs w:val="20"/>
          <w:color w:val="auto"/>
        </w:rPr>
        <w:tab/>
      </w:r>
      <w:r>
        <w:rPr>
          <w:rFonts w:ascii="Times New Roman" w:cs="Times New Roman" w:eastAsia="Times New Roman" w:hAnsi="Times New Roman"/>
          <w:sz w:val="17"/>
          <w:szCs w:val="17"/>
          <w:color w:val="auto"/>
        </w:rPr>
        <w:t>Press Release issued on July 29,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88900</wp:posOffset>
            </wp:positionV>
            <wp:extent cx="7257415"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7415" cy="43180"/>
                    </a:xfrm>
                    <a:prstGeom prst="rect">
                      <a:avLst/>
                    </a:prstGeom>
                    <a:noFill/>
                  </pic:spPr>
                </pic:pic>
              </a:graphicData>
            </a:graphic>
          </wp:anchor>
        </w:drawing>
      </w:r>
    </w:p>
    <w:p>
      <w:pPr>
        <w:sectPr>
          <w:pgSz w:w="11900" w:h="16838" w:orient="portrait"/>
          <w:cols w:equalWidth="0" w:num="1">
            <w:col w:w="9819"/>
          </w:cols>
          <w:pgMar w:left="640" w:top="726" w:right="1440"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152400</wp:posOffset>
            </wp:positionH>
            <wp:positionV relativeFrom="page">
              <wp:posOffset>480060</wp:posOffset>
            </wp:positionV>
            <wp:extent cx="725741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6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FOR IMMEDIATE RELEASE</w:t>
            </w:r>
          </w:p>
        </w:tc>
        <w:tc>
          <w:tcPr>
            <w:tcW w:w="2300" w:type="dxa"/>
            <w:vAlign w:val="bottom"/>
          </w:tcPr>
          <w:p>
            <w:pPr>
              <w:spacing w:after="0"/>
              <w:rPr>
                <w:sz w:val="19"/>
                <w:szCs w:val="19"/>
                <w:color w:val="auto"/>
              </w:rPr>
            </w:pPr>
          </w:p>
        </w:tc>
      </w:tr>
      <w:tr>
        <w:trPr>
          <w:trHeight w:val="422"/>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Contacts:</w:t>
            </w:r>
          </w:p>
        </w:tc>
        <w:tc>
          <w:tcPr>
            <w:tcW w:w="256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Kipp A. Bedard</w:t>
            </w:r>
          </w:p>
        </w:tc>
        <w:tc>
          <w:tcPr>
            <w:tcW w:w="23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Daniel Francisco</w:t>
            </w:r>
          </w:p>
        </w:tc>
      </w:tr>
      <w:tr>
        <w:trPr>
          <w:trHeight w:val="206"/>
        </w:trPr>
        <w:tc>
          <w:tcPr>
            <w:tcW w:w="1080" w:type="dxa"/>
            <w:vAlign w:val="bottom"/>
          </w:tcPr>
          <w:p>
            <w:pPr>
              <w:spacing w:after="0"/>
              <w:rPr>
                <w:sz w:val="17"/>
                <w:szCs w:val="17"/>
                <w:color w:val="auto"/>
              </w:rPr>
            </w:pPr>
          </w:p>
        </w:tc>
        <w:tc>
          <w:tcPr>
            <w:tcW w:w="256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Investor Relations</w:t>
            </w:r>
          </w:p>
        </w:tc>
        <w:tc>
          <w:tcPr>
            <w:tcW w:w="23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Media Relations</w:t>
            </w:r>
          </w:p>
        </w:tc>
      </w:tr>
      <w:tr>
        <w:trPr>
          <w:trHeight w:val="206"/>
        </w:trPr>
        <w:tc>
          <w:tcPr>
            <w:tcW w:w="1080" w:type="dxa"/>
            <w:vAlign w:val="bottom"/>
          </w:tcPr>
          <w:p>
            <w:pPr>
              <w:spacing w:after="0"/>
              <w:rPr>
                <w:sz w:val="17"/>
                <w:szCs w:val="17"/>
                <w:color w:val="auto"/>
              </w:rPr>
            </w:pPr>
          </w:p>
        </w:tc>
        <w:tc>
          <w:tcPr>
            <w:tcW w:w="256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kbedard@micron.com</w:t>
            </w:r>
          </w:p>
        </w:tc>
        <w:tc>
          <w:tcPr>
            <w:tcW w:w="2300" w:type="dxa"/>
            <w:vAlign w:val="bottom"/>
          </w:tcPr>
          <w:p>
            <w:pPr>
              <w:ind w:left="600"/>
              <w:spacing w:after="0"/>
              <w:rPr>
                <w:sz w:val="20"/>
                <w:szCs w:val="20"/>
                <w:color w:val="auto"/>
              </w:rPr>
            </w:pPr>
            <w:r>
              <w:rPr>
                <w:rFonts w:ascii="Times New Roman" w:cs="Times New Roman" w:eastAsia="Times New Roman" w:hAnsi="Times New Roman"/>
                <w:sz w:val="17"/>
                <w:szCs w:val="17"/>
                <w:color w:val="auto"/>
                <w:w w:val="99"/>
              </w:rPr>
              <w:t>dfrancisco@micron.com</w:t>
            </w:r>
          </w:p>
        </w:tc>
      </w:tr>
      <w:tr>
        <w:trPr>
          <w:trHeight w:val="223"/>
        </w:trPr>
        <w:tc>
          <w:tcPr>
            <w:tcW w:w="1080" w:type="dxa"/>
            <w:vAlign w:val="bottom"/>
          </w:tcPr>
          <w:p>
            <w:pPr>
              <w:spacing w:after="0"/>
              <w:rPr>
                <w:sz w:val="19"/>
                <w:szCs w:val="19"/>
                <w:color w:val="auto"/>
              </w:rPr>
            </w:pPr>
          </w:p>
        </w:tc>
        <w:tc>
          <w:tcPr>
            <w:tcW w:w="256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(208) 368-4465</w:t>
            </w:r>
          </w:p>
        </w:tc>
        <w:tc>
          <w:tcPr>
            <w:tcW w:w="23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(208) 368-5584</w:t>
            </w:r>
          </w:p>
        </w:tc>
      </w:tr>
    </w:tbl>
    <w:p>
      <w:pPr>
        <w:spacing w:after="0" w:line="200" w:lineRule="exact"/>
        <w:rPr>
          <w:sz w:val="20"/>
          <w:szCs w:val="20"/>
          <w:color w:val="auto"/>
        </w:rPr>
      </w:pPr>
    </w:p>
    <w:p>
      <w:pPr>
        <w:spacing w:after="0" w:line="244"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MICRON UPDATES ANTICIPATED TIMING OF CLOSING</w:t>
      </w:r>
    </w:p>
    <w:p>
      <w:pPr>
        <w:spacing w:after="0" w:line="3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OF ELPIDA TRANSACTIONS</w:t>
      </w:r>
    </w:p>
    <w:p>
      <w:pPr>
        <w:spacing w:after="0" w:line="223" w:lineRule="exact"/>
        <w:rPr>
          <w:sz w:val="20"/>
          <w:szCs w:val="20"/>
          <w:color w:val="auto"/>
        </w:rPr>
      </w:pPr>
    </w:p>
    <w:p>
      <w:pPr>
        <w:ind w:right="260"/>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BOISE, Idaho, July 29, 2013 </w:t>
      </w:r>
      <w:r>
        <w:rPr>
          <w:rFonts w:ascii="Times New Roman" w:cs="Times New Roman" w:eastAsia="Times New Roman" w:hAnsi="Times New Roman"/>
          <w:sz w:val="17"/>
          <w:szCs w:val="17"/>
          <w:color w:val="auto"/>
        </w:rPr>
        <w:t>– Micron Technology, Inc. (Nasdaq: MU) ("Micron") announced today that it anticipates the closing of Micron’s acquisition of 100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percent of Elpida’s equity to occur on July 31, 2013, Tokyo time.</w:t>
      </w:r>
    </w:p>
    <w:p>
      <w:pPr>
        <w:spacing w:after="0" w:line="17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The closing of the acquisition will be pursuant to a Sponsor Agreement entered into on July 2, 2012, in connection with Elpida's corporate reorganization proceedings conducted under the jurisdiction of the Tokyo District Court. The closing of the transaction is subject to satisfaction or waiver of a number of conditions, including final approval by the Tokyo District Court.</w:t>
      </w:r>
    </w:p>
    <w:p>
      <w:pPr>
        <w:spacing w:after="0" w:line="192"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Micron also anticipates concurrently closing its acquisition of a 24 percent share of Rexchip Electronics Corporation from Powerchip Technology Corporation and certain of its affiliates.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Micron</w:t>
      </w:r>
    </w:p>
    <w:p>
      <w:pPr>
        <w:spacing w:after="0" w:line="32"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7"/>
          <w:szCs w:val="17"/>
          <w:color w:val="auto"/>
        </w:rPr>
        <w:t>Micron Technology, Inc., is one of the world's leading providers of advanced semiconductor solutions. Through its worldwide operations, Micron manufactures and markets a full range of DRAM, NAND and NOR flash memory, as well as other innovative memory technologies, packaging solutions and semiconductor systems for use in leading-edge computing, consumer, networking, embedded and mobile products. Micron’s common stock is traded on the NASDAQ under the MU symbol. To learn more about Micron Technology, Inc., visit www.micron.com.</w:t>
      </w:r>
    </w:p>
    <w:p>
      <w:pPr>
        <w:spacing w:after="0" w:line="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 # #</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Micron and the Micron orbit logo are trademarks of Micron Technology, Inc. All other trademarks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398145</wp:posOffset>
            </wp:positionV>
            <wp:extent cx="725741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3" w:right="239" w:bottom="1440" w:gutter="0" w:footer="0" w:header="0"/>
        </w:sectPr>
      </w:pPr>
    </w:p>
    <w:bookmarkStart w:id="6" w:name="page7"/>
    <w:bookmarkEnd w:id="6"/>
    <w:p>
      <w:pPr>
        <w:spacing w:after="0" w:line="266" w:lineRule="auto"/>
        <w:rPr>
          <w:sz w:val="20"/>
          <w:szCs w:val="20"/>
          <w:color w:val="auto"/>
        </w:rPr>
      </w:pPr>
      <w:r>
        <w:rPr>
          <w:rFonts w:ascii="Times New Roman" w:cs="Times New Roman" w:eastAsia="Times New Roman" w:hAnsi="Times New Roman"/>
          <w:sz w:val="17"/>
          <w:szCs w:val="17"/>
          <w:i w:val="1"/>
          <w:iCs w:val="1"/>
          <w:color w:val="auto"/>
        </w:rPr>
        <w:t>This press release contains forward-looking statements regarding future events that involve risks and uncertainties. For example, statements related to our expectations regarding the closing of the transaction are forward-looking statements. Various factors could cause actual events or results to differ materially from those anticipated by the forward-looking statements. These factors include the possibility that the certain conditions to closing are not met. Although we believe that the expectations reflected in the forward-looking statements are reasonable, we cannot guarantee future results, levels of activity, performance or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378460</wp:posOffset>
            </wp:positionV>
            <wp:extent cx="725741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20"/>
          </w:cols>
          <w:pgMar w:left="240" w:top="726"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2019-12-05T20:26:24Z</dcterms:created>
  <dcterms:modified xsi:type="dcterms:W3CDTF">2019-12-05T20:26:24Z</dcterms:modified>
</cp:coreProperties>
</file>