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2580" w:right="1860" w:hanging="776"/>
        <w:spacing w:after="0" w:line="237" w:lineRule="auto"/>
        <w:tabs>
          <w:tab w:leader="none" w:pos="2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2580" w:right="1860" w:hanging="735"/>
        <w:spacing w:after="0" w:line="256" w:lineRule="auto"/>
        <w:tabs>
          <w:tab w:leader="none" w:pos="2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97" w:orient="portrait"/>
          <w:cols w:equalWidth="0" w:num="1">
            <w:col w:w="11420"/>
          </w:cols>
          <w:pgMar w:left="240" w:top="585" w:right="239" w:bottom="0" w:gutter="0" w:footer="0" w:header="0"/>
        </w:sectPr>
      </w:pPr>
    </w:p>
    <w:p>
      <w:pPr>
        <w:spacing w:after="0" w:line="172"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97" w:orient="portrait"/>
          <w:cols w:equalWidth="0" w:num="2">
            <w:col w:w="6400" w:space="400"/>
            <w:col w:w="4620"/>
          </w:cols>
          <w:pgMar w:left="240" w:top="585"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1-10658</w:t>
      </w:r>
    </w:p>
    <w:p>
      <w:pPr>
        <w:sectPr>
          <w:pgSz w:w="11900" w:h="16897" w:orient="portrait"/>
          <w:cols w:equalWidth="0" w:num="1">
            <w:col w:w="11420"/>
          </w:cols>
          <w:pgMar w:left="240" w:top="585"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53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3"/>
              </w:rPr>
              <w:t>(IRS Employer</w:t>
            </w:r>
          </w:p>
        </w:tc>
      </w:tr>
      <w:tr>
        <w:trPr>
          <w:trHeight w:val="230"/>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3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8000 S. Federal Way, Boise, Idaho</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r>
        <w:trPr>
          <w:trHeight w:val="432"/>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89"/>
              </w:rPr>
              <w:t>Registrant’s telephone number, including area code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2" w:lineRule="exact"/>
        <w:rPr>
          <w:sz w:val="24"/>
          <w:szCs w:val="24"/>
          <w:color w:val="auto"/>
        </w:rPr>
      </w:pPr>
    </w:p>
    <w:p>
      <w:pPr>
        <w:jc w:val="both"/>
        <w:ind w:right="2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number of outstanding shares of the registrant’s common stock as of April 7, 2005, was 614,869,802.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March 3,</w:t>
            </w: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March 4,</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March 3,</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4"/>
              <w:spacing w:after="0" w:line="119" w:lineRule="exact"/>
              <w:rPr>
                <w:sz w:val="20"/>
                <w:szCs w:val="20"/>
                <w:color w:val="auto"/>
              </w:rPr>
            </w:pPr>
            <w:r>
              <w:rPr>
                <w:rFonts w:ascii="Arial" w:cs="Arial" w:eastAsia="Arial" w:hAnsi="Arial"/>
                <w:sz w:val="13"/>
                <w:szCs w:val="13"/>
                <w:b w:val="1"/>
                <w:bCs w:val="1"/>
                <w:color w:val="auto"/>
              </w:rPr>
              <w:t>March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953.9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742.8</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1,791.2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187.9</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97" w:orient="portrait"/>
          <w:cols w:equalWidth="0" w:num="1">
            <w:col w:w="11420"/>
          </w:cols>
          <w:pgMar w:left="240" w:top="585" w:right="239" w:bottom="0" w:gutter="0" w:footer="0" w:header="0"/>
          <w:type w:val="continuous"/>
        </w:sectPr>
      </w:pPr>
    </w:p>
    <w:bookmarkStart w:id="1" w:name="page2"/>
    <w:bookmarkEnd w:id="1"/>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5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5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160"/>
              <w:spacing w:after="0"/>
              <w:rPr>
                <w:sz w:val="20"/>
                <w:szCs w:val="20"/>
                <w:color w:val="auto"/>
              </w:rPr>
            </w:pPr>
            <w:r>
              <w:rPr>
                <w:rFonts w:ascii="Arial" w:cs="Arial" w:eastAsia="Arial" w:hAnsi="Arial"/>
                <w:sz w:val="18"/>
                <w:szCs w:val="18"/>
                <w:color w:val="auto"/>
              </w:rPr>
              <w:t>Income (loss) before taxes</w:t>
            </w: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290.6</w:t>
            </w:r>
          </w:p>
        </w:tc>
        <w:tc>
          <w:tcPr>
            <w:tcW w:w="22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provision</w:t>
            </w:r>
          </w:p>
        </w:tc>
        <w:tc>
          <w:tcPr>
            <w:tcW w:w="5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5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647.1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643.2</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646.6</w:t>
            </w: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643.2</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8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359.5</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938.2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4,791.7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909.2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$0.10 par value, authorized 3.0 billion shares, issued and outstanding 613.8 million and 611.5</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 shares</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4,685.4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8,078.9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ectPr>
          <w:pgSz w:w="11900" w:h="16875" w:orient="portrait"/>
          <w:cols w:equalWidth="0" w:num="1">
            <w:col w:w="11420"/>
          </w:cols>
          <w:pgMar w:left="240" w:top="125"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4,</w:t>
            </w:r>
          </w:p>
        </w:tc>
        <w:tc>
          <w:tcPr>
            <w:tcW w:w="0" w:type="dxa"/>
            <w:vAlign w:val="bottom"/>
          </w:tcPr>
          <w:p>
            <w:pPr>
              <w:spacing w:after="0"/>
              <w:rPr>
                <w:sz w:val="1"/>
                <w:szCs w:val="1"/>
                <w:color w:val="auto"/>
              </w:rPr>
            </w:pPr>
          </w:p>
        </w:tc>
      </w:tr>
      <w:tr>
        <w:trPr>
          <w:trHeight w:val="171"/>
        </w:trPr>
        <w:tc>
          <w:tcPr>
            <w:tcW w:w="8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272.8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630.9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restructure and other charges (benefits)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Loss (gain) from write-down or disposition of equipment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write-down or disposition of investments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in receivables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8"/>
                <w:szCs w:val="18"/>
                <w:color w:val="auto"/>
              </w:rPr>
              <w:t>Increase in inventories</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(decrease) in accounts payable and accrued expenses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(670.6)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Proceeds from equipment sale-leaseback transactions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Proceeds from issuance of stock rights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Redemption of common stock</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cash (used for) provided by financing activities</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Net decrease in cash and equivalents</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570.3</w:t>
            </w:r>
          </w:p>
        </w:tc>
        <w:tc>
          <w:tcPr>
            <w:tcW w:w="0" w:type="dxa"/>
            <w:vAlign w:val="bottom"/>
          </w:tcPr>
          <w:p>
            <w:pPr>
              <w:spacing w:after="0"/>
              <w:rPr>
                <w:sz w:val="1"/>
                <w:szCs w:val="1"/>
                <w:color w:val="auto"/>
              </w:rPr>
            </w:pPr>
          </w:p>
        </w:tc>
      </w:tr>
      <w:tr>
        <w:trPr>
          <w:trHeight w:val="217"/>
        </w:trPr>
        <w:tc>
          <w:tcPr>
            <w:tcW w:w="8340" w:type="dxa"/>
            <w:vAlign w:val="bottom"/>
            <w:gridSpan w:val="3"/>
          </w:tcPr>
          <w:p>
            <w:pPr>
              <w:spacing w:after="0"/>
              <w:rPr>
                <w:sz w:val="20"/>
                <w:szCs w:val="20"/>
                <w:color w:val="auto"/>
              </w:rPr>
            </w:pPr>
            <w:r>
              <w:rPr>
                <w:rFonts w:ascii="Arial" w:cs="Arial" w:eastAsia="Arial" w:hAnsi="Arial"/>
                <w:sz w:val="18"/>
                <w:szCs w:val="18"/>
                <w:color w:val="auto"/>
              </w:rPr>
              <w:t>Cash and equivalents at end of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(paid) refunded,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Interest paid, net of amounts capitalized</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Equipment acquisitions on contracts payable and capital leases</w:t>
            </w: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Flash memory, CMOS image sensors and other semiconductor components. The accompanying consolidated financial statements have been prepared in accordance with generally accepted accounting principles and include the accounts of the Company and its consolidated subsidiaries. All significant intercompany transactions and balances have been eliminated.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second and first quarters of fiscal 2005 and second quarter of fiscal 2004 contained 13 weeks. The Company’s first six months of fiscal 2005 contained 26 weeks and the Company’s first six months of fiscal 2004 contained 27 weeks. The Company’s second quarter of fiscal 2005 and 2004 ended on March 3, 2005, and March 4, 2004, respectively. The Company’s fiscal 2004 ended on September 2, 2004. All period references are to the Company’s fiscal periods unless otherwise indicated.</w:t>
      </w:r>
    </w:p>
    <w:p>
      <w:pPr>
        <w:sectPr>
          <w:pgSz w:w="11900" w:h="16838" w:orient="portrait"/>
          <w:cols w:equalWidth="0" w:num="1">
            <w:col w:w="11420"/>
          </w:cols>
          <w:pgMar w:left="240" w:top="125" w:right="239" w:bottom="0" w:gutter="0" w:footer="0" w:header="0"/>
        </w:sectPr>
      </w:pPr>
    </w:p>
    <w:bookmarkStart w:id="3" w:name="page4"/>
    <w:bookmarkEnd w:id="3"/>
    <w:p>
      <w:pPr>
        <w:spacing w:after="0" w:line="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These interim financial statements should be read in conjunction with the consolidated financial statements and accompanying notes included in the Company’s Annual Report on Form 10-K for the year ended September 2, 2004.</w:t>
      </w:r>
    </w:p>
    <w:p>
      <w:pPr>
        <w:spacing w:after="0" w:line="16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March 2005, the Financial Accounting Standards Board (“FASB”) issued Interpretation No. 47,</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by the end of 2006. The Company is currently assessing the impact of Interpretation No. 47 on its results of operations and financial condition.</w:t>
      </w:r>
    </w:p>
    <w:p>
      <w:pPr>
        <w:spacing w:after="0" w:line="18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In December 2004, the FASB issued Statement of Financial Accounting Standards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 arrangements for public companies. The Company is required to adopt SFAS No. 123(R) in</w:t>
      </w:r>
    </w:p>
    <w:p>
      <w:pPr>
        <w:spacing w:after="0" w:line="7"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September 2005. The adoption of SFAS No. 123(R) is not expected to have a significant effect on the Company’s financial condition or cash flows. Upon adoption, the Company will record non-cash stock compensation expenses which will have an adverse effect on its results of operations.</w:t>
      </w:r>
    </w:p>
    <w:p>
      <w:pPr>
        <w:spacing w:after="0" w:line="16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impact on the Company’s results of operations or financial condition.</w:t>
      </w:r>
    </w:p>
    <w:p>
      <w:pPr>
        <w:spacing w:after="0" w:line="15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November 2004, the FASB issued SFAS No. 151, “Inventory Costs – An Amendment of ARB No. 43, Chapter 4,” which clarifies the accounting for abnormal amounts of idle facility expense, freight, handling costs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wasted material (spoilage). The Company is required to adopt SFAS No. 151 in the beginning of 2006 and its adoption is not expected to have a significant impact on the Company’s results of operations or financial condition.</w:t>
      </w:r>
    </w:p>
    <w:p>
      <w:pPr>
        <w:spacing w:after="0" w:line="166" w:lineRule="exact"/>
        <w:rPr>
          <w:sz w:val="20"/>
          <w:szCs w:val="20"/>
          <w:color w:val="auto"/>
        </w:rPr>
      </w:pPr>
    </w:p>
    <w:p>
      <w:pPr>
        <w:ind w:right="700" w:firstLine="648"/>
        <w:spacing w:after="0" w:line="347" w:lineRule="auto"/>
        <w:rPr>
          <w:sz w:val="20"/>
          <w:szCs w:val="20"/>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color w:val="auto"/>
        </w:rPr>
        <w:t>The Company has determined, based on the nature of its operations and products offered to customers, that its only</w:t>
      </w:r>
      <w:r>
        <w:rPr>
          <w:rFonts w:ascii="Arial" w:cs="Arial" w:eastAsia="Arial" w:hAnsi="Arial"/>
          <w:sz w:val="16"/>
          <w:szCs w:val="16"/>
          <w:b w:val="1"/>
          <w:bCs w:val="1"/>
          <w:color w:val="auto"/>
        </w:rPr>
        <w:t xml:space="preserve"> </w:t>
      </w:r>
      <w:r>
        <w:rPr>
          <w:rFonts w:ascii="Arial" w:cs="Arial" w:eastAsia="Arial" w:hAnsi="Arial"/>
          <w:sz w:val="16"/>
          <w:szCs w:val="16"/>
          <w:color w:val="auto"/>
        </w:rPr>
        <w:t>reportable segment is Semiconductor Operations. The Semiconductor Operations segment’s primary product is semiconductor memory.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-76835</wp:posOffset>
            </wp:positionV>
            <wp:extent cx="85725"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Employee stock plans are accounted for using the intrinsic value method prescribed by APB No. 25, “Accounting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Issued to Employees.” The Company utilizes the Black-Scholes option valuation model to value stock options for pro forma presentation of income and per share data as if the fair value based method in SFAS No. 123, “Accounting for Stock-Based Compensation,” had been used to account for stock-based compensation. The following presents pro forma income (loss) and per share data as if a fair value based method had been used to account for stock-based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6"/>
              </w:rPr>
              <w:t>Quarter ended</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3,</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93"/>
              <w:spacing w:after="0" w:line="119" w:lineRule="exact"/>
              <w:rPr>
                <w:sz w:val="20"/>
                <w:szCs w:val="20"/>
                <w:color w:val="auto"/>
              </w:rPr>
            </w:pPr>
            <w:r>
              <w:rPr>
                <w:rFonts w:ascii="Arial" w:cs="Arial" w:eastAsia="Arial" w:hAnsi="Arial"/>
                <w:sz w:val="13"/>
                <w:szCs w:val="13"/>
                <w:b w:val="1"/>
                <w:bCs w:val="1"/>
                <w:color w:val="auto"/>
              </w:rPr>
              <w:t>March 4,</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March 3,</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3"/>
              <w:spacing w:after="0" w:line="119" w:lineRule="exact"/>
              <w:rPr>
                <w:sz w:val="20"/>
                <w:szCs w:val="20"/>
                <w:color w:val="auto"/>
              </w:rPr>
            </w:pPr>
            <w:r>
              <w:rPr>
                <w:rFonts w:ascii="Arial" w:cs="Arial" w:eastAsia="Arial" w:hAnsi="Arial"/>
                <w:sz w:val="13"/>
                <w:szCs w:val="13"/>
                <w:b w:val="1"/>
                <w:bCs w:val="1"/>
                <w:color w:val="auto"/>
              </w:rPr>
              <w:t>March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117.9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117.9</w:t>
            </w: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272.8</w:t>
            </w:r>
          </w:p>
        </w:tc>
        <w:tc>
          <w:tcPr>
            <w:tcW w:w="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employee compensation expense included in reported</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net of tax</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under a fair value based method for all awards, net of tax</w:t>
            </w:r>
          </w:p>
        </w:tc>
        <w:tc>
          <w:tcPr>
            <w:tcW w:w="96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80.2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as reported</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 pro forma</w:t>
            </w: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 as reported</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pro forma</w:t>
            </w:r>
          </w:p>
        </w:tc>
        <w:tc>
          <w:tcPr>
            <w:tcW w:w="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70"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On April 4, 2005, the Governance and Compensation Committee of the Company’s Board of Directors approved accelerating the vesting of approximately 44.6 million unvested stock options outstanding under the Company’s stock plans with exercise prices per share of $12.00 or higher. The options have a range of exercise prices of $12.00 to $44.90 and a weighted average exercise price of $14.08. The closing price of the Company’s common stock on April 1, 2005, the last trading day before approval of acceleration, was $10.26. The acceleration was effective as of April 4, 2005. The purpose of the accelerated vesting was to enable the Company to avoid recognizing compensation expense associated with these options upon adoption of SFAS No. 123(R). The aggregate pre-tax expense associated with the accelerated options that would have been reflected in the Company’s consolidated financial statements in future fiscal years is approximately $100 million.</w:t>
      </w:r>
    </w:p>
    <w:p>
      <w:pPr>
        <w:sectPr>
          <w:pgSz w:w="11900" w:h="16894" w:orient="portrait"/>
          <w:cols w:equalWidth="0" w:num="1">
            <w:col w:w="11420"/>
          </w:cols>
          <w:pgMar w:left="240" w:top="125"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jc w:val="center"/>
              <w:ind w:left="306"/>
              <w:spacing w:after="0"/>
              <w:rPr>
                <w:sz w:val="20"/>
                <w:szCs w:val="20"/>
                <w:color w:val="auto"/>
              </w:rPr>
            </w:pPr>
            <w:r>
              <w:rPr>
                <w:rFonts w:ascii="Arial" w:cs="Arial" w:eastAsia="Arial" w:hAnsi="Arial"/>
                <w:sz w:val="14"/>
                <w:szCs w:val="14"/>
                <w:b w:val="1"/>
                <w:bCs w:val="1"/>
                <w:color w:val="auto"/>
                <w:w w:val="94"/>
              </w:rPr>
              <w:t>March 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2,</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15"/>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6"/>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872.5</w:t>
            </w: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Joint venture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Taxes other than income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7"/>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80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938.2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center"/>
              <w:ind w:left="306"/>
              <w:spacing w:after="0"/>
              <w:rPr>
                <w:sz w:val="20"/>
                <w:szCs w:val="20"/>
                <w:color w:val="auto"/>
              </w:rPr>
            </w:pPr>
            <w:r>
              <w:rPr>
                <w:rFonts w:ascii="Arial" w:cs="Arial" w:eastAsia="Arial" w:hAnsi="Arial"/>
                <w:sz w:val="14"/>
                <w:szCs w:val="14"/>
                <w:b w:val="1"/>
                <w:bCs w:val="1"/>
                <w:color w:val="auto"/>
                <w:w w:val="94"/>
              </w:rPr>
              <w:t>March 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2,</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bottom w:val="single" w:sz="8" w:color="auto"/>
            </w:tcBorders>
            <w:gridSpan w:val="2"/>
          </w:tcPr>
          <w:p>
            <w:pPr>
              <w:jc w:val="center"/>
              <w:ind w:left="315"/>
              <w:spacing w:after="0"/>
              <w:rPr>
                <w:sz w:val="20"/>
                <w:szCs w:val="20"/>
                <w:color w:val="auto"/>
              </w:rPr>
            </w:pPr>
            <w:r>
              <w:rPr>
                <w:rFonts w:ascii="Arial" w:cs="Arial" w:eastAsia="Arial" w:hAnsi="Arial"/>
                <w:sz w:val="14"/>
                <w:szCs w:val="14"/>
                <w:b w:val="1"/>
                <w:bCs w:val="1"/>
                <w:color w:val="auto"/>
                <w:w w:val="96"/>
              </w:rPr>
              <w:t>2005</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6"/>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234.5</w:t>
            </w: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Work in process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Raw materials and supplies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128.1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Allowance for obsolescence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7"/>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80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752.7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March 3, 2005</w:t>
            </w:r>
          </w:p>
        </w:tc>
        <w:tc>
          <w:tcPr>
            <w:tcW w:w="20" w:type="dxa"/>
            <w:vAlign w:val="bottom"/>
          </w:tcPr>
          <w:p>
            <w:pPr>
              <w:spacing w:after="0"/>
              <w:rPr>
                <w:sz w:val="24"/>
                <w:szCs w:val="24"/>
                <w:color w:val="auto"/>
              </w:rPr>
            </w:pPr>
          </w:p>
        </w:tc>
        <w:tc>
          <w:tcPr>
            <w:tcW w:w="306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September 2, 2004</w:t>
            </w:r>
          </w:p>
        </w:tc>
        <w:tc>
          <w:tcPr>
            <w:tcW w:w="0" w:type="dxa"/>
            <w:vAlign w:val="bottom"/>
          </w:tcPr>
          <w:p>
            <w:pPr>
              <w:spacing w:after="0"/>
              <w:rPr>
                <w:sz w:val="1"/>
                <w:szCs w:val="1"/>
                <w:color w:val="auto"/>
              </w:rPr>
            </w:pPr>
          </w:p>
        </w:tc>
      </w:tr>
      <w:tr>
        <w:trPr>
          <w:trHeight w:val="11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960" w:type="dxa"/>
            <w:vAlign w:val="bottom"/>
            <w:tcBorders>
              <w:top w:val="single" w:sz="8" w:color="auto"/>
            </w:tcBorders>
          </w:tcPr>
          <w:p>
            <w:pPr>
              <w:jc w:val="right"/>
              <w:ind w:right="28"/>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and process technology</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371.7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(164.0)</w:t>
            </w:r>
          </w:p>
        </w:tc>
        <w:tc>
          <w:tcPr>
            <w:tcW w:w="980" w:type="dxa"/>
            <w:vAlign w:val="bottom"/>
            <w:gridSpan w:val="2"/>
            <w:shd w:val="clear" w:color="auto" w:fill="CCEEFF"/>
          </w:tcPr>
          <w:p>
            <w:pPr>
              <w:jc w:val="right"/>
              <w:ind w:right="78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364.2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Joint venture supply arrangement</w:t>
            </w:r>
          </w:p>
        </w:tc>
        <w:tc>
          <w:tcPr>
            <w:tcW w:w="9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960" w:type="dxa"/>
            <w:vAlign w:val="bottom"/>
            <w:tcBorders>
              <w:top w:val="single" w:sz="8" w:color="auto"/>
            </w:tcBorders>
          </w:tcPr>
          <w:p>
            <w:pPr>
              <w:jc w:val="right"/>
              <w:ind w:right="78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474.5</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first six months of 2005 and 2004, the Company capitalized $16.0 million and $13.9 million, respectively, for product and process technology with weighted average useful lives of 10 years.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Amortization expense for intangible assets was $12.6 million and $25.1 million for the second quarter and first six months of 2005, respectively, and $12.3 million and $25.8 million for the second quarter and first six months of 2004, respectively. Annual amortization expense is estimated to be $50.4 million for 2005, $49.2 million for 2006, $47.4 million for 2007, $46.6 million for 2008 and $35.6 million for 2009.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26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2,344.2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2,311.0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(5,510.4)</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4,791.7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Depreciation expense was $303.2 million and $602.8 million for the second quarter and first six months of 2005, respectively, and $282.9 million and $581.7 million for the second quarter and first six months of 2004, respectively.</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has a manufacturing facility in Utah that is only partially utilized. The Utah facility had a net book value of $712.6 million as of March 3, 2005. A portion of the Utah facility is being used for component test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operations. The Company is depreciating substantially all assets at the Utah facility other than $193.2 million included in construction in progress as of March 3, 2005. Increased utilization of the facility is dependent upon market conditions, including, but not limited to, worldwide market supply of, and demand for, semiconductor products and the Company’s operations, cash flows and alternative capacity utilization opportunities.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341.5</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Salaries, wages and benefits</w:t>
            </w:r>
          </w:p>
        </w:tc>
        <w:tc>
          <w:tcPr>
            <w:tcW w:w="9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177.3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Joint venture</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Taxes other than income</w:t>
            </w:r>
          </w:p>
        </w:tc>
        <w:tc>
          <w:tcPr>
            <w:tcW w:w="9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734.0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Convertible subordinated notes payable, interest rate of 2.5%, due February 2010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02"/>
        </w:trPr>
        <w:tc>
          <w:tcPr>
            <w:tcW w:w="83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Subordinated notes payable, face amount of $190.0 million and $210.0 million, respectively, net of</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560"/>
              <w:spacing w:after="0"/>
              <w:rPr>
                <w:sz w:val="20"/>
                <w:szCs w:val="20"/>
                <w:color w:val="auto"/>
              </w:rPr>
            </w:pPr>
            <w:r>
              <w:rPr>
                <w:rFonts w:ascii="Arial" w:cs="Arial" w:eastAsia="Arial" w:hAnsi="Arial"/>
                <w:sz w:val="18"/>
                <w:szCs w:val="18"/>
                <w:color w:val="auto"/>
              </w:rPr>
              <w:t>unamortized discount of $4.2 million and $8.5 million, respectively, stated interest rate of 6.5%,</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560"/>
              <w:spacing w:after="0"/>
              <w:rPr>
                <w:sz w:val="20"/>
                <w:szCs w:val="20"/>
                <w:color w:val="auto"/>
              </w:rPr>
            </w:pPr>
            <w:r>
              <w:rPr>
                <w:rFonts w:ascii="Arial" w:cs="Arial" w:eastAsia="Arial" w:hAnsi="Arial"/>
                <w:sz w:val="18"/>
                <w:szCs w:val="18"/>
                <w:color w:val="auto"/>
              </w:rPr>
              <w:t>effective yield to maturity of 10.7%, due September 2005</w:t>
            </w: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208"/>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 xml:space="preserve">Notes payable in periodic installments through July 2015, </w:t>
            </w:r>
            <w:r>
              <w:rPr>
                <w:rFonts w:ascii="Arial" w:cs="Arial" w:eastAsia="Arial" w:hAnsi="Arial"/>
                <w:sz w:val="17"/>
                <w:szCs w:val="17"/>
                <w:color w:val="auto"/>
                <w:w w:val="95"/>
              </w:rPr>
              <w:t>weighted average interest rate of 3.0% and 3.0%,</w:t>
            </w:r>
          </w:p>
        </w:tc>
        <w:tc>
          <w:tcPr>
            <w:tcW w:w="26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24"/>
        </w:trPr>
        <w:tc>
          <w:tcPr>
            <w:tcW w:w="8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340" w:type="dxa"/>
            <w:vAlign w:val="bottom"/>
            <w:gridSpan w:val="2"/>
          </w:tcPr>
          <w:p>
            <w:pPr>
              <w:ind w:left="360"/>
              <w:spacing w:after="0"/>
              <w:rPr>
                <w:sz w:val="20"/>
                <w:szCs w:val="20"/>
                <w:color w:val="auto"/>
              </w:rPr>
            </w:pPr>
            <w:r>
              <w:rPr>
                <w:rFonts w:ascii="Arial" w:cs="Arial" w:eastAsia="Arial" w:hAnsi="Arial"/>
                <w:sz w:val="18"/>
                <w:szCs w:val="18"/>
                <w:color w:val="auto"/>
                <w:w w:val="96"/>
              </w:rPr>
              <w:t xml:space="preserve">Capital lease obligations payable in monthly </w:t>
            </w:r>
            <w:r>
              <w:rPr>
                <w:rFonts w:ascii="Arial" w:cs="Arial" w:eastAsia="Arial" w:hAnsi="Arial"/>
                <w:sz w:val="17"/>
                <w:szCs w:val="17"/>
                <w:color w:val="auto"/>
                <w:w w:val="96"/>
              </w:rPr>
              <w:t>installments through January 2009, weighted average imputed</w:t>
            </w:r>
          </w:p>
        </w:tc>
        <w:tc>
          <w:tcPr>
            <w:tcW w:w="260" w:type="dxa"/>
            <w:vAlign w:val="bottom"/>
          </w:tcPr>
          <w:p>
            <w:pPr>
              <w:spacing w:after="0"/>
              <w:rPr>
                <w:sz w:val="18"/>
                <w:szCs w:val="18"/>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217.7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24"/>
        </w:trPr>
        <w:tc>
          <w:tcPr>
            <w:tcW w:w="8340" w:type="dxa"/>
            <w:vAlign w:val="bottom"/>
            <w:gridSpan w:val="2"/>
          </w:tcPr>
          <w:p>
            <w:pPr>
              <w:ind w:left="540"/>
              <w:spacing w:after="0"/>
              <w:rPr>
                <w:sz w:val="20"/>
                <w:szCs w:val="20"/>
                <w:color w:val="auto"/>
              </w:rPr>
            </w:pPr>
            <w:r>
              <w:rPr>
                <w:rFonts w:ascii="Arial" w:cs="Arial" w:eastAsia="Arial" w:hAnsi="Arial"/>
                <w:sz w:val="18"/>
                <w:szCs w:val="18"/>
                <w:color w:val="auto"/>
              </w:rPr>
              <w:t>interest rate of 6.4% and 6.6%, respectively</w:t>
            </w:r>
          </w:p>
        </w:tc>
        <w:tc>
          <w:tcPr>
            <w:tcW w:w="2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(283.5)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 2005, notes payable of $104.0 million, denominated in Japanese yen, were at a weighted average interest rate of 1.3%.</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Subsequent to the end of its second quarter of 2005, the Company entered into a syndicated term loan for 13.5 billion Japanese yen ($127.0 million). The loan bears interest at the 6-month Tokyo Interbank Offered Rate (“TIBOR”) plus 1.25% (1.35% as of closing) and is payable in semi-annual installments through 2010.</w:t>
      </w:r>
    </w:p>
    <w:p>
      <w:pPr>
        <w:spacing w:after="0" w:line="17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 xml:space="preserve">Interest Rate Swap: </w:t>
      </w:r>
      <w:r>
        <w:rPr>
          <w:rFonts w:ascii="Arial" w:cs="Arial" w:eastAsia="Arial" w:hAnsi="Arial"/>
          <w:sz w:val="17"/>
          <w:szCs w:val="17"/>
          <w:color w:val="auto"/>
        </w:rPr>
        <w:t>The Company entered into an interest rate swap agreement (the “Swap”) that effectively converted, beginning August 29,</w:t>
      </w:r>
      <w:r>
        <w:rPr>
          <w:rFonts w:ascii="Arial" w:cs="Arial" w:eastAsia="Arial" w:hAnsi="Arial"/>
          <w:sz w:val="17"/>
          <w:szCs w:val="17"/>
          <w:b w:val="1"/>
          <w:bCs w:val="1"/>
          <w:color w:val="auto"/>
        </w:rPr>
        <w:t xml:space="preserve"> </w:t>
      </w:r>
      <w:r>
        <w:rPr>
          <w:rFonts w:ascii="Arial" w:cs="Arial" w:eastAsia="Arial" w:hAnsi="Arial"/>
          <w:sz w:val="17"/>
          <w:szCs w:val="17"/>
          <w:color w:val="auto"/>
        </w:rPr>
        <w:t>2003, the fixed interest rate on the Company’s 2.5% Convertible Subordinated Notes (the “Notes”) to a variable interest rate based on the 3-month London Interbank Offering Rate (“LIBOR”) less 65 basis points (1.76% for the second quarter of 2005).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accompanying consolidated balance sheets. For the first six months of 2005, the Company recognized a net loss of $0.2 million, which is included in other non-operating income, representing the difference between the change in the fair value of the Notes and the change in the fair value of the Swap. As of March 3, 2005, the Company had pledged $26.1 million as 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Motorola, Inc. (“Motorola”) and Freescale Semiconductor, Inc. (“Freescale”) relating to certain of the Company’s patents and certain of Freescale’s patents. A lawsuit between Motorola and Freescale and the Company is pending in the U.S. District Court for the Western District of Texas (Austin). The Company also is engaged in litigation with Tessera, Inc. (“Tessera”) relating to certain of Tessera’s patents. A lawsuit between Tessera and the Company is pending in the U.S. District Court for the Eastern District of Texas (Marshall). The above lawsuits pertain to certain of the Company’s SDRAM, DDR SDRAM, and DDR2 SDRAM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6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sixty-eight purported class action lawsuits have been filed against the Company and other DRAM suppliers in various federal and state courts in the United States alleging violations of the Sherman Act, violations of state unfair competition law, and unjust enrichment relating to the sale and pricing of DRAM products. Three purported class action lawsuits also have been filed in Canada, alleging violations of the Canadian Competition Act. The substantive allegations in these cases are similar to those asserted in the cases filed in the United States. The complaints seek treble damages for the alleged damages sustained by purported class members, in addition to restitution, costs and attorneys’ fees, as well as an injunction against the allegedly unlawful conduct.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final resolution of these alleged violations of antitrust laws could result in significant liability and could have a material adverse effect on the Company’s business, results of operations or financial condition.</w:t>
      </w:r>
    </w:p>
    <w:p>
      <w:pPr>
        <w:spacing w:after="0" w:line="17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 determination against the Company could result in significant liability and could have a material adverse effect on the Company’s business, results of operations or financial condition.</w:t>
      </w:r>
    </w:p>
    <w:p>
      <w:pPr>
        <w:sectPr>
          <w:pgSz w:w="11900" w:h="16838" w:orient="portrait"/>
          <w:cols w:equalWidth="0" w:num="1">
            <w:col w:w="11420"/>
          </w:cols>
          <w:pgMar w:left="240" w:top="320" w:right="239" w:bottom="0" w:gutter="0" w:footer="0" w:header="0"/>
        </w:sectPr>
      </w:pPr>
    </w:p>
    <w:bookmarkStart w:id="6" w:name="page7"/>
    <w:bookmarkEnd w:id="6"/>
    <w:p>
      <w:pPr>
        <w:spacing w:after="0" w:line="62"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Rights</w:t>
      </w:r>
    </w:p>
    <w:p>
      <w:pPr>
        <w:spacing w:after="0" w:line="229"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On September 24, 2003, the Company received $450.0 million, which is included in additional capital in the accompanying consolidated 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or be subject to monetary penalties. The Company has achieved the DDR2 production and 300mm wafer processing milestones and, consequently, does not expect to make any payments to Intel under this agreement. The shares issuable pursuant to the stock rights are included in weighted average common shares outstanding in the computations of earnings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In the second quarter of 2003, the Company announced a series of cost-reduction initiatives. The restructure plan included the shutdown of the Company’s 200mm production line in Virginia; the discontinuance of certain memory products, including SRAM and TCAM products; and an approximate 10% reduction of the Company’s worldwide workforce. The Company has substantially completed the restructure plan. Through September 2, 2004, the Company had paid essentially all of the severance and other termination benefits and other costs incurred in connection with the restructure plan. The credit to restructure in the first six months of 2004 primarily reflects sales of equipment associated with the Company’s 200mm production line in Virginia.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Other operating expense for the first six months of 2005 includes net losses of $14.9 million from changes in currency exchange rates primarily as the result of a generally weaker U.S. dollar relative to the Japanese yen and euro. Other operating income for the first quarter of 2005 includes $12.0 million in receipts from the U.S. government in connection with anti-dumping tariffs. Other operating expense for the first six months of 2004 includes a $7.6 million benefit from changes in currency exchange rates in the second quarter which offset a portion of $24.5 million loss recorded in the first quarter of 2004 as the result of a generally weaker U.S. dollar relative to the Japanese yen and the euro. Other operating expense for the first six months of 2004 includes net gains of $8.0 million related to disposals of semiconductor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Income taxes for 2005 and 2004 primarily reflect taxes on the Company’s non-U.S. operations. The Company has a valuation allowance for its net deferred tax asset associated with its U.S. operations. The provision for taxes on U.S. operations in the first six months of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March 3, 2005, the Company had aggregate U.S. tax net operating loss carryforwards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$2.6 billion and unused U.S. tax credits of $124.2 million, which expire through 2025. The Company also has unused state tax net operating loss carryforwards of $1.7 billion for tax purposes which expire through 2025 and unused state tax credits of $125.7 million for tax and financial reporting purposes, which expire through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Basic earnings per share is computed based on the weighted average number of common shares outstanding. 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102.3 million and 99.5 million for the second quarter and first six months of 2005, respectively, and 188.3 million for both the second quarter and first six months of 2004. Basic and diluted earnings per share computations for the first six months of 2004 reflect the effect of accretion of, and fair value adjustment to, redeemable common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98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b w:val="1"/>
                <w:bCs w:val="1"/>
                <w:color w:val="auto"/>
                <w:w w:val="96"/>
              </w:rPr>
              <w:t>Quarter ended</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19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rPr>
              <w:t>March 3,</w:t>
            </w:r>
          </w:p>
        </w:tc>
        <w:tc>
          <w:tcPr>
            <w:tcW w:w="1000" w:type="dxa"/>
            <w:vAlign w:val="bottom"/>
          </w:tcPr>
          <w:p>
            <w:pPr>
              <w:jc w:val="center"/>
              <w:ind w:right="311"/>
              <w:spacing w:after="0" w:line="119" w:lineRule="exact"/>
              <w:rPr>
                <w:sz w:val="20"/>
                <w:szCs w:val="20"/>
                <w:color w:val="auto"/>
              </w:rPr>
            </w:pPr>
            <w:r>
              <w:rPr>
                <w:rFonts w:ascii="Arial" w:cs="Arial" w:eastAsia="Arial" w:hAnsi="Arial"/>
                <w:sz w:val="13"/>
                <w:szCs w:val="13"/>
                <w:b w:val="1"/>
                <w:bCs w:val="1"/>
                <w:color w:val="auto"/>
              </w:rPr>
              <w:t>March 4,</w:t>
            </w:r>
          </w:p>
        </w:tc>
        <w:tc>
          <w:tcPr>
            <w:tcW w:w="220" w:type="dxa"/>
            <w:vAlign w:val="bottom"/>
          </w:tcPr>
          <w:p>
            <w:pPr>
              <w:spacing w:after="0"/>
              <w:rPr>
                <w:sz w:val="10"/>
                <w:szCs w:val="10"/>
                <w:color w:val="auto"/>
              </w:rPr>
            </w:pPr>
          </w:p>
        </w:tc>
        <w:tc>
          <w:tcPr>
            <w:tcW w:w="16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March 3,</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March 4,</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46"/>
        </w:trPr>
        <w:tc>
          <w:tcPr>
            <w:tcW w:w="516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(loss) available to common shareholders</w:t>
            </w:r>
          </w:p>
        </w:tc>
        <w:tc>
          <w:tcPr>
            <w:tcW w:w="520" w:type="dxa"/>
            <w:vAlign w:val="bottom"/>
            <w:tcBorders>
              <w:top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647.1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643.2</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646.6</w:t>
            </w: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700.8</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5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Comprehensive income for the second quarter and first six months of 2005 was $118.0 million and $272.7 million, respectively, and included $0.1 million of unrealized gains and $0.1 million of unrealized losses net of tax, respectively, on investments. Comprehensive loss was $28.3 million for the second quarter of 2004 and $27.3 million for the first six months of 2004, which included $0.1 million net of tax of unrealized loss on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the Singapore Economic Development Board, Canon Inc. and Hewlett-Packard Company. As of March 3, 2005, the Company had a 39.12% ownership interest in TECH. Significant financing, investment and operating decisions for TECH typically require approval from TECH’s Board of Directors. The shareholders’ agreement for the TECH joint venture expires in 2011. Under FASB Interpretation No. 46, “Consolidation of Variable Interest Entities,” TECH does not qualify for consolidation.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$176.0 million and $320.5 million for the second quarter and first six months of 2005, respectively, and $124.8 million and $247.9 million for the second quarter and first six months of 2004, respectively. Amortization expense resulting from the TECH supply arrangement, included in the cost of products purchased from TECH, was $2.9 million and $5.9 million for the second quarter and first six months of 2005, respectively, and $2.4 million and $5.0 million for the second quarter and first six months of 2004, respectively. Receivables from TECH were $26.7 million and payables to TECH were $82.1 million as of March 3, 2005. Receivables from TECH were $23.8 million and payables to TECH were $56.8 million as of September 2, 2004. In the second quarter of 2004, the Company sold TECH semiconductor equipment in the amount of $0.1 million. TECH supplied approximately 25% of the total megabits of memory produced by the Company in the first six months of 2005. As of March 3, 2005, the Company had intangible assets with a net book value of $56.1 million relating to the supply arrangement to purchase product from TECH.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NAND Flash and CMOS image sensor markets and allocation of manufacturing capacity to products other than Core DRAM; in “Net Sales” regarding future megabit production growth, production increases and allocation of wafer starts to DDR2 products, CMOS image sensors, Specialty memory products and Flash memory products; in “Gross Margin” regarding manufacturing cost reductions in future periods; in “Selling, General and Administrative” regarding the level of selling, general and administrative expenses in the third quarter of 2005; in “Research and Development” regarding the level of research and development expenses in the third quarter of 2005; in “Income Taxes” regarding future provisions for income taxes; in “Liquidity and Capital Resources” regarding capital spending in 2005 and in “Recently Issued Accounting Standards” regarding the impact on the Company’s results of operations and financial condition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September 2, 2004. All period references are to the Company’s fiscal periods unless otherwise indicated. All tabular dollar amounts are in millions. Unless otherwise stated, all production data reflects production of the Company and its TECH joint venture.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a global manufacturer of semiconductor memory devices, principally DRAM and Flash, and CMOS image sensors. Its products are used in a broad range of electronic applications including personal computers, workstations, servers, mobile phones and other consumer products. The Company’s customers are principally original equipment manufacturers located around the world.</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markets for most of the Company’s products behave in a manner similar to commodity markets as the products are generally standardized with selling prices that fluctuate based on industry-wide relationships of supply and demand. The Company’s operating results and financial condition in these types of markets are dependent on reductions in costs of production, capital efficiency and return on research and development investments. Historically, the</w:t>
      </w:r>
    </w:p>
    <w:p>
      <w:pPr>
        <w:sectPr>
          <w:pgSz w:w="11900" w:h="16838" w:orient="portrait"/>
          <w:cols w:equalWidth="0" w:num="1">
            <w:col w:w="11420"/>
          </w:cols>
          <w:pgMar w:left="240" w:top="140" w:right="239" w:bottom="0" w:gutter="0" w:footer="0" w:header="0"/>
        </w:sectPr>
      </w:pPr>
    </w:p>
    <w:bookmarkStart w:id="8" w:name="page9"/>
    <w:bookmarkEnd w:id="8"/>
    <w:p>
      <w:pPr>
        <w:ind w:right="540"/>
        <w:spacing w:after="0" w:line="277" w:lineRule="auto"/>
        <w:rPr>
          <w:sz w:val="20"/>
          <w:szCs w:val="20"/>
          <w:color w:val="auto"/>
        </w:rPr>
      </w:pPr>
      <w:r>
        <w:rPr>
          <w:rFonts w:ascii="Arial" w:cs="Arial" w:eastAsia="Arial" w:hAnsi="Arial"/>
          <w:sz w:val="18"/>
          <w:szCs w:val="18"/>
          <w:color w:val="auto"/>
        </w:rPr>
        <w:t>semiconductor memory market has been subject to governmental subsidization, resulting in the periodic entry of new competitors and, at times, excess supply.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utilizes its proprietary product and process technology to manufacture sophisticated semiconductor memory devices having progressively smaller die sizes. By reducing the size of the circuits (“shrinking”) that make up each memory cell, the Company is able to produce more megabits of memory on each wafer and thus reduce the cost of its memory products. In 2004, the Company introduced products featuring its 6F² Hypershrink™ array architecture technology that enables it to further shrink die sizes. This 6F² technology reduces the size of memory cells approximately 20% from industry standard 8F² products without significant additional investment in equipment. The Company continually introduces new generations of products that have lower costs per megabit and improved performance characteristics such as higher data transfer rates, reduced package size per megabit and lower power consumption.</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has made substantial investments in its manufacturing facilities in the United States, Europe and Asia. A significant portion of the Company’s semiconductor manufacturing equipment is replaced every three to five years with increasingly advanced equipment to implement leading edge technology and reduce costs per megabit. Because the Company owns most of its manufacturing capacity, a significant portion of the Company’s operating costs are fixed. In general, these fixed costs do not vary with changes in the Company’s utilization of its manufacturing capacity. Accordingly, the Company’s margins fluctuate with utilization. The Company must generate sufficient cash flow from operations or obtain external financing for reinvestment in manufacturing capability. Historically, the Company has accessed external markets to fund a portion of its cash requirements.</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Maximizing returns from investments in research and development (“R&amp;D”) is dependent on developing process technology that effectively reduces production costs, leveraging required investments across a substantial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scale of production, and designing new products that can be successfully brought to market. The Company must invest heavily in R&amp;D to expand its product offering and enable development of leading-edge product and process technologies. The Company has made significant R&amp;D investments in recent periods to develop products that will enable it to enter new markets.</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recent years, over 70% of the Company’s products were sold into computer and computer peripheral markets. The computing market for a number of decades has had an extremely high growth rate. However, as with any maturing market, it is unlikely that historic growth rates for this market will be sustained.</w:t>
      </w:r>
    </w:p>
    <w:p>
      <w:pPr>
        <w:spacing w:after="0" w:line="18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is strategically diversifying its business into semiconductor products other than Core DRAM. Core DRAM consists of standardized, high-volume, products that are sold primarily for use as main system memory in computers. The Company’s non-Core DRAM products include Specialty memory, Flash memory and CMOS image sensors. These products leverage the Company’s competencies in semiconductor memory manufacturing and product and process technology. Non-Core DRAM products are typically of lower density and are manufactured in lower volumes than Core DRAM and allow the Company to use prior generation processes and equipment. Unlike Core DRAM, these products are typically used in electronic devices other than computers and in many cases the Company can differentiate them from competitor’s products based on performance characteristics.</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Markets for some of the Company’s non-DRAM products are expected to grow rapidly, in particular the markets for NAND Flash and CMOS image sensors. The Company believes that its product and process technology and manufacturing competencies position it well to compete in these markets. Accordingly, the Company plans to allocate an increasing portion of its manufacturing capacity to these products in 2005 and 2006. Success in these markets is largely dependent in part on the Company’s ability to timely develop new products that are well received by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Second Quarter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First Quarter</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4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 of net</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 of net</w:t>
            </w: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6"/>
              </w:rPr>
              <w:t>$   1,307.9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2,098.2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Gross margin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354.0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248.2</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423.0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777.0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534.2</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R&amp;D</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151.4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299.8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374.3</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(loss)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126.4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174.9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301.3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second and first quarters of fiscal 2005 and second quarter of fiscal 2004 contained 13 weeks. The Company’s first six months of fiscal 2005 contained 26 weeks and the Company’s first six months of fiscal 2004 contained 27 weeks.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Net sales for the second quarter of 2005 increased by 4% as compared to the first quarter of 2005 primarily due to a 23% increase in megabits sold, partially offset by a 15% decrease in the Company’s overall average selling price per megabit. The Company’s overall megabit production in the second quarter of 2005 increased 28% as compared to the first quarter of 2005 principally due to gains in manufacturing efficiencies as well as increased production associated with the continued ramp of the Company’s 300mm wafer fabrication facility in Virginia. DDR products constituted approximately 65% of the Company’s megabits sold in the second quarter of 2005 and 60% of megabits sold in the first quarter of 2005. DDR2 products constituted approximately 15% of the Company’s megabits sold in the second quarter of 2005.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613" w:gutter="0" w:footer="0" w:header="0"/>
        </w:sectPr>
      </w:pPr>
    </w:p>
    <w:bookmarkStart w:id="9" w:name="page10"/>
    <w:bookmarkEnd w:id="9"/>
    <w:p>
      <w:pPr>
        <w:ind w:right="60" w:firstLine="648"/>
        <w:spacing w:after="0" w:line="271" w:lineRule="auto"/>
        <w:rPr>
          <w:sz w:val="20"/>
          <w:szCs w:val="20"/>
          <w:color w:val="auto"/>
        </w:rPr>
      </w:pPr>
      <w:r>
        <w:rPr>
          <w:rFonts w:ascii="Arial" w:cs="Arial" w:eastAsia="Arial" w:hAnsi="Arial"/>
          <w:sz w:val="17"/>
          <w:szCs w:val="17"/>
          <w:color w:val="auto"/>
        </w:rPr>
        <w:t>The Company expects significant increases in output from its 300mm facility over the next several quarters as it continues to ramp the facility’s capacity. The Company expects that growth in megabit production over the next several quarters, and in particular the third quarter of 2005, will be limited by an increase in wafers allocated to DDR2 products, CMOS image sensors and Specialty memory products. The Company’s DDR2 products produce fewer megabits per wafer than other Core DRAM products because they have a relatively larger die size and have not yet reached the mature manufacturing yields of other Core DRAM products. In addition, the Company’s Specialty memory products produce fewer megabits per wafer than Core DRAM products because of their relatively lower density and greater complexity. Production of CMOS image sensors is not measured in megabits or included in the Company’s calculation of megabit growth. Due to the shift in market demand, the Company expects to significantly increase production of DDR2 over the next several quarters and that it will become the Company’s primary DRAM product type in 2006.</w:t>
      </w:r>
    </w:p>
    <w:p>
      <w:pPr>
        <w:spacing w:after="0" w:line="17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Net sales for the second quarter and first six months of 2005 increased by 32% and 22%, respectively, as compared to the second quarter and first six months of 2004 primarily due to </w:t>
      </w:r>
      <w:r>
        <w:rPr>
          <w:rFonts w:ascii="Arial" w:cs="Arial" w:eastAsia="Arial" w:hAnsi="Arial"/>
          <w:sz w:val="15"/>
          <w:szCs w:val="15"/>
          <w:color w:val="auto"/>
        </w:rPr>
        <w:t>increases of 36%</w:t>
      </w:r>
      <w:r>
        <w:rPr>
          <w:rFonts w:ascii="Arial" w:cs="Arial" w:eastAsia="Arial" w:hAnsi="Arial"/>
          <w:sz w:val="16"/>
          <w:szCs w:val="16"/>
          <w:color w:val="auto"/>
        </w:rPr>
        <w:t xml:space="preserve"> and 15%, respectively, in megabits sold and, to a lesser extent, an increase in sales of CMOS image sensors. Average per megabit selling prices for the Company’s memory products decreased by 5% in the second quarter of 2005 as compared to the second quarter of 2004, and increased by 2% in the first six months of 2005 as compared to the first six months of 2004. Average per megabit selling prices in 2005 as compared to 2004 benefited from the Company’s shift to Specialty memory and Flash memory products which generally had higher per megabit average selling prices than Core DRAM products. DDR products constituted 71% of the Company’s megabits sold in the second quarter of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gross margin percentage for the second quarter of 2005 declined to 27% as compared to 34% for the first quarter of 2005. This reduction was primarily due to the 15% decrease in the Company’s overall average selling price per megabit, partially offset by a reduction in cost of goods sold per megabit. Gross margin in the second quarter of 2005 was also affected by margins on sales of products purchased from the Company’s TECH joint venture which were lower than the Company’s overall gross margin.</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Company’s overall cost of goods sold per megabit in the second quarter of 2005 declined from the first quarter of 2005 primarily due to significant reductions in production costs for most products as a result of manufacturing improvements. The Company reduced product costs through manufacturing efficiencies achieved by improving product yields and increased manufacture of products utilizing the Company’s 110nm process technology and 6F² technology. The Company’s 6F² technology enables it to produce approximately 20% more potential die per wafer than standard products, which use 8F² technology. Overall reductions in cost per megabit for the second quarter of 2005 were partially offset by higher costs associated with an increase in DDR2 production and the ramp of the Company’s 300mm wafer fabrication facility in Virginia. Manufacturing costs per megabit for DDR2 products were higher than the Company’s Core DRAM products in the second quarter of 2005 because they have a relatively larger die size and have not yet reached the mature manufacturing yields of other Core DRAM products. The cost per megabit for products manufactured at the Company’s 300mm wafer fabrication facility decreased significantly in the second quarter of 2005 as compared to the second quarter of fiscal 2004 as the Company continued to increase the level of wafers produced. Per megabit cost decreases at the Company’s 300mm facility were not sufficient to match the costs of the Company’s mature 200mm operations due to the relative immature 300mm yields as well as the significant per megabit cost reductions the Company achieved on its 200mm operations over the same period. The Company expects that per megabit cost reductions over the next several quarters will continue to be affected by higher costs associated with shifts in product mix to DDR2 and non-Core DRAM products.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gross margin percentage for the second quarter of 2005 improved to 27% from 25% for the second quarter of 2004, primarily due to a reduction in cost of goods sold per megabit offset by the 5% decrease in average selling prices per megabit for the Company’s semiconductor products. The Company’s gross margin percentage for the first six months of 2005 improved to 30% from 25% for the first six months of 2004, primarily due to a reduction in cost of goods sold per megabit and to a lesser extent by the 2% increase in average selling prices per megabit for the Company’s semiconductor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TECH Semiconductor Singapore Pte. Ltd. (“TECH”): </w:t>
      </w:r>
      <w:r>
        <w:rPr>
          <w:rFonts w:ascii="Arial" w:cs="Arial" w:eastAsia="Arial" w:hAnsi="Arial"/>
          <w:sz w:val="16"/>
          <w:szCs w:val="16"/>
          <w:color w:val="auto"/>
        </w:rPr>
        <w:t>The TECH joint venture supplied approximately 25% of the total megabits of memory</w:t>
      </w:r>
      <w:r>
        <w:rPr>
          <w:rFonts w:ascii="Arial" w:cs="Arial" w:eastAsia="Arial" w:hAnsi="Arial"/>
          <w:sz w:val="16"/>
          <w:szCs w:val="16"/>
          <w:b w:val="1"/>
          <w:bCs w:val="1"/>
          <w:color w:val="auto"/>
        </w:rPr>
        <w:t xml:space="preserve"> </w:t>
      </w:r>
      <w:r>
        <w:rPr>
          <w:rFonts w:ascii="Arial" w:cs="Arial" w:eastAsia="Arial" w:hAnsi="Arial"/>
          <w:sz w:val="16"/>
          <w:szCs w:val="16"/>
          <w:color w:val="auto"/>
        </w:rPr>
        <w:t>produced by the Company in the second and first quarters of 2005 and 30% of the total megabits produced in the second quarter of 2004. The Company generally purchases memory products from TECH at prices determined quarterly, based on a discount from average selling prices realized by the Company for the immediately preceding quarter. Depending on market conditions, the gross margin from the sale of TECH products may be higher or lower than the gross margin from the sale of products manufactured by the Company’s wholly-owned operations. In the second and first quarters of 2005, the Company realized lower gross margin percentages on sales of TECH products than for products manufactured by its wholly-owned operations. In the second quarter of 2004, the Company realized higher gross margin percentages on sales of TECH products than for products manufactured by its wholly-owned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Selling, general and administrative (“SG&amp;A”) expenses for the second quarter of 2005 were slightly lower than for the first quarter of 2005. SG&amp;A expenses for the second quarter and first six months of 2005 were 4% and 5% higher, respectively, than for the corresponding periods of 2004 primarily due to higher levels of performance-based compensation expense and other personnel costs. SG&amp;A expenses for the third quarter of 2005 are expected to approximate $90 million to $95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R&amp;D expenses for the second quarter of 2005 were slightly higher than for the first quarter of 2005. R&amp;D expenses for the second quarter and first six months of 2005 decreased 19% and 20%, respectively, from the corresponding periods of 2004 principally because the Company qualified devices for sale to customers from its 300mm wafer fabrication facility in Virginia in the first quarter of 2005. When devices are qualified, the Company includes costs associated with the manufacture of these devices in inventory and costs of goods sold rather than research and development expense. Decreases in R&amp;D expenses for the first six months of 2005 as compared to the first six months of 2004 were partially offset by higher compensation costs. R&amp;D expenses for the third quarter of 2005 are expected to approximate $160 million to $170 million.</w:t>
      </w:r>
    </w:p>
    <w:p>
      <w:pPr>
        <w:sectPr>
          <w:pgSz w:w="11900" w:h="16838" w:orient="portrait"/>
          <w:cols w:equalWidth="0" w:num="1">
            <w:col w:w="11400"/>
          </w:cols>
          <w:pgMar w:left="240" w:top="125" w:right="259" w:bottom="0" w:gutter="0" w:footer="0" w:header="0"/>
        </w:sectPr>
      </w:pPr>
    </w:p>
    <w:bookmarkStart w:id="10" w:name="page11"/>
    <w:bookmarkEnd w:id="10"/>
    <w:p>
      <w:pPr>
        <w:ind w:right="60" w:firstLine="648"/>
        <w:spacing w:after="0" w:line="297" w:lineRule="auto"/>
        <w:rPr>
          <w:sz w:val="20"/>
          <w:szCs w:val="20"/>
          <w:color w:val="auto"/>
        </w:rPr>
      </w:pPr>
      <w:r>
        <w:rPr>
          <w:rFonts w:ascii="Arial" w:cs="Arial" w:eastAsia="Arial" w:hAnsi="Arial"/>
          <w:sz w:val="16"/>
          <w:szCs w:val="16"/>
          <w:color w:val="auto"/>
        </w:rPr>
        <w:t>The Company’s process technology R&amp;D efforts are focused primarily on development of 95nm, 78nm and smaller line-width process technologies, which are designed to facilitate the Company’s transition to next generation products. Additional R&amp;D efforts include process development to support the Company’s 300mm wafer manufacturing, CMOS image sensors, NAND Flash memory, Specialty memory products (including PSRAM and reduced latency DRAM) and new manufacturing materials. Efforts toward the design and development of new products are concentrated on the Company’s 512 Meg and 1 Gig DDR, DDR2 and DDR3 products as well as NAND Flash memory, CMOS image sensors and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the second quarter of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The Company has substantially completed the restructure plan. Through September 2, 2004, the Company had paid essentially all of the severance and other termination benefits and other costs incurred in connection with the restructure plan. The credit to restructure in 2004 primarily reflects sales of equipment associated with the Company’s 200mm production line in Virginia.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and Expense</w:t>
      </w:r>
    </w:p>
    <w:p>
      <w:pPr>
        <w:spacing w:after="0" w:line="199" w:lineRule="exact"/>
        <w:rPr>
          <w:sz w:val="20"/>
          <w:szCs w:val="20"/>
          <w:color w:val="auto"/>
        </w:rPr>
      </w:pPr>
    </w:p>
    <w:p>
      <w:pPr>
        <w:ind w:firstLine="392"/>
        <w:spacing w:after="0" w:line="271" w:lineRule="auto"/>
        <w:rPr>
          <w:sz w:val="20"/>
          <w:szCs w:val="20"/>
          <w:color w:val="auto"/>
        </w:rPr>
      </w:pPr>
      <w:r>
        <w:rPr>
          <w:sz w:val="1"/>
          <w:szCs w:val="1"/>
          <w:color w:val="auto"/>
        </w:rPr>
        <w:drawing>
          <wp:inline distT="0" distB="0" distL="0" distR="0">
            <wp:extent cx="85725" cy="857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Other operating expense for the first six months of 2005 includes net losses of $14.9 </w:t>
      </w:r>
      <w:r>
        <w:rPr>
          <w:rFonts w:ascii="Arial" w:cs="Arial" w:eastAsia="Arial" w:hAnsi="Arial"/>
          <w:sz w:val="17"/>
          <w:szCs w:val="17"/>
          <w:color w:val="auto"/>
        </w:rPr>
        <w:t>million from changes in currency exchange rates primarily as the</w:t>
      </w:r>
      <w:r>
        <w:rPr>
          <w:rFonts w:ascii="Arial" w:cs="Arial" w:eastAsia="Arial" w:hAnsi="Arial"/>
          <w:sz w:val="18"/>
          <w:szCs w:val="18"/>
          <w:color w:val="auto"/>
        </w:rPr>
        <w:t xml:space="preserve"> </w:t>
      </w:r>
      <w:r>
        <w:rPr>
          <w:rFonts w:ascii="Arial" w:cs="Arial" w:eastAsia="Arial" w:hAnsi="Arial"/>
          <w:sz w:val="17"/>
          <w:szCs w:val="17"/>
          <w:color w:val="auto"/>
        </w:rPr>
        <w:t>result of a generally weaker U.S. dollar relative to the Japanese yen and euro. Other operating income for the first quarter of 2005 includes $12.0 million in receipts from the U.S. government in connection with anti-dumping tariffs. Other operating expense for the first six months of 2004 includes a $7.6 million benefit from changes in currency exchange rates in the second quarter which offset a portion of $24.5 million loss recorded in the first quarter of 2004 as the result of a generally weaker U.S. dollar relative to the Japanese yen and the euro. Other operating expense for the first six months of 2004 includes net gains of $8.0 million related to disposals of semiconductor equipment. The Company estimates that, based on its assets and liabilities denominated in currencies other than U.S. dollar as of March 3, 2005, a 1% change in the exchange rate versus the U.S. dollar would result in foreign currency gains or losses of approximately $2 million for the Japanese yen and $1 million for the euro.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9" w:lineRule="exact"/>
        <w:rPr>
          <w:sz w:val="20"/>
          <w:szCs w:val="20"/>
          <w:color w:val="auto"/>
        </w:rPr>
      </w:pPr>
    </w:p>
    <w:p>
      <w:pPr>
        <w:ind w:right="60" w:firstLine="392"/>
        <w:spacing w:after="0" w:line="277" w:lineRule="auto"/>
        <w:rPr>
          <w:sz w:val="20"/>
          <w:szCs w:val="20"/>
          <w:color w:val="auto"/>
        </w:rPr>
      </w:pPr>
      <w:r>
        <w:rPr>
          <w:sz w:val="1"/>
          <w:szCs w:val="1"/>
          <w:color w:val="auto"/>
        </w:rPr>
        <w:drawing>
          <wp:inline distT="0" distB="0" distL="0" distR="0">
            <wp:extent cx="85725" cy="85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7"/>
          <w:szCs w:val="17"/>
          <w:color w:val="auto"/>
        </w:rPr>
        <w:t xml:space="preserve"> Income taxes for 2005 and 2004 primarily reflect taxes on the Company’s non-U.S. operations. The Company has a valuation allowance for its net deferred tax asset associated with its U.S. operations. The provision for taxes on U.S. operations in the first six months of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March 3, 2005, the Company had aggregate U.S. tax net operating loss carryforwards of $2.6 billion and unused U.S. tax credits of $124.2 million, which expire through 2025. The Company also has unused state tax net operating loss carryforwards of $1.7 billion for tax purposes, which expire through 2025 and unused state tax credits of $125.7 million for tax and financial reporting purposes, which expire through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both of which can vary significantly from period to period. As of March 3, 2005, the Company had cash and marketable investments totaling $1,133.6 million compared to $1,231.0 million as of September 2, 2004.</w:t>
      </w:r>
    </w:p>
    <w:p>
      <w:pPr>
        <w:spacing w:after="0" w:line="177" w:lineRule="exact"/>
        <w:rPr>
          <w:sz w:val="20"/>
          <w:szCs w:val="20"/>
          <w:color w:val="auto"/>
        </w:rPr>
      </w:pPr>
    </w:p>
    <w:p>
      <w:pPr>
        <w:jc w:val="both"/>
        <w:ind w:right="120" w:firstLine="648"/>
        <w:spacing w:after="0" w:line="289"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For the first six months of 2005, net cash provided by operating activities was $599.8 million, which principally reflects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$272.8 million of net income adjusted by $630.9 million for non-cash depreciation and amortization expense, partially offset by a $164.3 million increase in accounts receivable associated with the Company’s higher level of sales and a $174.5 million increase in inventories.</w:t>
      </w:r>
    </w:p>
    <w:p>
      <w:pPr>
        <w:spacing w:after="0" w:line="158" w:lineRule="exact"/>
        <w:rPr>
          <w:sz w:val="20"/>
          <w:szCs w:val="20"/>
          <w:color w:val="auto"/>
        </w:rPr>
      </w:pPr>
    </w:p>
    <w:p>
      <w:pPr>
        <w:ind w:right="340" w:firstLine="648"/>
        <w:spacing w:after="0" w:line="274"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For the first six months of 2005, net cash used by investing activities was $700.2 million, which included expenditures for</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plant and equipment of $670.6 million.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expects 2005 capital spending to approximate $1.5 billion, of which, approximately $960 million occurred in the first six months of 2005. As of March 3, 2005, the Company had commitments extending into 2006 of approximately $250 million for the acquisition of property, plant and equipment.</w:t>
      </w:r>
    </w:p>
    <w:p>
      <w:pPr>
        <w:spacing w:after="0" w:line="17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For the first six months of 2005, net cash used by financing activities was $26.2 million. Payments on equipment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and debt were $207.0 million for the first six months of 2005, and included a $20.0 million prepayment on the Company’s $210 million subordinated notes due September 2005. In the first six months of 2005, the Company received $161.3 million in proceeds from sales-leaseback transactions which are payable in periodic installments through January 2009.</w:t>
      </w:r>
    </w:p>
    <w:p>
      <w:pPr>
        <w:spacing w:after="0" w:line="184"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Subsequent to the end of its second quarter of 2005, the Company entered into a syndicated term loan for 13.5 billion Japanese yen ($127.0 million). The loan bears interest at the 6-month Tokyo Interbank Offered Rate (“TIBOR”) plus 1.25% (1.35% as of closing) and is payable in semi-annual installments through 2010.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In the first quarter of 2004, the Company received $450.0 million from Intel in exchange for the issuance of stock rights exchangeable into approximately 33.9 million shares of the Company’s common stock. In conjunction with the issuance of the stock rights, the Company agreed to achieve operational objectives, including certain levels of DDR2 production and 300 mm wafer processing capacity, or be subject to monetary penalties. The Company has achieved the DDR2 production and 300mm wafer processing milestones and, consequently, does not expect to make any payments to Intel under this agreement.</w:t>
      </w:r>
    </w:p>
    <w:p>
      <w:pPr>
        <w:sectPr>
          <w:pgSz w:w="11900" w:h="16838" w:orient="portrait"/>
          <w:cols w:equalWidth="0" w:num="1">
            <w:col w:w="11420"/>
          </w:cols>
          <w:pgMar w:left="240" w:top="125" w:right="239" w:bottom="90" w:gutter="0" w:footer="0" w:header="0"/>
        </w:sectPr>
      </w:pPr>
    </w:p>
    <w:bookmarkStart w:id="11" w:name="page12"/>
    <w:bookmarkEnd w:id="11"/>
    <w:p>
      <w:pPr>
        <w:spacing w:after="0" w:line="1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6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As of March 3, 2005, future maturities of notes payable, minimum lease payments under capital lease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commitments under operating leases were as follows:</w:t>
      </w:r>
    </w:p>
    <w:p>
      <w:pPr>
        <w:spacing w:after="0" w:line="14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Remainder of</w:t>
            </w:r>
          </w:p>
        </w:tc>
        <w:tc>
          <w:tcPr>
            <w:tcW w:w="300" w:type="dxa"/>
            <w:vAlign w:val="bottom"/>
          </w:tcPr>
          <w:p>
            <w:pPr>
              <w:spacing w:after="0"/>
              <w:rPr>
                <w:sz w:val="14"/>
                <w:szCs w:val="14"/>
                <w:color w:val="auto"/>
              </w:rPr>
            </w:pPr>
          </w:p>
        </w:tc>
        <w:tc>
          <w:tcPr>
            <w:tcW w:w="8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8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7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7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2010 and</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(amounts in millions)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988.6</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242.3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80" w:type="dxa"/>
            <w:vAlign w:val="bottom"/>
          </w:tcPr>
          <w:p>
            <w:pPr>
              <w:spacing w:after="0"/>
              <w:rPr>
                <w:sz w:val="18"/>
                <w:szCs w:val="18"/>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248.2</w:t>
            </w:r>
          </w:p>
        </w:tc>
        <w:tc>
          <w:tcPr>
            <w:tcW w:w="300" w:type="dxa"/>
            <w:vAlign w:val="bottom"/>
          </w:tcPr>
          <w:p>
            <w:pPr>
              <w:spacing w:after="0"/>
              <w:rPr>
                <w:sz w:val="18"/>
                <w:szCs w:val="18"/>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63.6</w:t>
            </w:r>
          </w:p>
        </w:tc>
        <w:tc>
          <w:tcPr>
            <w:tcW w:w="280" w:type="dxa"/>
            <w:vAlign w:val="bottom"/>
          </w:tcPr>
          <w:p>
            <w:pPr>
              <w:spacing w:after="0"/>
              <w:rPr>
                <w:sz w:val="18"/>
                <w:szCs w:val="18"/>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80" w:firstLine="648"/>
        <w:spacing w:after="0" w:line="275" w:lineRule="auto"/>
        <w:rPr>
          <w:sz w:val="20"/>
          <w:szCs w:val="20"/>
          <w:color w:val="auto"/>
        </w:rPr>
      </w:pPr>
      <w:r>
        <w:rPr>
          <w:rFonts w:ascii="Arial" w:cs="Arial" w:eastAsia="Arial" w:hAnsi="Arial"/>
          <w:sz w:val="18"/>
          <w:szCs w:val="18"/>
          <w:color w:val="auto"/>
        </w:rPr>
        <w:t xml:space="preserve">As of March 3, 2005, the Company had the following </w:t>
      </w:r>
      <w:r>
        <w:rPr>
          <w:rFonts w:ascii="Arial" w:cs="Arial" w:eastAsia="Arial" w:hAnsi="Arial"/>
          <w:sz w:val="17"/>
          <w:szCs w:val="17"/>
          <w:color w:val="auto"/>
        </w:rPr>
        <w:t>off-balance sheet arrangements: convertible debt, call spread options, stock warrants and its</w:t>
      </w:r>
      <w:r>
        <w:rPr>
          <w:rFonts w:ascii="Arial" w:cs="Arial" w:eastAsia="Arial" w:hAnsi="Arial"/>
          <w:sz w:val="18"/>
          <w:szCs w:val="18"/>
          <w:color w:val="auto"/>
        </w:rPr>
        <w:t xml:space="preserve"> </w:t>
      </w:r>
      <w:r>
        <w:rPr>
          <w:rFonts w:ascii="Arial" w:cs="Arial" w:eastAsia="Arial" w:hAnsi="Arial"/>
          <w:sz w:val="17"/>
          <w:szCs w:val="17"/>
          <w:color w:val="auto"/>
        </w:rPr>
        <w:t>variable interest in the TECH joint venture.</w:t>
      </w:r>
    </w:p>
    <w:p>
      <w:pPr>
        <w:spacing w:after="0" w:line="17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second quarter of 2003, the Company issued $632.5 million of 2.5% Convertible Subordinated Notes (the “Notes”).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March 3, 2005, there had been no exercises of warrants and all warrants issued remained outstanding.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“Item 1. Notes to Consolidated Financial Statements – Joint Venture” for a description of the Company’s arrangement with its TECH joint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venture.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March 2005, the Financial Accounting Standards Board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by the end of 2006. The Company is currently assessing the impact of Interpretation No. 47 on its results of operations and financial condition.</w:t>
      </w:r>
    </w:p>
    <w:p>
      <w:pPr>
        <w:spacing w:after="0" w:line="15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In December 2004, the FASB issued Statement of Financial Accounting Standards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 arrangements for public companies. The Company is required to adopt SFAS No. 123(R) in</w:t>
      </w:r>
    </w:p>
    <w:p>
      <w:pPr>
        <w:spacing w:after="0" w:line="7"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September 2005. The adoption of SFAS No. 123(R) is not expected to have a significant effect on the Company’s financial condition or cash flows. Upon adoption, the Company will record non-cash stock compensation expenses which will have an adverse effect on its results of operations.</w:t>
      </w:r>
    </w:p>
    <w:p>
      <w:pPr>
        <w:spacing w:after="0" w:line="16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impact on the Company’s results of operations or financial condition.</w:t>
      </w:r>
    </w:p>
    <w:p>
      <w:pPr>
        <w:spacing w:after="0" w:line="154"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impact on the Company’s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w:t>
      </w:r>
    </w:p>
    <w:p>
      <w:pPr>
        <w:sectPr>
          <w:pgSz w:w="11900" w:h="16858" w:orient="portrait"/>
          <w:cols w:equalWidth="0" w:num="1">
            <w:col w:w="11420"/>
          </w:cols>
          <w:pgMar w:left="240" w:top="125" w:right="239" w:bottom="0" w:gutter="0" w:footer="0" w:header="0"/>
        </w:sectPr>
      </w:pPr>
    </w:p>
    <w:bookmarkStart w:id="12" w:name="page13"/>
    <w:bookmarkEnd w:id="12"/>
    <w:p>
      <w:pPr>
        <w:spacing w:after="0" w:line="1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77"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5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8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Per megabit average selling prices decreased 15% in the second quarter of 2005 as compared to the first quarter of 2005. In recent years, we have also experienced annual decreases in per megabit average selling prices for our semiconductor memory products including: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worldwide DRAM production or lack of demand for DRAM could lead to further declines in average selling prices for DRAM.</w:t>
      </w:r>
    </w:p>
    <w:p>
      <w:pPr>
        <w:spacing w:after="0" w:line="24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transition to smaller line-width process technologies and 300mm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 if</w:t>
      </w:r>
    </w:p>
    <w:p>
      <w:pPr>
        <w:sectPr>
          <w:pgSz w:w="11900" w:h="16850" w:orient="portrait"/>
          <w:cols w:equalWidth="0" w:num="1">
            <w:col w:w="11400"/>
          </w:cols>
          <w:pgMar w:left="240" w:top="125" w:right="259" w:bottom="0" w:gutter="0" w:footer="0" w:header="0"/>
        </w:sectPr>
      </w:pPr>
    </w:p>
    <w:bookmarkStart w:id="13" w:name="page14"/>
    <w:bookmarkEnd w:id="13"/>
    <w:p>
      <w:pPr>
        <w:spacing w:after="0" w:line="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 accompanied with increases in demand, could lead to further declines in average selling prices for our products and could materially adversely affect our business, results of operations or financial condition.</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As the computer industry matures and the growth rate of computers sold or growth rate of the amount of semiconductor memory included in each computer decreases, sales of our semiconductor products could decrease.</w:t>
      </w:r>
    </w:p>
    <w:p>
      <w:pPr>
        <w:spacing w:after="0" w:line="16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dependent on the computing market as most of the semiconductor products we sell are used in computers, servers or peripheral products. Approximately 75% of our sales of semiconductor products for the second quarter of 2005 were to the computing market. DRAMs are the primary semiconductor memory components in computers. Throughout most of the 1980s and 1990s, industry revenue for the DRAM market grew at a much faster rate than the overall economy, driven by both growth in sales of computers and the amount of memory included in each computer sold. However, as with any maturing market, it is unlikely that historic growth rates for this market will be sustained. In recent years, the DRAM market has grown at a significantly slower rate as the computer industry has continued to mature. The reduction in the growth rate of computers sold or growth rate of the average amount of semiconductor memory included in each computer could reduce sales of our semiconductor products and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Historically, our gross margin has benefited from decreases in per megabit manufacturing costs achieved through improvements in our manufacturing processes, including reducing the die size of our existing products. In future periods, we may be unable to reduce our per megabit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are unable to timely and efficiently convert our manufacturing operations to 300mm wafer fabrication, our business, results of operations or financial condition could be materially adversely affected.</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currently ramping production at our 300mm wafer fabrication facility in Virginia. Until such time that the production in the Virginia facility reaches mature product yields and significant volume with regards to capacity utilization, it will adversely affect our results of operations. We are also assessing which of our other facilities will be converted to 300mm wafer fabrication and when those facilities will be converted. We may also experience disruptions in manufacturing operations, reduced wafer output and reduced yields during our conversion of other facilities to 300mm wafers and our business, results of operations or financial condition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 or access capital markets for funds on acceptable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face intense competition from a number of companies, including Elpida Memory, Inc., Hynix Semiconductor Inc., Infineon Technologies AG and Samsung Electronics Co., Ltd. Additionally, we face competition from emerging companies in Taiwan and China who have announced plans to significantly expand the scale of their operations.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93"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Historically, various governments have provided economic assistance to international competitors, which has enabled, or artificially supported, competitors’ production of semiconductor memory. This factor may continue to increase the supply of semiconductor products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implementation of new Sarbanes-Oxley Section 404 controls audit.</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Beginning in 2005, Section 404 of the Sarbanes-Oxley Act of 2002 requires that our management conduct an evaluation of the effectiveness of our internal controls over financial reporting and include a report on their assessment in our Annual Report on Form 10-K. In addition, our independent registered public accounting firm is required to express an opinion as to the fairness of management’s assessment and separately on the effectiveness of our internal controls over financial reporting as of the end of our fiscal year being reported on. 2005 will be the first year that we undergo an audit of our assessment of the effectiveness of our internal controls over financial reporting, and it is possible that either significant deficiencies or material weaknesses could be found in connection with these evaluation and audit processes. If we are unable to remediate such deficiencies and weaknesses, management may be unable to conclude our controls are operating effectively and our independent registered public accounting firm may issue an adverse opinion on our management’s assessment or on the effectiveness of our internal controls over financial reporting. If this were to occur, investor confidence regarding our internal controls could be harmed and our stock price could decline.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Japanese yen and euro. In the event that the U.S. dollar weakens significantly</w:t>
      </w:r>
    </w:p>
    <w:p>
      <w:pPr>
        <w:sectPr>
          <w:pgSz w:w="11900" w:h="16881" w:orient="portrait"/>
          <w:cols w:equalWidth="0" w:num="1">
            <w:col w:w="11420"/>
          </w:cols>
          <w:pgMar w:left="240" w:top="125" w:right="239" w:bottom="0" w:gutter="0" w:footer="0" w:header="0"/>
        </w:sectPr>
      </w:pPr>
    </w:p>
    <w:bookmarkStart w:id="14" w:name="page15"/>
    <w:bookmarkEnd w:id="14"/>
    <w:p>
      <w:pPr>
        <w:ind w:right="240"/>
        <w:spacing w:after="0" w:line="286" w:lineRule="auto"/>
        <w:rPr>
          <w:sz w:val="20"/>
          <w:szCs w:val="20"/>
          <w:color w:val="auto"/>
        </w:rPr>
      </w:pPr>
      <w:r>
        <w:rPr>
          <w:rFonts w:ascii="Arial" w:cs="Arial" w:eastAsia="Arial" w:hAnsi="Arial"/>
          <w:sz w:val="17"/>
          <w:szCs w:val="17"/>
          <w:color w:val="auto"/>
        </w:rPr>
        <w:t>compared to the Japanese yen or euro, our results of operations or financial condition will be adversely affected. The Company estimates that, based on its assets and liabilities denominated in currencies other than U.S. dollar as of March 3, 2005, a 1% change in the exchange rate versus the U.S. dollar would result in foreign currency gains or losses of approximately $2 million for the Japanese yen and $1 million for the euro.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w:t>
      </w:r>
    </w:p>
    <w:p>
      <w:pPr>
        <w:spacing w:after="0" w:line="14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TECH supplied approximately 25% of our total megabits of memory produced in the second quarter of 2005. We have agreements to purchase all of the products manufactured by TECH subject to specific terms and conditions. In some periods, we have realized higher margins on products purchased from TECH than products manufactured by our wholly-owned facilities. Any reduction in supply could materially adversely affect our business, results of operations or financial condition. As of March 3, 2005, we had intangible assets with a net book value of $56.1 million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4"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If we are unable to respond to customer demand for diversified semiconductor memory products or are unable to do so in a cost-effective manner, we may lose market share and our business, results of operations or financial condition could be materially adversely affected.</w:t>
      </w:r>
    </w:p>
    <w:p>
      <w:pPr>
        <w:spacing w:after="0" w:line="14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recent periods, the semiconductor memory market has become increasingly segmented, with diverse memory needs being driven by the different requirements of desktop and notebook computers, servers, workstations, handheld devices, and communications, industrial and other applications that demand specific memory solutions. We offer customers a variety of semiconductor memory products, including DDR, DDR2, SDRAM, PSRAM, Mobile SDRAM, RLDRAM, NAND Flash and NOR Flash.</w:t>
      </w:r>
    </w:p>
    <w:p>
      <w:pPr>
        <w:spacing w:after="0" w:line="18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business, results of operations or financial condition could be materially adversely affected.</w:t>
      </w:r>
    </w:p>
    <w:p>
      <w:pPr>
        <w:spacing w:after="0" w:line="18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U.S. District Court for the District of Delaware seeking monetary damages and declaratory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currently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Court of First Instance of Paris, France;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On August 10, 2001, Rambus filed suit against us and Assitec (an electronics retailer) in the Civil Court of Pavia, Italy, alleging that certain DDR SDRAM products infringe the Italian counterpart to European patent 1 022 642. In the European suits against us, Rambus is seeking monetary damages and injunctive relief. We also are engaged in litigation with Motorola, Inc. (“Motorola”) and Freescale Semiconductor, Inc. (“Freescale”) relating to certain of our patents and certain of Freescale’s patents. On January 8, 2004, Motorola filed suit against us in the U.S. District Court for the Western District of Texas (Austin) alleging infringement of ten Motorola patents. Freescale, a former subsidiary of Motorola, was later added as a party with Motorola. We counterclaimed against Motorola and Freescale alleging infringement of twenty-four Company patents. We are also engaged in litigation with Tessera, Inc. (“Tessera”) relating to certain of Tessera’s patents. On March 1, 2005, Tessera filed suit against us in the U.S. District Court for the Eastern District of Texas (Marshall) alleging infringement of five Tessera patents. The above lawsuits pertain to certain of our SDRAM, DDR SDRAM, and DDR2 SDRAM products, which account for a significant portion of our net sales. 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the Company. Any of the foregoing could have a material adverse effect on our business, results of operations or financial condition.</w:t>
      </w:r>
    </w:p>
    <w:p>
      <w:pPr>
        <w:spacing w:after="0" w:line="1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antitrust violations.</w:t>
      </w:r>
    </w:p>
    <w:p>
      <w:pPr>
        <w:sectPr>
          <w:pgSz w:w="11900" w:h="16838" w:orient="portrait"/>
          <w:cols w:equalWidth="0" w:num="1">
            <w:col w:w="11420"/>
          </w:cols>
          <w:pgMar w:left="240" w:top="125" w:right="239" w:bottom="0" w:gutter="0" w:footer="0" w:header="0"/>
        </w:sectPr>
      </w:pPr>
    </w:p>
    <w:bookmarkStart w:id="15" w:name="page16"/>
    <w:bookmarkEnd w:id="15"/>
    <w:p>
      <w:pPr>
        <w:ind w:right="220" w:firstLine="648"/>
        <w:spacing w:after="0" w:line="276"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us and other DRAM suppliers. Sixteen cases were filed between June 21, 2002, and September 19, 2002, in the following federal district courts: one in the Southern District of New York, five in the District of Idaho and ten in the Northern District of California. The foregoing federal district court cases were transferred to the U.S. District Court for the Northern District of California (San Francisco) for consolidated proceedings. On October 6, 2003 and November 8, 2004, the plaintiffs filed consolidated amended class action complaints. The most recent consolidated amended complaint purports to be on behalf of a class of individuals and entities who purchased DRAM directly from the various DRAM suppliers during the period from July 1, 1999 through at least June 30, 2002. The consolidated amended complaint alleges price-fixing in violation of the Sherman Act and seeks treble monetary damages, costs, attorneys’ fees, and an injunction against the allegedly unlawful conduct. Eight additional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cases were filed between August 2, 2002, and March 11, 2003, in the following California state superior courts: five in San Francisco County, one in Santa Clara County, one in Los Angeles County and one in Humboldt County. Each of the California state cases purports to be on behalf of a class of individuals and entities who indirectly purchased DRAM during a specified time period commencing December 1, 2001. The complaints allege violations of California’s Cartwright Act and state unfair competition law and unjust enrichment and seek treble monetary damages, restitution, costs, attorneys’ fees, and an injunction against the allegedly unlawful conduct.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Forty-four additional cases were filed in the following state courts between May 2004 and March 2005: Hot Spring County, Arkansas; Maricopa County, Arizona (2); Collier County, Florida (subsequently dismissed without prejudice); Broward County, Florida; Lee County, Florida; Miami Dade County, Florida; Honolulu County, Hawaii; Polk County, Iowa; Johnson County, Kansas; Essex County, Massachusetts (2) (one of which was subsequently dismissed with prejudice); Middlesex County, Massachusetts (2); Suffolk County, Massachusetts; York County, Maine; Wayne County, Michigan; Hennepin County, Minnesota; Yellowstone County, Montana; Mecklenburg County, North Carolina (subsequently removed to federal court in North Carolina); Guilford County, North Carolina (subsequently removed to federal court in North Carolina); Orange County, North Carolina (subsequently removed to federal court in North Carolina); Cass County, North Dakota; Lancaster County, Nebraska; Stafford County, New Hampshire; Hudson County, New Jersey; Clark County, Nevada; New York County, New York</w:t>
      </w:r>
    </w:p>
    <w:p>
      <w:pPr>
        <w:spacing w:after="0" w:line="267" w:lineRule="auto"/>
        <w:rPr>
          <w:sz w:val="20"/>
          <w:szCs w:val="20"/>
          <w:color w:val="auto"/>
        </w:rPr>
      </w:pPr>
      <w:r>
        <w:rPr>
          <w:rFonts w:ascii="Arial" w:cs="Arial" w:eastAsia="Arial" w:hAnsi="Arial"/>
          <w:sz w:val="17"/>
          <w:szCs w:val="17"/>
          <w:color w:val="auto"/>
        </w:rPr>
        <w:t>(2); Albany County, New York; Westchester County, New York; Cuyahoga County, Ohio (subsequently dismissed without prejudice); Philadelphia County, Pennsylvania; Pennington County, South Dakota; Minnehaha County, South Dakota; Davidson County, Tennessee (3) (all of which were subsequently removed to federal court in Tennessee, one of which was transferred to the consolidated federal case in California); Chittenden County, Vermont (2) (both of which were subsequently removed to federal court in Vermont; one of which was transferred to the consolidated federal case in California); Orange County, Vermont; Monroe County, Wisconsin (2); and Brooke County, West Virginia (subsequently removed to federal court in West Virginia). The complaints purport to be on behalf of a class of individuals and entities who indirectly purchased DRAM and/or products containing DRAM in the respective states during various time periods ranging from 1999 through the filing of the complaint. The complaints allege violations of the various state antitrust, consumer protection and/or unfair competition laws relating to the sale and pricing of DRAM products and seek treble monetary damages, restitution, costs, interest and attorneys’ fees. Additionally, three cases were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our analysis of the claims made and the nature of the DRAM industry, we believe that class treatment of these cases is not appropriate and that any purported injury alleged by plaintiffs would be more appropriately resolved on a customer-by-customer basis. The final resolution of these alleged violations of antitrust laws could result in significant liability and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us and other DRAM suppliers. The complaint alleges certain causes of action under California state law including conspiracy to restrict output and fix prices on Rambus DRAM (“RDRAM”),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We are unable to predict the outcome of the suit. A court determination against us could result in significant liability and could have a material adverse effect on our business, results of operations or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Sales to customers outside the United States approximated 66% of our consolidated net sales for the second quarter of 2005. In addition, we have manufacturing operations in Italy, Japan, Puerto Rico, Scotland and Singapore. Our international sales and operations are subject to a variety of risks, including:</w:t>
      </w:r>
    </w:p>
    <w:p>
      <w:pPr>
        <w:sectPr>
          <w:pgSz w:w="11900" w:h="16838" w:orient="portrait"/>
          <w:cols w:equalWidth="0" w:num="1">
            <w:col w:w="11400"/>
          </w:cols>
          <w:pgMar w:left="240" w:top="125" w:right="259" w:bottom="0" w:gutter="0" w:footer="0" w:header="0"/>
        </w:sectPr>
      </w:pPr>
    </w:p>
    <w:bookmarkStart w:id="16" w:name="page17"/>
    <w:bookmarkEnd w:id="16"/>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9"/>
          <w:szCs w:val="19"/>
          <w:b w:val="1"/>
          <w:bCs w:val="1"/>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b w:val="1"/>
          <w:bCs w:val="1"/>
          <w:color w:val="auto"/>
        </w:rPr>
      </w:pPr>
    </w:p>
    <w:p>
      <w:pPr>
        <w:ind w:left="1300" w:hanging="320"/>
        <w:spacing w:after="0"/>
        <w:tabs>
          <w:tab w:leader="none" w:pos="130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shareholder value. Acquisitions involve numerous risks, including:</w:t>
      </w:r>
    </w:p>
    <w:p>
      <w:pPr>
        <w:spacing w:after="0" w:line="17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increasing our exposure to changes in average selling prices for semiconductor memory products,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b w:val="1"/>
          <w:bCs w:val="1"/>
          <w:color w:val="auto"/>
        </w:rPr>
      </w:pPr>
    </w:p>
    <w:p>
      <w:pPr>
        <w:ind w:left="1300" w:hanging="320"/>
        <w:spacing w:after="0"/>
        <w:tabs>
          <w:tab w:leader="none" w:pos="13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ectPr>
          <w:pgSz w:w="11900" w:h="16838" w:orient="portrait"/>
          <w:cols w:equalWidth="0" w:num="1">
            <w:col w:w="11420"/>
          </w:cols>
          <w:pgMar w:left="240" w:top="346"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Recently enacted changes in the securities laws and regulations are likely to increase our costs.</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Sarbanes-Oxley Act of 2002 has required changes in some of our corporate governance, securities disclosure and compliance practices. In response to the requirements of that Act, the Securities and Exchange Commission and the New York Stock Exchange have promulgated new rules on a variety of subjects. Compliance with these new rules has increased our costs, and we expect these increased costs to continue indefinitely. We also expect these developments to make it more difficult and more expensive for us to obtain director and officer liability insurance, and we may be forced to accept reduced coverage or incur substantially higher costs to obtain coverage. Likewise, these developments may make it more difficult for us to attract and retain qualified members of our board of directors or qualified executive officers.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Substantially all of the Company’s investments are at fixed interest rates; therefore, the fair value of these instruments is affected by changes in market interest rates. The Company believes that the market risk arising from its holdings of investments is minimal as the Company’s investments generally mature within one year.</w:t>
      </w:r>
    </w:p>
    <w:p>
      <w:pPr>
        <w:spacing w:after="0" w:line="18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Substantially all of the Company’s debt is at fixed interest rates; therefore, the fair value of the debt fluctuates based on changes in market interest rates. The estimated fair market value of the Company’s debt approximated $1.3 billion as of March 3, 2005 and $1.2 billion as of September 2, 2004.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does not use derivative financial instruments for trading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“Item 2. Management’s Discussion and Analysis of Financial Condition and Results of Operations – Certain Factors.” Changes in foreign currency exchange rates could materially adversely affect the Company’s results of operations or financial condition.</w:t>
      </w:r>
    </w:p>
    <w:p>
      <w:pPr>
        <w:spacing w:after="0" w:line="181"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currency valued at U.S. $131.2 million as of March 3, 2005, and U.S. $118.9 million as of September 2, 2004 (including deferred income tax assets denominated in Japanese yen valued at U.S. $48.9 million as of March 3, 2005, and U.S. $52.4 million as of September 2, 2004). The Company also held aggregate foreign currency liabilities valued at U.S. $366.3 million as of March 3, 2005, and U.S. $403.6 million as of September 2, 2004 (including debt denominated in Japanese yen valued at U.S. $104.3 million as of March 3, 2005, and U.S. $113.1 million as of September 2, 2004). Foreign currency receivables and payables as of March 3, 2005, were comprised primarily of Japanese yen, euros, Singapore dollars and British pounds. The Company estimates that, based on its assets and liabilities denominated in currencies other than U.S. dollar as of March 3, 2005, a 1% change in the exchange rate versus the U.S. dollar would result in foreign currency gains or losses of approximately $2 million for the Japanese yen and $1 million for the euro.</w:t>
      </w:r>
    </w:p>
    <w:p>
      <w:pPr>
        <w:spacing w:after="0" w:line="166"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Subsequent to the end of its second quarter of 2005, the Company entered into a syndicated term loan for 13.5 billion Japanese yen ($127.0 million). The loan bears interest at the 6-month Tokyo Interbank Offered Rate (“TIBOR”) plus 1.25% (1.35% as of closing) and is payable in semi-annual installments through 2010. The Company expects to invest the proceeds in yen-denominated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quarterly period covered by this report, there were no significant changes in the Company’s internal controls over financial reporting that have materially affected, or are reasonably likely to materially affect, the Company’s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August 28, 2000, the Company filed a complaint against Rambus, Inc. (“Rambus”) in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w:t>
      </w:r>
    </w:p>
    <w:p>
      <w:pPr>
        <w:sectPr>
          <w:pgSz w:w="11900" w:h="16838" w:orient="portrait"/>
          <w:cols w:equalWidth="0" w:num="1">
            <w:col w:w="11420"/>
          </w:cols>
          <w:pgMar w:left="240" w:top="121" w:right="239" w:bottom="0" w:gutter="0" w:footer="0" w:header="0"/>
        </w:sectPr>
      </w:pPr>
    </w:p>
    <w:bookmarkStart w:id="18" w:name="page19"/>
    <w:bookmarkEnd w:id="18"/>
    <w:p>
      <w:pPr>
        <w:ind w:right="60"/>
        <w:spacing w:after="0" w:line="270" w:lineRule="auto"/>
        <w:rPr>
          <w:sz w:val="20"/>
          <w:szCs w:val="20"/>
          <w:color w:val="auto"/>
        </w:rPr>
      </w:pPr>
      <w:r>
        <w:rPr>
          <w:rFonts w:ascii="Arial" w:cs="Arial" w:eastAsia="Arial" w:hAnsi="Arial"/>
          <w:sz w:val="17"/>
          <w:szCs w:val="17"/>
          <w:color w:val="auto"/>
        </w:rPr>
        <w:t>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the Company’s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In the European suits against the Company, Rambus is seeking monetary damages and injunctive relief.</w:t>
      </w:r>
    </w:p>
    <w:p>
      <w:pPr>
        <w:spacing w:after="0" w:line="182"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On January 8, 2004, Motorola, Inc. (“Motorola”) filed suit against the Company in the U.S. District Court for the Western District of Texas (Austin) alleging infringement of ten Motorola patents. Freescale Semiconductor, Inc. (“Freescale”), a spin-off of Motorola, was later added as a party with Motorola. The Company counterclaimed against Motorola and Freescale alleging infringement of twenty-four Company patents.</w:t>
      </w:r>
    </w:p>
    <w:p>
      <w:pPr>
        <w:spacing w:after="0" w:line="166"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On March 1, 2005, Tessera filed suit against the Company in the U.S. District Court for the Eastern District of Texas (Marshall) alleging infringement of five Tessera patents.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above lawsuits pertain to certain of the Company’s SDRAM, DDR SDRAM, and DDR2 SDRAM products, which account for a significant portion of the Company’s net sales. The Company is unable to predict the outcome of these suits.</w:t>
      </w:r>
    </w:p>
    <w:p>
      <w:pPr>
        <w:spacing w:after="0" w:line="170"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Our cooperation is pursuant to the terms of the DOJ’s Corporate Leniency Policy, which provides that in exchange for our full, continuing and complete cooperation in the pending investigation, we will not be subject to prosecution, fines or other penalties from the DOJ.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 Idaho and ten in the Northern District of California. The foregoing federal district court cases were transferred to the U.S. District Court for the Northern District of California (San Francisco) for consolidated proceedings. On October 6, 2003, the plaintiffs filed a consolidated amended class action complaint. The consolidated amended complaint purports to be on behalf of a class of individuals and entities who purchased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DRAM directly from the various DRAM suppliers during the period from approximately November 1, 2001 through at least June 30, 2002. The consolidated amended complaint alleges price-fixing in violation of the Sherman Act and seeks treble monetary damages, costs, attorneys’ fees, and an injunction against the allegedly unlawful conduct. Eight additional cases were filed between August 2, 2002, and March 11, 2003, in the following California state superior courts: five in San Francisco County, one in Santa Clara County, one in Los Angeles County and one in Humboldt County. The foregoing California state cases were transferred to San Francisco County Superior Court for consolidated proceedings. On October 15, 2003, the plaintiffs filed a consolidated amended class action complaint. The consolidated amended complaint purports to be on behalf of a class of individuals and entities who purchased DRAM indirectly from the various DRAM suppliers during the period from November 1, 2001 through June 30, 2002. The consolidated amended complaint alleges violations of California’s Cartwright Act and state unfair competition law and unjust enrichment and seeks treble monetary damages, costs, attorneys’ fees, and an injunction against the allegedly unlawful conduct. Forty-four additional cases were filed in the following state courts between May 2004 and March 2005: Hot Spring County, Arkansas; Maricopa County, Arizona (2); Collier County, Florida (subsequently dismissed without prejudice); Broward County, Florida; Lee County, Florida; Miami Dade County, Florida; Honolulu County, Hawaii; Polk County, Iowa; Johnson County, Kansas; Essex County, Massachusetts (2) (one of which was subsequently dismissed with prejudice); Middlesex County, Massachusetts (2); Suffolk County, Massachusetts; York County, Maine; Wayne County, Michigan; Hennepin County, Minnesota; Yellowstone County, Montana; Mecklenburg County, North Carolina (subsequently removed to federal court in North Carolina); Guilford County, North Carolina (subsequently removed to federal court in North Carolina); Orange County, North Carolina (subsequently removed to federal court in North Carolina); Cass County, North Dakota; Lancaster County, Nebraska; Stafford County, New Hampshire; Hudson County, New Jersey; Clark County, Nevada; New York County, New York (2); Albany County, New York; Westchester County, New York; Cuyahoga County, Ohio (subsequently dismissed without prejudice); Philadelphia County, Pennsylvania; Pennington County, South Dakota; Minnehaha County, South Dakota; Davidson County, Tennessee (3) (all of which were subsequently removed to federal court in Tennessee, one of which was transferred to the consolidated federal case in California); Chittenden County, Vermont (2) (both of which were subsequently removed to federal court in Vermont; one of which was transferred to the consolidated federal case in California); Orange County, Vermont; Monroe County, Wisconsin (2); and Brooke County, West Virginia (subsequently removed to federal court in West Virginia). The complaints purport to be on behalf of a class of individuals and entities who indirectly purchased DRAM and/or products containing DRAM in the respective states during various time periods ranging from 1999 through the filing of the complaint. The complaints allege violations of the various state antitrust, consumer protection and/or unfair competition laws relating to the sale and pricing of DRAM products and seek treble monetary damages, restitution, costs, interest and attorneys’ fees. Additionally, three cases were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the Company’s analysis of the claims made and the nature of the DRAM industry, the Company believes that class treatment of these cases is not appropriate and that any purported injury alleged by plaintiffs would be more appropriately resolved on a customer-by-customer basis. The Company is unable to predict the outcome of these suits. The final resolution of these alleged violations of antitrust laws could result in significant liability and could have a material adverse effect on the Company’s business, results of operations or financial condition.</w:t>
      </w:r>
    </w:p>
    <w:p>
      <w:pPr>
        <w:spacing w:after="0" w:line="19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certain causes of action under California state law including a conspiracy to restrict output and fix prices on Rambus DRAM (“RDRAM”), a conspiracy to monopolize various relevant markets, intentional interference with prospective economic advantage relating to RDRAM, and unfair competition to disadvantage RDRAM. The complaint seeks treble damages, punitive damages, attorneys’ fees, costs, and a permanent injunction enjoining the defendants from the conduct alleged in the complaint. The Company is unable to predict the outcome of the suit. A court</w:t>
      </w:r>
    </w:p>
    <w:p>
      <w:pPr>
        <w:sectPr>
          <w:pgSz w:w="11900" w:h="16838" w:orient="portrait"/>
          <w:cols w:equalWidth="0" w:num="1">
            <w:col w:w="11400"/>
          </w:cols>
          <w:pgMar w:left="240" w:top="125" w:right="259" w:bottom="0" w:gutter="0" w:footer="0" w:header="0"/>
        </w:sectPr>
      </w:pPr>
    </w:p>
    <w:bookmarkStart w:id="19" w:name="page20"/>
    <w:bookmarkEnd w:id="19"/>
    <w:p>
      <w:pPr>
        <w:ind w:right="680"/>
        <w:spacing w:after="0" w:line="277" w:lineRule="auto"/>
        <w:rPr>
          <w:sz w:val="20"/>
          <w:szCs w:val="20"/>
          <w:color w:val="auto"/>
        </w:rPr>
      </w:pPr>
      <w:r>
        <w:rPr>
          <w:rFonts w:ascii="Arial" w:cs="Arial" w:eastAsia="Arial" w:hAnsi="Arial"/>
          <w:sz w:val="18"/>
          <w:szCs w:val="18"/>
          <w:color w:val="auto"/>
        </w:rPr>
        <w:t>determination against the Company could result in significant liability and could have a material adverse effect on the Company’s business, results of operations or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“Part I Item 2. Management’s Discussion and Analysis of Financial Condition and Results of Operations – Certain Factors.”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520" w:type="dxa"/>
            <w:vAlign w:val="bottom"/>
          </w:tcPr>
          <w:p>
            <w:pPr>
              <w:ind w:left="37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38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9520" w:type="dxa"/>
            <w:vAlign w:val="bottom"/>
            <w:vMerge w:val="restart"/>
          </w:tcPr>
          <w:p>
            <w:pPr>
              <w:ind w:left="3880"/>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Equity Incentive Plan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Equity Incentive Plan Forms of Agreement and Terms and Conditions</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10.63</w:t>
            </w:r>
          </w:p>
        </w:tc>
        <w:tc>
          <w:tcPr>
            <w:tcW w:w="2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Stock Option Plan Form of Agreement and Terms and Conditions</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10.64</w:t>
            </w:r>
          </w:p>
        </w:tc>
        <w:tc>
          <w:tcPr>
            <w:tcW w:w="24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Nonstatutory Stock Option Plan Form of Agreement and Terms and Conditions</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10.139</w:t>
            </w:r>
          </w:p>
        </w:tc>
        <w:tc>
          <w:tcPr>
            <w:tcW w:w="2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1989</w:t>
            </w: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122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20" w:type="dxa"/>
            <w:vAlign w:val="bottom"/>
          </w:tcPr>
          <w:p>
            <w:pPr>
              <w:ind w:left="37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-2552700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550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634"/>
        </w:trPr>
        <w:tc>
          <w:tcPr>
            <w:tcW w:w="5500" w:type="dxa"/>
            <w:vAlign w:val="bottom"/>
          </w:tcPr>
          <w:p>
            <w:pPr>
              <w:spacing w:after="0"/>
              <w:rPr>
                <w:sz w:val="20"/>
                <w:szCs w:val="20"/>
                <w:color w:val="auto"/>
              </w:rPr>
            </w:pPr>
            <w:r>
              <w:rPr>
                <w:rFonts w:ascii="Arial" w:cs="Arial" w:eastAsia="Arial" w:hAnsi="Arial"/>
                <w:sz w:val="18"/>
                <w:szCs w:val="18"/>
                <w:color w:val="auto"/>
              </w:rPr>
              <w:t>Dated: April 12, 2005</w:t>
            </w: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91"/>
        </w:trPr>
        <w:tc>
          <w:tcPr>
            <w:tcW w:w="5500" w:type="dxa"/>
            <w:vAlign w:val="bottom"/>
            <w:tcBorders>
              <w:bottom w:val="single" w:sz="8" w:color="808080"/>
            </w:tcBorders>
          </w:tcPr>
          <w:p>
            <w:pPr>
              <w:spacing w:after="0"/>
              <w:rPr>
                <w:sz w:val="7"/>
                <w:szCs w:val="7"/>
                <w:color w:val="auto"/>
              </w:rPr>
            </w:pPr>
          </w:p>
        </w:tc>
        <w:tc>
          <w:tcPr>
            <w:tcW w:w="59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10.60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w:t>
      </w:r>
      <w:r>
        <w:rPr>
          <w:rFonts w:ascii="Arial" w:cs="Arial" w:eastAsia="Arial" w:hAnsi="Arial"/>
          <w:sz w:val="16"/>
          <w:szCs w:val="16"/>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1" w:lineRule="exact"/>
        <w:rPr>
          <w:sz w:val="20"/>
          <w:szCs w:val="20"/>
          <w:color w:val="auto"/>
        </w:rPr>
      </w:pPr>
    </w:p>
    <w:p>
      <w:pPr>
        <w:ind w:left="660" w:right="440" w:firstLine="645"/>
        <w:spacing w:after="0" w:line="277" w:lineRule="auto"/>
        <w:tabs>
          <w:tab w:leader="none" w:pos="19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70" w:lineRule="exact"/>
        <w:rPr>
          <w:rFonts w:ascii="Arial" w:cs="Arial" w:eastAsia="Arial" w:hAnsi="Arial"/>
          <w:sz w:val="18"/>
          <w:szCs w:val="18"/>
          <w:color w:val="auto"/>
        </w:rPr>
      </w:pPr>
    </w:p>
    <w:p>
      <w:pPr>
        <w:ind w:left="660" w:right="40" w:firstLine="645"/>
        <w:spacing w:after="0" w:line="308" w:lineRule="auto"/>
        <w:tabs>
          <w:tab w:leader="none" w:pos="1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46" w:lineRule="exact"/>
        <w:rPr>
          <w:rFonts w:ascii="Arial" w:cs="Arial" w:eastAsia="Arial" w:hAnsi="Arial"/>
          <w:sz w:val="17"/>
          <w:szCs w:val="17"/>
          <w:color w:val="auto"/>
        </w:rPr>
      </w:pPr>
    </w:p>
    <w:p>
      <w:pPr>
        <w:jc w:val="both"/>
        <w:ind w:left="660" w:right="20" w:firstLine="645"/>
        <w:spacing w:after="0" w:line="264" w:lineRule="auto"/>
        <w:tabs>
          <w:tab w:leader="none" w:pos="19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1300" w:right="20" w:firstLine="653"/>
        <w:spacing w:after="0" w:line="291" w:lineRule="auto"/>
        <w:tabs>
          <w:tab w:leader="none" w:pos="2618"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67" w:lineRule="exact"/>
        <w:rPr>
          <w:rFonts w:ascii="Arial" w:cs="Arial" w:eastAsia="Arial" w:hAnsi="Arial"/>
          <w:sz w:val="16"/>
          <w:szCs w:val="16"/>
          <w:color w:val="auto"/>
        </w:rPr>
      </w:pPr>
    </w:p>
    <w:p>
      <w:pPr>
        <w:ind w:left="1300" w:right="120" w:firstLine="653"/>
        <w:spacing w:after="0" w:line="264" w:lineRule="auto"/>
        <w:tabs>
          <w:tab w:leader="none" w:pos="2627"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person is or becomes a “beneficial owner” (as defined in Rule 13d-3 under the 1934 Act), directly or indirectly, of either (A) 35% or more of the then-outstanding shares of common stock of the Company (“Company Common Stock”) or (B) securities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80"/>
        <w:spacing w:after="0" w:line="297" w:lineRule="auto"/>
        <w:rPr>
          <w:sz w:val="20"/>
          <w:szCs w:val="20"/>
          <w:color w:val="auto"/>
        </w:rPr>
      </w:pPr>
      <w:r>
        <w:rPr>
          <w:rFonts w:ascii="Arial" w:cs="Arial" w:eastAsia="Arial" w:hAnsi="Arial"/>
          <w:sz w:val="16"/>
          <w:szCs w:val="16"/>
          <w:color w:val="auto"/>
        </w:rPr>
        <w:t xml:space="preserve">representing 35% or more of the combined voting power of the Company’s then outstanding securities eligible to vote for the election of directors (the “Company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58" w:lineRule="exact"/>
        <w:rPr>
          <w:sz w:val="20"/>
          <w:szCs w:val="20"/>
          <w:color w:val="auto"/>
        </w:rPr>
      </w:pPr>
    </w:p>
    <w:p>
      <w:pPr>
        <w:ind w:left="1300" w:right="40" w:firstLine="653"/>
        <w:spacing w:after="0" w:line="285" w:lineRule="auto"/>
        <w:tabs>
          <w:tab w:leader="none" w:pos="263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ectPr>
          <w:pgSz w:w="11900" w:h="16838" w:orient="portrait"/>
          <w:cols w:equalWidth="0" w:num="1">
            <w:col w:w="11420"/>
          </w:cols>
          <w:pgMar w:left="240" w:top="121" w:right="239" w:bottom="0" w:gutter="0" w:footer="0" w:header="0"/>
        </w:sectPr>
      </w:pPr>
    </w:p>
    <w:bookmarkStart w:id="21" w:name="page22"/>
    <w:bookmarkEnd w:id="21"/>
    <w:p>
      <w:pPr>
        <w:ind w:left="1960" w:hanging="667"/>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includes a reference to the underlying final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color w:val="auto"/>
        </w:rPr>
      </w:pPr>
    </w:p>
    <w:p>
      <w:pPr>
        <w:ind w:left="1300" w:hanging="65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40" w:firstLine="645"/>
        <w:spacing w:after="0" w:line="254"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 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66" w:lineRule="exact"/>
        <w:rPr>
          <w:sz w:val="20"/>
          <w:szCs w:val="20"/>
          <w:color w:val="auto"/>
        </w:rPr>
      </w:pPr>
    </w:p>
    <w:p>
      <w:pPr>
        <w:ind w:left="1320" w:hanging="67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ind w:right="100" w:firstLine="645"/>
        <w:spacing w:after="0" w:line="255" w:lineRule="auto"/>
        <w:tabs>
          <w:tab w:leader="none" w:pos="1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18"/>
          <w:szCs w:val="18"/>
          <w:color w:val="auto"/>
        </w:rPr>
      </w:pPr>
    </w:p>
    <w:p>
      <w:pPr>
        <w:ind w:left="1320" w:hanging="67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225" w:lineRule="exact"/>
        <w:rPr>
          <w:rFonts w:ascii="Arial" w:cs="Arial" w:eastAsia="Arial" w:hAnsi="Arial"/>
          <w:sz w:val="18"/>
          <w:szCs w:val="18"/>
          <w:color w:val="auto"/>
        </w:rPr>
      </w:pPr>
    </w:p>
    <w:p>
      <w:pPr>
        <w:ind w:right="220" w:firstLine="645"/>
        <w:spacing w:after="0" w:line="277" w:lineRule="auto"/>
        <w:tabs>
          <w:tab w:leader="none" w:pos="13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70" w:lineRule="exact"/>
        <w:rPr>
          <w:rFonts w:ascii="Arial" w:cs="Arial" w:eastAsia="Arial" w:hAnsi="Arial"/>
          <w:sz w:val="18"/>
          <w:szCs w:val="18"/>
          <w:color w:val="auto"/>
        </w:rPr>
      </w:pPr>
    </w:p>
    <w:p>
      <w:pPr>
        <w:ind w:firstLine="645"/>
        <w:spacing w:after="0" w:line="291" w:lineRule="auto"/>
        <w:tabs>
          <w:tab w:leader="none" w:pos="1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or (iii) in the absence of an established market for the Stock, the Fair Market Value shall be determined in good faith by the Committee.</w:t>
      </w:r>
    </w:p>
    <w:p>
      <w:pPr>
        <w:spacing w:after="0" w:line="167" w:lineRule="exact"/>
        <w:rPr>
          <w:rFonts w:ascii="Arial" w:cs="Arial" w:eastAsia="Arial" w:hAnsi="Arial"/>
          <w:sz w:val="16"/>
          <w:szCs w:val="16"/>
          <w:color w:val="auto"/>
        </w:rPr>
      </w:pPr>
    </w:p>
    <w:p>
      <w:pPr>
        <w:ind w:left="1320" w:hanging="675"/>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48" w:lineRule="exact"/>
        <w:rPr>
          <w:rFonts w:ascii="Arial" w:cs="Arial" w:eastAsia="Arial" w:hAnsi="Arial"/>
          <w:sz w:val="16"/>
          <w:szCs w:val="16"/>
          <w:color w:val="auto"/>
        </w:rPr>
      </w:pPr>
    </w:p>
    <w:p>
      <w:pPr>
        <w:ind w:right="200" w:firstLine="645"/>
        <w:spacing w:after="0" w:line="264" w:lineRule="auto"/>
        <w:tabs>
          <w:tab w:leader="none" w:pos="1297"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“Incentive Stock Option” means an Option that is intended to be an incentive stock option and meets the requirements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422 of the Code or any successor provision thereto.</w:t>
      </w:r>
    </w:p>
    <w:p>
      <w:pPr>
        <w:spacing w:after="0" w:line="211" w:lineRule="exact"/>
        <w:rPr>
          <w:sz w:val="20"/>
          <w:szCs w:val="20"/>
          <w:color w:val="auto"/>
        </w:rPr>
      </w:pPr>
    </w:p>
    <w:p>
      <w:pPr>
        <w:ind w:left="1300" w:hanging="655"/>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48" w:lineRule="exact"/>
        <w:rPr>
          <w:rFonts w:ascii="Arial" w:cs="Arial" w:eastAsia="Arial" w:hAnsi="Arial"/>
          <w:sz w:val="16"/>
          <w:szCs w:val="16"/>
          <w:color w:val="auto"/>
        </w:rPr>
      </w:pPr>
    </w:p>
    <w:p>
      <w:pPr>
        <w:ind w:left="1300" w:hanging="65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645"/>
        <w:spacing w:after="0" w:line="277" w:lineRule="auto"/>
        <w:tabs>
          <w:tab w:leader="none" w:pos="1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ectPr>
          <w:pgSz w:w="11900" w:h="16838" w:orient="portrait"/>
          <w:cols w:equalWidth="0" w:num="1">
            <w:col w:w="10760"/>
          </w:cols>
          <w:pgMar w:left="900" w:top="341" w:right="239" w:bottom="0" w:gutter="0" w:footer="0" w:header="0"/>
        </w:sectPr>
      </w:pPr>
    </w:p>
    <w:bookmarkStart w:id="22" w:name="page23"/>
    <w:bookmarkEnd w:id="22"/>
    <w:p>
      <w:pPr>
        <w:ind w:left="660" w:right="340" w:firstLine="645"/>
        <w:spacing w:after="0" w:line="277" w:lineRule="auto"/>
        <w:tabs>
          <w:tab w:leader="none" w:pos="199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1" w:lineRule="exact"/>
        <w:rPr>
          <w:rFonts w:ascii="Arial" w:cs="Arial" w:eastAsia="Arial" w:hAnsi="Arial"/>
          <w:sz w:val="18"/>
          <w:szCs w:val="18"/>
          <w:color w:val="auto"/>
        </w:rPr>
      </w:pPr>
    </w:p>
    <w:p>
      <w:pPr>
        <w:ind w:left="660" w:right="20" w:firstLine="645"/>
        <w:spacing w:after="0" w:line="259" w:lineRule="auto"/>
        <w:tabs>
          <w:tab w:leader="none" w:pos="19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87" w:lineRule="exact"/>
        <w:rPr>
          <w:sz w:val="20"/>
          <w:szCs w:val="20"/>
          <w:color w:val="auto"/>
        </w:rPr>
      </w:pPr>
    </w:p>
    <w:p>
      <w:pPr>
        <w:ind w:left="660" w:right="240" w:firstLine="645"/>
        <w:spacing w:after="0" w:line="342" w:lineRule="auto"/>
        <w:tabs>
          <w:tab w:leader="none" w:pos="1966" w:val="left"/>
        </w:tabs>
        <w:numPr>
          <w:ilvl w:val="1"/>
          <w:numId w:val="14"/>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 14(d)(2) of the 1934 Act.</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225" w:lineRule="exact"/>
        <w:rPr>
          <w:rFonts w:ascii="Arial" w:cs="Arial" w:eastAsia="Arial" w:hAnsi="Arial"/>
          <w:sz w:val="18"/>
          <w:szCs w:val="18"/>
          <w:color w:val="auto"/>
        </w:rPr>
      </w:pPr>
    </w:p>
    <w:p>
      <w:pPr>
        <w:ind w:left="660" w:firstLine="645"/>
        <w:spacing w:after="0" w:line="277" w:lineRule="auto"/>
        <w:tabs>
          <w:tab w:leader="none" w:pos="19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170" w:lineRule="exact"/>
        <w:rPr>
          <w:rFonts w:ascii="Arial" w:cs="Arial" w:eastAsia="Arial" w:hAnsi="Arial"/>
          <w:sz w:val="18"/>
          <w:szCs w:val="18"/>
          <w:color w:val="auto"/>
        </w:rPr>
      </w:pPr>
    </w:p>
    <w:p>
      <w:pPr>
        <w:ind w:left="660" w:firstLine="645"/>
        <w:spacing w:after="0" w:line="308" w:lineRule="auto"/>
        <w:tabs>
          <w:tab w:leader="none" w:pos="1966" w:val="left"/>
        </w:tabs>
        <w:numPr>
          <w:ilvl w:val="1"/>
          <w:numId w:val="15"/>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46" w:lineRule="exact"/>
        <w:rPr>
          <w:rFonts w:ascii="Arial" w:cs="Arial" w:eastAsia="Arial" w:hAnsi="Arial"/>
          <w:sz w:val="17"/>
          <w:szCs w:val="17"/>
          <w:color w:val="auto"/>
        </w:rPr>
      </w:pPr>
    </w:p>
    <w:p>
      <w:pPr>
        <w:ind w:left="660" w:right="20" w:firstLine="645"/>
        <w:spacing w:after="0" w:line="277" w:lineRule="auto"/>
        <w:tabs>
          <w:tab w:leader="none" w:pos="1977" w:val="left"/>
        </w:tabs>
        <w:numPr>
          <w:ilvl w:val="1"/>
          <w:numId w:val="15"/>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forfeiture.</w:t>
      </w:r>
    </w:p>
    <w:p>
      <w:pPr>
        <w:spacing w:after="0" w:line="210" w:lineRule="exact"/>
        <w:rPr>
          <w:rFonts w:ascii="Arial" w:cs="Arial" w:eastAsia="Arial" w:hAnsi="Arial"/>
          <w:sz w:val="16"/>
          <w:szCs w:val="16"/>
          <w:color w:val="auto"/>
        </w:rPr>
      </w:pPr>
    </w:p>
    <w:p>
      <w:pPr>
        <w:ind w:left="660" w:right="420" w:firstLine="645"/>
        <w:spacing w:after="0" w:line="264" w:lineRule="auto"/>
        <w:tabs>
          <w:tab w:leader="none" w:pos="19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81" w:lineRule="exact"/>
        <w:rPr>
          <w:rFonts w:ascii="Arial" w:cs="Arial" w:eastAsia="Arial" w:hAnsi="Arial"/>
          <w:sz w:val="18"/>
          <w:szCs w:val="18"/>
          <w:color w:val="auto"/>
        </w:rPr>
      </w:pPr>
    </w:p>
    <w:p>
      <w:pPr>
        <w:ind w:left="660" w:right="220" w:firstLine="645"/>
        <w:spacing w:after="0" w:line="277" w:lineRule="auto"/>
        <w:tabs>
          <w:tab w:leader="none" w:pos="19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1987"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of the Company as may be substituted for Stock pursuant to Article 15.</w:t>
      </w:r>
    </w:p>
    <w:p>
      <w:pPr>
        <w:spacing w:after="0" w:line="225" w:lineRule="exact"/>
        <w:rPr>
          <w:sz w:val="20"/>
          <w:szCs w:val="20"/>
          <w:color w:val="auto"/>
        </w:rPr>
      </w:pPr>
    </w:p>
    <w:p>
      <w:pPr>
        <w:ind w:left="660" w:right="60" w:firstLine="645"/>
        <w:spacing w:after="0" w:line="264" w:lineRule="auto"/>
        <w:tabs>
          <w:tab w:leader="none" w:pos="19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81" w:lineRule="exact"/>
        <w:rPr>
          <w:rFonts w:ascii="Arial" w:cs="Arial" w:eastAsia="Arial" w:hAnsi="Arial"/>
          <w:sz w:val="18"/>
          <w:szCs w:val="18"/>
          <w:color w:val="auto"/>
        </w:rPr>
      </w:pPr>
    </w:p>
    <w:p>
      <w:pPr>
        <w:ind w:left="660" w:right="120" w:firstLine="645"/>
        <w:spacing w:after="0" w:line="264" w:lineRule="auto"/>
        <w:tabs>
          <w:tab w:leader="none" w:pos="20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effective as of the date it is approved by both the Board and the stockholders of the Company (the “Effective Date”).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PLAN</w:t>
      </w:r>
      <w:r>
        <w:rPr>
          <w:rFonts w:ascii="Arial" w:cs="Arial" w:eastAsia="Arial" w:hAnsi="Arial"/>
          <w:sz w:val="18"/>
          <w:szCs w:val="18"/>
          <w:color w:val="auto"/>
        </w:rPr>
        <w:t>.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ectPr>
          <w:pgSz w:w="11900" w:h="16838" w:orient="portrait"/>
          <w:cols w:equalWidth="0" w:num="1">
            <w:col w:w="11400"/>
          </w:cols>
          <w:pgMar w:left="240" w:top="125" w:right="259" w:bottom="139" w:gutter="0" w:footer="0" w:header="0"/>
        </w:sectPr>
      </w:pPr>
    </w:p>
    <w:bookmarkStart w:id="23" w:name="page24"/>
    <w:bookmarkEnd w:id="23"/>
    <w:p>
      <w:pPr>
        <w:ind w:firstLine="648"/>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COMMITTEE</w:t>
      </w:r>
      <w:r>
        <w:rPr>
          <w:rFonts w:ascii="Arial" w:cs="Arial" w:eastAsia="Arial" w:hAnsi="Arial"/>
          <w:sz w:val="17"/>
          <w:szCs w:val="17"/>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ACTION AND INTERPRETATIONS BY THE COMMITTEE</w:t>
      </w:r>
      <w:r>
        <w:rPr>
          <w:rFonts w:ascii="Arial" w:cs="Arial" w:eastAsia="Arial" w:hAnsi="Arial"/>
          <w:sz w:val="16"/>
          <w:szCs w:val="16"/>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AUTHORITY OF COMMITTEE</w:t>
      </w:r>
      <w:r>
        <w:rPr>
          <w:rFonts w:ascii="Arial" w:cs="Arial" w:eastAsia="Arial" w:hAnsi="Arial"/>
          <w:sz w:val="16"/>
          <w:szCs w:val="16"/>
          <w:color w:val="auto"/>
        </w:rPr>
        <w:t>. Except as provided below, the Committee has the exclusive power, authority and discretion to:</w:t>
      </w:r>
    </w:p>
    <w:p>
      <w:pPr>
        <w:spacing w:after="0" w:line="225"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36" w:lineRule="exact"/>
        <w:rPr>
          <w:rFonts w:ascii="Arial" w:cs="Arial" w:eastAsia="Arial" w:hAnsi="Arial"/>
          <w:sz w:val="17"/>
          <w:szCs w:val="17"/>
          <w:color w:val="auto"/>
        </w:rPr>
      </w:pPr>
    </w:p>
    <w:p>
      <w:pPr>
        <w:ind w:left="660" w:right="220" w:firstLine="645"/>
        <w:spacing w:after="0" w:line="259" w:lineRule="auto"/>
        <w:tabs>
          <w:tab w:leader="none" w:pos="19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6" w:lineRule="exact"/>
        <w:rPr>
          <w:rFonts w:ascii="Arial" w:cs="Arial" w:eastAsia="Arial" w:hAnsi="Arial"/>
          <w:sz w:val="18"/>
          <w:szCs w:val="18"/>
          <w:color w:val="auto"/>
        </w:rPr>
      </w:pPr>
    </w:p>
    <w:p>
      <w:pPr>
        <w:ind w:left="660" w:right="280" w:firstLine="645"/>
        <w:spacing w:after="0" w:line="277" w:lineRule="auto"/>
        <w:tabs>
          <w:tab w:leader="none" w:pos="1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70" w:lineRule="exact"/>
        <w:rPr>
          <w:rFonts w:ascii="Arial" w:cs="Arial" w:eastAsia="Arial" w:hAnsi="Arial"/>
          <w:sz w:val="18"/>
          <w:szCs w:val="18"/>
          <w:color w:val="auto"/>
        </w:rPr>
      </w:pPr>
    </w:p>
    <w:p>
      <w:pPr>
        <w:ind w:left="660" w:right="180" w:firstLine="645"/>
        <w:spacing w:after="0" w:line="308" w:lineRule="auto"/>
        <w:tabs>
          <w:tab w:leader="none" w:pos="19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660" w:right="640" w:firstLine="645"/>
        <w:spacing w:after="0" w:line="277"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ind w:left="660" w:right="260" w:firstLine="645"/>
        <w:spacing w:after="0" w:line="264" w:lineRule="auto"/>
        <w:tabs>
          <w:tab w:leader="none" w:pos="19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the above, the Board or the Committee may, by resolution, expressly delegate to a special 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w:t>
      </w:r>
    </w:p>
    <w:p>
      <w:pPr>
        <w:sectPr>
          <w:pgSz w:w="11900" w:h="16838" w:orient="portrait"/>
          <w:cols w:equalWidth="0" w:num="1">
            <w:col w:w="11360"/>
          </w:cols>
          <w:pgMar w:left="240" w:top="125" w:right="299" w:bottom="165" w:gutter="0" w:footer="0" w:header="0"/>
        </w:sectPr>
      </w:pP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65" w:gutter="0" w:footer="0" w:header="0"/>
          <w:type w:val="continuous"/>
        </w:sectPr>
      </w:pPr>
    </w:p>
    <w:bookmarkStart w:id="24" w:name="page25"/>
    <w:bookmarkEnd w:id="24"/>
    <w:p>
      <w:pPr>
        <w:jc w:val="both"/>
        <w:ind w:right="80"/>
        <w:spacing w:after="0" w:line="264" w:lineRule="auto"/>
        <w:rPr>
          <w:sz w:val="20"/>
          <w:szCs w:val="20"/>
          <w:color w:val="auto"/>
        </w:rPr>
      </w:pPr>
      <w:r>
        <w:rPr>
          <w:rFonts w:ascii="Arial" w:cs="Arial" w:eastAsia="Arial" w:hAnsi="Arial"/>
          <w:sz w:val="18"/>
          <w:szCs w:val="18"/>
          <w:color w:val="auto"/>
        </w:rPr>
        <w:t>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14,000,000;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SHARE COUNTING</w:t>
      </w:r>
      <w:r>
        <w:rPr>
          <w:rFonts w:ascii="Arial" w:cs="Arial" w:eastAsia="Arial" w:hAnsi="Arial"/>
          <w:sz w:val="17"/>
          <w:szCs w:val="17"/>
          <w:color w:val="auto"/>
        </w:rPr>
        <w:t>.</w:t>
      </w:r>
    </w:p>
    <w:p>
      <w:pPr>
        <w:spacing w:after="0" w:line="225" w:lineRule="exact"/>
        <w:rPr>
          <w:sz w:val="20"/>
          <w:szCs w:val="20"/>
          <w:color w:val="auto"/>
        </w:rPr>
      </w:pPr>
    </w:p>
    <w:p>
      <w:pPr>
        <w:ind w:left="660" w:right="240" w:firstLine="645"/>
        <w:spacing w:after="0" w:line="277" w:lineRule="auto"/>
        <w:tabs>
          <w:tab w:leader="none" w:pos="19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Shares subject to the Award will again be available for issuance pursuant to Awards granted under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Shares subject to Awards settled in cash will again be available for issuance pursuant to Awards granted under the Plan.</w:t>
      </w:r>
    </w:p>
    <w:p>
      <w:pPr>
        <w:spacing w:after="0" w:line="236" w:lineRule="exact"/>
        <w:rPr>
          <w:rFonts w:ascii="Arial" w:cs="Arial" w:eastAsia="Arial" w:hAnsi="Arial"/>
          <w:sz w:val="17"/>
          <w:szCs w:val="17"/>
          <w:color w:val="auto"/>
        </w:rPr>
      </w:pPr>
    </w:p>
    <w:p>
      <w:pPr>
        <w:ind w:left="660" w:right="20" w:firstLine="645"/>
        <w:spacing w:after="0" w:line="259" w:lineRule="auto"/>
        <w:tabs>
          <w:tab w:leader="none" w:pos="19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86" w:lineRule="exact"/>
        <w:rPr>
          <w:rFonts w:ascii="Arial" w:cs="Arial" w:eastAsia="Arial" w:hAnsi="Arial"/>
          <w:sz w:val="18"/>
          <w:szCs w:val="18"/>
          <w:color w:val="auto"/>
        </w:rPr>
      </w:pPr>
    </w:p>
    <w:p>
      <w:pPr>
        <w:jc w:val="both"/>
        <w:ind w:left="660" w:right="40" w:firstLine="645"/>
        <w:spacing w:after="0" w:line="302" w:lineRule="auto"/>
        <w:tabs>
          <w:tab w:leader="none" w:pos="19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25" w:lineRule="exact"/>
        <w:rPr>
          <w:sz w:val="20"/>
          <w:szCs w:val="20"/>
          <w:color w:val="auto"/>
        </w:rPr>
      </w:pPr>
    </w:p>
    <w:p>
      <w:pPr>
        <w:ind w:left="660" w:right="520" w:firstLine="645"/>
        <w:spacing w:after="0" w:line="277" w:lineRule="auto"/>
        <w:tabs>
          <w:tab w:leader="none" w:pos="196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under an Option shall be determined by the Committee; provided that the exercise price for any Option shall not be less than the Fair Market Value as of the Grant Date.</w:t>
      </w:r>
    </w:p>
    <w:p>
      <w:pPr>
        <w:spacing w:after="0" w:line="170" w:lineRule="exact"/>
        <w:rPr>
          <w:rFonts w:ascii="Arial" w:cs="Arial" w:eastAsia="Arial" w:hAnsi="Arial"/>
          <w:sz w:val="18"/>
          <w:szCs w:val="18"/>
          <w:color w:val="auto"/>
        </w:rPr>
      </w:pPr>
    </w:p>
    <w:p>
      <w:pPr>
        <w:ind w:left="660" w:firstLine="645"/>
        <w:spacing w:after="0" w:line="255" w:lineRule="auto"/>
        <w:tabs>
          <w:tab w:leader="none" w:pos="196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3" w:lineRule="exact"/>
        <w:rPr>
          <w:rFonts w:ascii="Arial" w:cs="Arial" w:eastAsia="Arial" w:hAnsi="Arial"/>
          <w:sz w:val="18"/>
          <w:szCs w:val="18"/>
          <w:color w:val="auto"/>
        </w:rPr>
      </w:pPr>
    </w:p>
    <w:p>
      <w:pPr>
        <w:ind w:left="660" w:right="40" w:firstLine="645"/>
        <w:spacing w:after="0" w:line="276" w:lineRule="auto"/>
        <w:tabs>
          <w:tab w:leader="none" w:pos="1967"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EXERCISE TERM</w:t>
      </w:r>
      <w:r>
        <w:rPr>
          <w:rFonts w:ascii="Arial" w:cs="Arial" w:eastAsia="Arial" w:hAnsi="Arial"/>
          <w:sz w:val="18"/>
          <w:szCs w:val="18"/>
          <w:color w:val="auto"/>
        </w:rPr>
        <w:t>. In no event may any Option be exercisable for more than ten years from the Grant Date.</w:t>
      </w:r>
    </w:p>
    <w:p>
      <w:pPr>
        <w:sectPr>
          <w:pgSz w:w="11900" w:h="16838" w:orient="portrait"/>
          <w:cols w:equalWidth="0" w:num="1">
            <w:col w:w="11400"/>
          </w:cols>
          <w:pgMar w:left="240" w:top="341" w:right="259" w:bottom="154" w:gutter="0" w:footer="0" w:header="0"/>
        </w:sectPr>
      </w:pPr>
    </w:p>
    <w:bookmarkStart w:id="25" w:name="page26"/>
    <w:bookmarkEnd w:id="25"/>
    <w:p>
      <w:pPr>
        <w:ind w:left="660" w:right="120" w:firstLine="645"/>
        <w:spacing w:after="0" w:line="259" w:lineRule="auto"/>
        <w:tabs>
          <w:tab w:leader="none" w:pos="196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SUSPENSION</w:t>
      </w:r>
      <w:r>
        <w:rPr>
          <w:rFonts w:ascii="Arial" w:cs="Arial" w:eastAsia="Arial" w:hAnsi="Arial"/>
          <w:sz w:val="18"/>
          <w:szCs w:val="18"/>
          <w:i w:val="1"/>
          <w:iCs w:val="1"/>
          <w:color w:val="auto"/>
        </w:rPr>
        <w:t>.</w:t>
      </w:r>
      <w:r>
        <w:rPr>
          <w:rFonts w:ascii="Arial" w:cs="Arial" w:eastAsia="Arial" w:hAnsi="Arial"/>
          <w:sz w:val="18"/>
          <w:szCs w:val="18"/>
          <w:color w:val="auto"/>
        </w:rPr>
        <w:t xml:space="preserve"> Any Participant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The terms of any Incentive Stock Options granted under the Plan must comply with the following additional rules:</w:t>
      </w:r>
    </w:p>
    <w:p>
      <w:pPr>
        <w:spacing w:after="0" w:line="170" w:lineRule="exact"/>
        <w:rPr>
          <w:sz w:val="20"/>
          <w:szCs w:val="20"/>
          <w:color w:val="auto"/>
        </w:rPr>
      </w:pPr>
    </w:p>
    <w:p>
      <w:pPr>
        <w:ind w:left="1960" w:hanging="655"/>
        <w:spacing w:after="0"/>
        <w:tabs>
          <w:tab w:leader="none" w:pos="19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the Fair Market Value as of the Grant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right="160" w:firstLine="645"/>
        <w:spacing w:after="0" w:line="25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LAPSE OF OPTION</w:t>
      </w:r>
      <w:r>
        <w:rPr>
          <w:rFonts w:ascii="Arial" w:cs="Arial" w:eastAsia="Arial" w:hAnsi="Arial"/>
          <w:sz w:val="18"/>
          <w:szCs w:val="18"/>
          <w:color w:val="auto"/>
        </w:rPr>
        <w:t>.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88" w:lineRule="exact"/>
        <w:rPr>
          <w:rFonts w:ascii="Arial" w:cs="Arial" w:eastAsia="Arial" w:hAnsi="Arial"/>
          <w:sz w:val="18"/>
          <w:szCs w:val="18"/>
          <w:color w:val="auto"/>
        </w:rPr>
      </w:pPr>
    </w:p>
    <w:p>
      <w:pPr>
        <w:ind w:left="2620" w:hanging="667"/>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225" w:lineRule="exact"/>
        <w:rPr>
          <w:rFonts w:ascii="Arial" w:cs="Arial" w:eastAsia="Arial" w:hAnsi="Arial"/>
          <w:sz w:val="18"/>
          <w:szCs w:val="18"/>
          <w:color w:val="auto"/>
        </w:rPr>
      </w:pPr>
    </w:p>
    <w:p>
      <w:pPr>
        <w:ind w:left="1300" w:right="540" w:firstLine="653"/>
        <w:spacing w:after="0" w:line="277" w:lineRule="auto"/>
        <w:tabs>
          <w:tab w:leader="none" w:pos="26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Three months after termination of the Participant’s Continuous Status as a Participant for any reason other than the Participant’s Disability or death.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20" w:hanging="667"/>
        <w:spacing w:after="0"/>
        <w:tabs>
          <w:tab w:leader="none" w:pos="2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225" w:lineRule="exact"/>
        <w:rPr>
          <w:rFonts w:ascii="Arial" w:cs="Arial" w:eastAsia="Arial" w:hAnsi="Arial"/>
          <w:sz w:val="18"/>
          <w:szCs w:val="18"/>
          <w:color w:val="auto"/>
        </w:rPr>
      </w:pPr>
    </w:p>
    <w:p>
      <w:pPr>
        <w:ind w:left="1300" w:right="60" w:firstLine="653"/>
        <w:spacing w:after="0" w:line="342" w:lineRule="auto"/>
        <w:tabs>
          <w:tab w:leader="none" w:pos="2617"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24"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87" w:lineRule="exact"/>
        <w:rPr>
          <w:sz w:val="20"/>
          <w:szCs w:val="20"/>
          <w:color w:val="auto"/>
        </w:rPr>
      </w:pPr>
    </w:p>
    <w:p>
      <w:pPr>
        <w:ind w:left="660" w:right="240" w:firstLine="645"/>
        <w:spacing w:after="0" w:line="308" w:lineRule="auto"/>
        <w:tabs>
          <w:tab w:leader="none" w:pos="1967"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INDIVIDUAL DOLLAR LIMITATION</w:t>
      </w:r>
      <w:r>
        <w:rPr>
          <w:rFonts w:ascii="Arial" w:cs="Arial" w:eastAsia="Arial" w:hAnsi="Arial"/>
          <w:sz w:val="17"/>
          <w:szCs w:val="17"/>
          <w:color w:val="auto"/>
        </w:rPr>
        <w:t>. The aggregate Fair Market Value (determined as of the Grant Date) of all Shares with respect to which Incentive Stock Options are first exercisable by a Participant in any calendar year may not exceed $100,000.00.</w:t>
      </w:r>
    </w:p>
    <w:p>
      <w:pPr>
        <w:spacing w:after="0" w:line="146" w:lineRule="exact"/>
        <w:rPr>
          <w:rFonts w:ascii="Arial" w:cs="Arial" w:eastAsia="Arial" w:hAnsi="Arial"/>
          <w:sz w:val="17"/>
          <w:szCs w:val="17"/>
          <w:color w:val="auto"/>
        </w:rPr>
      </w:pPr>
    </w:p>
    <w:p>
      <w:pPr>
        <w:ind w:left="660" w:firstLine="645"/>
        <w:spacing w:after="0" w:line="259"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6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EXPIRATION OF AUTHORITY TO GRANT INCENTIVE STOCK OPTIONS</w:t>
      </w:r>
      <w:r>
        <w:rPr>
          <w:rFonts w:ascii="Arial" w:cs="Arial" w:eastAsia="Arial" w:hAnsi="Arial"/>
          <w:sz w:val="18"/>
          <w:szCs w:val="18"/>
          <w:color w:val="auto"/>
        </w:rPr>
        <w:t>. No Incentive Stock Option may be granted pursuant to the Plan after the day immediately prior to the tenth anniversary of the date the Plan was adopted by the Board, or the termination of the Plan, if earlier.</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7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Stock Option may be exercised only by the Participant or, in the case of the Participant’s Disability, by the Participant’s guardian or legal representative.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 The Committee may not grant an Incentive Stock Option to a person who is not at the Grant Date an employee of the Company or a Parent or Subsidiary.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Stock Appreciation Rights to Participants on the following terms and conditions:</w:t>
      </w:r>
    </w:p>
    <w:p>
      <w:pPr>
        <w:spacing w:after="0" w:line="170" w:lineRule="exact"/>
        <w:rPr>
          <w:sz w:val="20"/>
          <w:szCs w:val="20"/>
          <w:color w:val="auto"/>
        </w:rPr>
      </w:pPr>
    </w:p>
    <w:p>
      <w:pPr>
        <w:ind w:left="660" w:right="280" w:firstLine="645"/>
        <w:spacing w:after="0" w:line="277" w:lineRule="auto"/>
        <w:tabs>
          <w:tab w:leader="none" w:pos="196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 TO PAYMENT</w:t>
      </w:r>
      <w:r>
        <w:rPr>
          <w:rFonts w:ascii="Arial" w:cs="Arial" w:eastAsia="Arial" w:hAnsi="Arial"/>
          <w:sz w:val="18"/>
          <w:szCs w:val="18"/>
          <w:color w:val="auto"/>
        </w:rPr>
        <w:t>. Upon the exercise of a Stock Appreciation Right, the Participant to whom it is granted has the right to receive the excess, if any,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300" w:right="340" w:firstLine="653"/>
        <w:spacing w:after="0" w:line="277" w:lineRule="auto"/>
        <w:tabs>
          <w:tab w:leader="none" w:pos="261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70" w:lineRule="exact"/>
        <w:rPr>
          <w:rFonts w:ascii="Arial" w:cs="Arial" w:eastAsia="Arial" w:hAnsi="Arial"/>
          <w:sz w:val="18"/>
          <w:szCs w:val="18"/>
          <w:color w:val="auto"/>
        </w:rPr>
      </w:pPr>
    </w:p>
    <w:p>
      <w:pPr>
        <w:jc w:val="both"/>
        <w:ind w:left="660" w:right="260" w:firstLine="645"/>
        <w:spacing w:after="0" w:line="312" w:lineRule="auto"/>
        <w:tabs>
          <w:tab w:leader="none" w:pos="196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OTHER TERMS</w:t>
      </w:r>
      <w:r>
        <w:rPr>
          <w:rFonts w:ascii="Arial" w:cs="Arial" w:eastAsia="Arial" w:hAnsi="Arial"/>
          <w:sz w:val="16"/>
          <w:szCs w:val="16"/>
          <w:color w:val="auto"/>
        </w:rPr>
        <w:t>.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21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GRANT OF PERFORMANCE SHARES</w:t>
      </w:r>
      <w:r>
        <w:rPr>
          <w:rFonts w:ascii="Arial" w:cs="Arial" w:eastAsia="Arial" w:hAnsi="Arial"/>
          <w:sz w:val="17"/>
          <w:szCs w:val="17"/>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20" w:firstLine="8"/>
        <w:spacing w:after="0" w:line="261"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RIGHT TO PAYMENT</w:t>
      </w:r>
      <w:r>
        <w:rPr>
          <w:rFonts w:ascii="Arial" w:cs="Arial" w:eastAsia="Arial" w:hAnsi="Arial"/>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RESTRICTED STOCK AND RESTRICTED STOCK UNITS</w:t>
      </w:r>
      <w:r>
        <w:rPr>
          <w:rFonts w:ascii="Arial" w:cs="Arial" w:eastAsia="Arial" w:hAnsi="Arial"/>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7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9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ectPr>
          <w:pgSz w:w="11900" w:h="16838" w:orient="portrait"/>
          <w:cols w:equalWidth="0" w:num="1">
            <w:col w:w="11400"/>
          </w:cols>
          <w:pgMar w:left="240" w:top="580" w:right="259" w:bottom="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29"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GRANT OF DEFERRED STOCK UNITS</w:t>
      </w:r>
      <w:r>
        <w:rPr>
          <w:rFonts w:ascii="Arial" w:cs="Arial" w:eastAsia="Arial" w:hAnsi="Arial"/>
          <w:sz w:val="17"/>
          <w:szCs w:val="17"/>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GRANT OF DIVIDEND EQUIVALENTS</w:t>
      </w:r>
      <w:r>
        <w:rPr>
          <w:rFonts w:ascii="Arial" w:cs="Arial" w:eastAsia="Arial" w:hAnsi="Arial"/>
          <w:sz w:val="16"/>
          <w:szCs w:val="16"/>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GRANT OF STOCK OR OTHER STOCK-BASED AWARDS</w:t>
      </w:r>
      <w:r>
        <w:rPr>
          <w:rFonts w:ascii="Arial" w:cs="Arial" w:eastAsia="Arial" w:hAnsi="Arial"/>
          <w:sz w:val="17"/>
          <w:szCs w:val="17"/>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STAND-ALONE AND TANDEM AWARDS</w:t>
      </w:r>
      <w:r>
        <w:rPr>
          <w:rFonts w:ascii="Arial" w:cs="Arial" w:eastAsia="Arial" w:hAnsi="Arial"/>
          <w:sz w:val="17"/>
          <w:szCs w:val="17"/>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FORM OF PAYMENT FOR AWARDS</w:t>
      </w:r>
      <w:r>
        <w:rPr>
          <w:rFonts w:ascii="Arial" w:cs="Arial" w:eastAsia="Arial" w:hAnsi="Arial"/>
          <w:sz w:val="16"/>
          <w:szCs w:val="16"/>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LIMITS ON TRANSFER</w:t>
      </w:r>
      <w:r>
        <w:rPr>
          <w:rFonts w:ascii="Arial" w:cs="Arial" w:eastAsia="Arial" w:hAnsi="Arial"/>
          <w:sz w:val="17"/>
          <w:szCs w:val="17"/>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STOCK CERTIFICATES</w:t>
      </w:r>
      <w:r>
        <w:rPr>
          <w:rFonts w:ascii="Arial" w:cs="Arial" w:eastAsia="Arial" w:hAnsi="Arial"/>
          <w:sz w:val="18"/>
          <w:szCs w:val="18"/>
          <w:color w:val="auto"/>
        </w:rPr>
        <w:t>.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8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ACCELERATION UPON A CHANGE IN CONTROL</w:t>
      </w:r>
      <w:r>
        <w:rPr>
          <w:rFonts w:ascii="Arial" w:cs="Arial" w:eastAsia="Arial" w:hAnsi="Arial"/>
          <w:sz w:val="18"/>
          <w:szCs w:val="18"/>
          <w:color w:val="auto"/>
        </w:rPr>
        <w:t>. Except as otherwise provided in the Award Certificate or any special Plan document governing an Award, upon the occurrence of a Change in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586" w:gutter="0" w:footer="0" w:header="0"/>
        </w:sectPr>
      </w:pPr>
    </w:p>
    <w:bookmarkStart w:id="28" w:name="page29"/>
    <w:bookmarkEnd w:id="28"/>
    <w:p>
      <w:pPr>
        <w:ind w:right="100"/>
        <w:spacing w:after="0" w:line="273" w:lineRule="auto"/>
        <w:rPr>
          <w:sz w:val="20"/>
          <w:szCs w:val="20"/>
          <w:color w:val="auto"/>
        </w:rPr>
      </w:pPr>
      <w:r>
        <w:rPr>
          <w:rFonts w:ascii="Arial" w:cs="Arial" w:eastAsia="Arial" w:hAnsi="Arial"/>
          <w:sz w:val="17"/>
          <w:szCs w:val="17"/>
          <w:color w:val="auto"/>
        </w:rPr>
        <w:t>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 rata payout to Participants within thirty (30) days following the effective date of the Change in Control based upon the length of time within the performance period that has elapsed prior to the Change in Control.</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ACCELERATION UPON DEATH OR DISABILITY</w:t>
      </w:r>
      <w:r>
        <w:rPr>
          <w:rFonts w:ascii="Arial" w:cs="Arial" w:eastAsia="Arial" w:hAnsi="Arial"/>
          <w:sz w:val="16"/>
          <w:szCs w:val="16"/>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 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ACCELERATION FOR ANY OTHER REASON</w:t>
      </w:r>
      <w:r>
        <w:rPr>
          <w:rFonts w:ascii="Arial" w:cs="Arial" w:eastAsia="Arial" w:hAnsi="Arial"/>
          <w:sz w:val="17"/>
          <w:szCs w:val="17"/>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EFFECT OF ACCELERATION</w:t>
      </w:r>
      <w:r>
        <w:rPr>
          <w:rFonts w:ascii="Arial" w:cs="Arial" w:eastAsia="Arial" w:hAnsi="Arial"/>
          <w:sz w:val="17"/>
          <w:szCs w:val="17"/>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7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u w:val="single" w:color="auto"/>
          <w:color w:val="auto"/>
        </w:rPr>
        <w:t>QUALIFIED PERFORMANCE-BASED AWARDS</w:t>
      </w:r>
      <w:r>
        <w:rPr>
          <w:rFonts w:ascii="Arial" w:cs="Arial" w:eastAsia="Arial" w:hAnsi="Arial"/>
          <w:sz w:val="17"/>
          <w:szCs w:val="17"/>
          <w:color w:val="auto"/>
        </w:rPr>
        <w:t>.</w:t>
      </w:r>
    </w:p>
    <w:p>
      <w:pPr>
        <w:spacing w:after="0" w:line="225" w:lineRule="exact"/>
        <w:rPr>
          <w:sz w:val="20"/>
          <w:szCs w:val="20"/>
          <w:color w:val="auto"/>
        </w:rPr>
      </w:pPr>
    </w:p>
    <w:p>
      <w:pPr>
        <w:ind w:left="660" w:right="20" w:firstLine="645"/>
        <w:spacing w:after="0" w:line="277" w:lineRule="auto"/>
        <w:tabs>
          <w:tab w:leader="none" w:pos="19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the exercise or base price of such Award is not less than the Fair Market Value of the Shares on the Grant Date.</w:t>
      </w:r>
    </w:p>
    <w:p>
      <w:pPr>
        <w:spacing w:after="0" w:line="225" w:lineRule="exact"/>
        <w:rPr>
          <w:sz w:val="20"/>
          <w:szCs w:val="20"/>
          <w:color w:val="auto"/>
        </w:rPr>
      </w:pPr>
    </w:p>
    <w:p>
      <w:pPr>
        <w:ind w:left="660" w:right="20" w:firstLine="645"/>
        <w:spacing w:after="0" w:line="255" w:lineRule="auto"/>
        <w:tabs>
          <w:tab w:leader="none" w:pos="19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98" w:lineRule="exact"/>
        <w:rPr>
          <w:sz w:val="20"/>
          <w:szCs w:val="20"/>
          <w:color w:val="auto"/>
        </w:rPr>
      </w:pPr>
    </w:p>
    <w:p>
      <w:pPr>
        <w:ind w:left="1940" w:hanging="635"/>
        <w:spacing w:after="0"/>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Costs and expenses, including Research &amp; Development and Selling, General &amp; Administrative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0" w:lineRule="exact"/>
        <w:rPr>
          <w:rFonts w:ascii="Arial" w:cs="Arial" w:eastAsia="Arial" w:hAnsi="Arial"/>
          <w:sz w:val="22"/>
          <w:szCs w:val="22"/>
          <w:color w:val="auto"/>
        </w:rPr>
      </w:pPr>
    </w:p>
    <w:p>
      <w:pPr>
        <w:ind w:left="1940" w:hanging="635"/>
        <w:spacing w:after="0" w:line="231" w:lineRule="auto"/>
        <w:tabs>
          <w:tab w:leader="none" w:pos="1940" w:val="left"/>
        </w:tabs>
        <w:numPr>
          <w:ilvl w:val="0"/>
          <w:numId w:val="29"/>
        </w:numPr>
        <w:rPr>
          <w:rFonts w:ascii="Arial" w:cs="Arial" w:eastAsia="Arial" w:hAnsi="Arial"/>
          <w:sz w:val="21"/>
          <w:szCs w:val="21"/>
          <w:color w:val="auto"/>
        </w:rPr>
      </w:pPr>
      <w:r>
        <w:rPr>
          <w:rFonts w:ascii="Arial" w:cs="Arial" w:eastAsia="Arial" w:hAnsi="Arial"/>
          <w:sz w:val="17"/>
          <w:szCs w:val="17"/>
          <w:color w:val="auto"/>
        </w:rPr>
        <w:t>Earnings, including before interest, taxes, depreciation and amortization (whether in the aggregate or on a per share basis</w:t>
      </w:r>
    </w:p>
    <w:p>
      <w:pPr>
        <w:spacing w:after="0" w:line="10" w:lineRule="exact"/>
        <w:rPr>
          <w:rFonts w:ascii="Arial" w:cs="Arial" w:eastAsia="Arial" w:hAnsi="Arial"/>
          <w:sz w:val="21"/>
          <w:szCs w:val="21"/>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Return on investment, capital, equity</w:t>
      </w:r>
    </w:p>
    <w:p>
      <w:pPr>
        <w:spacing w:after="0" w:line="12" w:lineRule="exact"/>
        <w:rPr>
          <w:rFonts w:ascii="Arial" w:cs="Arial" w:eastAsia="Arial" w:hAnsi="Arial"/>
          <w:sz w:val="22"/>
          <w:szCs w:val="22"/>
          <w:color w:val="auto"/>
        </w:rPr>
      </w:pPr>
    </w:p>
    <w:p>
      <w:pPr>
        <w:ind w:left="1960" w:right="840" w:hanging="655"/>
        <w:spacing w:after="0" w:line="232" w:lineRule="auto"/>
        <w:tabs>
          <w:tab w:leader="none" w:pos="19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4" w:lineRule="exact"/>
        <w:rPr>
          <w:rFonts w:ascii="Arial" w:cs="Arial" w:eastAsia="Arial" w:hAnsi="Arial"/>
          <w:sz w:val="22"/>
          <w:szCs w:val="22"/>
          <w:color w:val="auto"/>
        </w:rPr>
      </w:pPr>
    </w:p>
    <w:p>
      <w:pPr>
        <w:ind w:left="1960" w:right="120" w:hanging="655"/>
        <w:spacing w:after="0" w:line="232" w:lineRule="auto"/>
        <w:tabs>
          <w:tab w:leader="none" w:pos="19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22"/>
          <w:szCs w:val="22"/>
          <w:color w:val="auto"/>
        </w:rPr>
      </w:pPr>
    </w:p>
    <w:p>
      <w:pPr>
        <w:ind w:left="1940" w:hanging="635"/>
        <w:spacing w:after="0" w:line="230"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w:t>
      </w:r>
    </w:p>
    <w:p>
      <w:pPr>
        <w:spacing w:after="0" w:line="12" w:lineRule="exact"/>
        <w:rPr>
          <w:rFonts w:ascii="Arial" w:cs="Arial" w:eastAsia="Arial" w:hAnsi="Arial"/>
          <w:sz w:val="22"/>
          <w:szCs w:val="22"/>
          <w:color w:val="auto"/>
        </w:rPr>
      </w:pPr>
    </w:p>
    <w:p>
      <w:pPr>
        <w:ind w:left="1960" w:right="400" w:hanging="655"/>
        <w:spacing w:after="0" w:line="297" w:lineRule="auto"/>
        <w:tabs>
          <w:tab w:leader="none" w:pos="19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w:t>
      </w:r>
    </w:p>
    <w:p>
      <w:pPr>
        <w:sectPr>
          <w:pgSz w:w="11900" w:h="16838" w:orient="portrait"/>
          <w:cols w:equalWidth="0" w:num="1">
            <w:col w:w="11420"/>
          </w:cols>
          <w:pgMar w:left="240" w:top="125" w:right="239" w:bottom="0" w:gutter="0" w:footer="0" w:header="0"/>
        </w:sectPr>
      </w:pPr>
    </w:p>
    <w:bookmarkStart w:id="29" w:name="page30"/>
    <w:bookmarkEnd w:id="29"/>
    <w:p>
      <w:pPr>
        <w:ind w:left="1960"/>
        <w:spacing w:after="0"/>
        <w:rPr>
          <w:sz w:val="20"/>
          <w:szCs w:val="20"/>
          <w:color w:val="auto"/>
        </w:rPr>
      </w:pPr>
      <w:r>
        <w:rPr>
          <w:rFonts w:ascii="Arial" w:cs="Arial" w:eastAsia="Arial" w:hAnsi="Arial"/>
          <w:sz w:val="18"/>
          <w:szCs w:val="18"/>
          <w:color w:val="auto"/>
        </w:rPr>
        <w:t>matters.</w:t>
      </w:r>
    </w:p>
    <w:p>
      <w:pPr>
        <w:spacing w:after="0" w:line="225" w:lineRule="exact"/>
        <w:rPr>
          <w:sz w:val="20"/>
          <w:szCs w:val="20"/>
          <w:color w:val="auto"/>
        </w:rPr>
      </w:pPr>
    </w:p>
    <w:p>
      <w:pPr>
        <w:ind w:left="660" w:right="10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5" w:lineRule="exact"/>
        <w:rPr>
          <w:sz w:val="20"/>
          <w:szCs w:val="20"/>
          <w:color w:val="auto"/>
        </w:rPr>
      </w:pPr>
    </w:p>
    <w:p>
      <w:pPr>
        <w:ind w:left="660" w:right="80" w:firstLine="645"/>
        <w:spacing w:after="0" w:line="272" w:lineRule="auto"/>
        <w:tabs>
          <w:tab w:leader="none" w:pos="1967"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Performance-Based Award that any evaluation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60"/>
        <w:spacing w:after="0" w:line="272" w:lineRule="auto"/>
        <w:rPr>
          <w:sz w:val="20"/>
          <w:szCs w:val="20"/>
          <w:color w:val="auto"/>
        </w:rPr>
      </w:pPr>
      <w:r>
        <w:rPr>
          <w:rFonts w:ascii="Arial" w:cs="Arial" w:eastAsia="Arial" w:hAnsi="Arial"/>
          <w:sz w:val="17"/>
          <w:szCs w:val="17"/>
          <w:color w:val="auto"/>
        </w:rPr>
        <w:t>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8" w:lineRule="exact"/>
        <w:rPr>
          <w:sz w:val="20"/>
          <w:szCs w:val="20"/>
          <w:color w:val="auto"/>
        </w:rPr>
      </w:pPr>
    </w:p>
    <w:p>
      <w:pPr>
        <w:ind w:left="660" w:firstLine="645"/>
        <w:spacing w:after="0" w:line="287" w:lineRule="auto"/>
        <w:tabs>
          <w:tab w:leader="none" w:pos="1967"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72" w:lineRule="exact"/>
        <w:rPr>
          <w:rFonts w:ascii="Arial" w:cs="Arial" w:eastAsia="Arial" w:hAnsi="Arial"/>
          <w:sz w:val="16"/>
          <w:szCs w:val="16"/>
          <w:color w:val="auto"/>
        </w:rPr>
      </w:pPr>
    </w:p>
    <w:p>
      <w:pPr>
        <w:ind w:left="660" w:right="20" w:firstLine="645"/>
        <w:spacing w:after="0" w:line="277" w:lineRule="auto"/>
        <w:tabs>
          <w:tab w:leader="none" w:pos="19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170" w:lineRule="exact"/>
        <w:rPr>
          <w:rFonts w:ascii="Arial" w:cs="Arial" w:eastAsia="Arial" w:hAnsi="Arial"/>
          <w:sz w:val="18"/>
          <w:szCs w:val="18"/>
          <w:color w:val="auto"/>
        </w:rPr>
      </w:pPr>
    </w:p>
    <w:p>
      <w:pPr>
        <w:ind w:left="660" w:right="100" w:firstLine="645"/>
        <w:spacing w:after="0" w:line="290" w:lineRule="auto"/>
        <w:tabs>
          <w:tab w:leader="none" w:pos="1964" w:val="left"/>
        </w:tabs>
        <w:numPr>
          <w:ilvl w:val="0"/>
          <w:numId w:val="31"/>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9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 xml:space="preserve">14.13. </w:t>
      </w:r>
      <w:r>
        <w:rPr>
          <w:rFonts w:ascii="Arial" w:cs="Arial" w:eastAsia="Arial" w:hAnsi="Arial"/>
          <w:sz w:val="16"/>
          <w:szCs w:val="16"/>
          <w:u w:val="single" w:color="auto"/>
          <w:color w:val="auto"/>
        </w:rPr>
        <w:t>DEFERRAL</w:t>
      </w:r>
      <w:r>
        <w:rPr>
          <w:rFonts w:ascii="Arial" w:cs="Arial" w:eastAsia="Arial" w:hAnsi="Arial"/>
          <w:sz w:val="16"/>
          <w:szCs w:val="16"/>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Other Stock-Based Awards. If any such deferral election is required or permitted, the Board shall, in its sole discretion, establish rules and procedures for such payment deferrals.</w:t>
      </w:r>
    </w:p>
    <w:p>
      <w:pPr>
        <w:sectPr>
          <w:pgSz w:w="11900" w:h="16838" w:orient="portrait"/>
          <w:cols w:equalWidth="0" w:num="1">
            <w:col w:w="11420"/>
          </w:cols>
          <w:pgMar w:left="240" w:top="125" w:right="239" w:bottom="72" w:gutter="0" w:footer="0" w:header="0"/>
        </w:sectPr>
      </w:pPr>
    </w:p>
    <w:bookmarkStart w:id="30" w:name="page31"/>
    <w:bookmarkEnd w:id="30"/>
    <w:p>
      <w:pPr>
        <w:ind w:right="300" w:firstLine="648"/>
        <w:spacing w:after="0" w:line="297"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FORFEITURE EVENTS</w:t>
      </w:r>
      <w:r>
        <w:rPr>
          <w:rFonts w:ascii="Arial" w:cs="Arial" w:eastAsia="Arial" w:hAnsi="Arial"/>
          <w:sz w:val="16"/>
          <w:szCs w:val="16"/>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GENERAL</w:t>
      </w:r>
      <w:r>
        <w:rPr>
          <w:rFonts w:ascii="Arial" w:cs="Arial" w:eastAsia="Arial" w:hAnsi="Arial"/>
          <w:sz w:val="17"/>
          <w:szCs w:val="17"/>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authorization limits under Section 5.1 and 5.4 shall be adjusted proportionately, and the Committee may adjust the Plan and Awards to preserve the benefits or potential benefits of the Awards. Action by the Committee may include: (i) adjustment of the number and kind of shares which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In addition, the Committee may, in its sole discretion, provide (i) that Awards will be settled in cash or other property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8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170" w:lineRule="exact"/>
        <w:rPr>
          <w:sz w:val="20"/>
          <w:szCs w:val="20"/>
          <w:color w:val="auto"/>
        </w:rPr>
      </w:pPr>
    </w:p>
    <w:p>
      <w:pPr>
        <w:ind w:left="660" w:right="380" w:firstLine="645"/>
        <w:spacing w:after="0" w:line="257" w:lineRule="auto"/>
        <w:tabs>
          <w:tab w:leader="none" w:pos="19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70" w:lineRule="exact"/>
        <w:rPr>
          <w:rFonts w:ascii="Arial" w:cs="Arial" w:eastAsia="Arial" w:hAnsi="Arial"/>
          <w:sz w:val="18"/>
          <w:szCs w:val="18"/>
          <w:color w:val="auto"/>
        </w:rPr>
      </w:pPr>
    </w:p>
    <w:p>
      <w:pPr>
        <w:ind w:left="660" w:right="40" w:firstLine="645"/>
        <w:spacing w:after="0" w:line="297" w:lineRule="auto"/>
        <w:tabs>
          <w:tab w:leader="none" w:pos="19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ectPr>
          <w:pgSz w:w="11900" w:h="16838" w:orient="portrait"/>
          <w:cols w:equalWidth="0" w:num="1">
            <w:col w:w="11420"/>
          </w:cols>
          <w:pgMar w:left="240" w:top="125" w:right="239" w:bottom="139" w:gutter="0" w:footer="0" w:header="0"/>
        </w:sectPr>
      </w:pPr>
    </w:p>
    <w:bookmarkStart w:id="31" w:name="page32"/>
    <w:bookmarkEnd w:id="31"/>
    <w:p>
      <w:pPr>
        <w:ind w:firstLine="648"/>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17.3. </w:t>
      </w:r>
      <w:r>
        <w:rPr>
          <w:rFonts w:ascii="Arial" w:cs="Arial" w:eastAsia="Arial" w:hAnsi="Arial"/>
          <w:sz w:val="17"/>
          <w:szCs w:val="17"/>
          <w:u w:val="single" w:color="auto"/>
          <w:color w:val="auto"/>
        </w:rPr>
        <w:t>WITHHOLDING</w:t>
      </w:r>
      <w:r>
        <w:rPr>
          <w:rFonts w:ascii="Arial" w:cs="Arial" w:eastAsia="Arial" w:hAnsi="Arial"/>
          <w:sz w:val="17"/>
          <w:szCs w:val="17"/>
          <w:color w:val="auto"/>
        </w:rPr>
        <w:t>.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UNFUNDED STATUS OF AWARDS</w:t>
      </w:r>
      <w:r>
        <w:rPr>
          <w:rFonts w:ascii="Arial" w:cs="Arial" w:eastAsia="Arial" w:hAnsi="Arial"/>
          <w:sz w:val="16"/>
          <w:szCs w:val="16"/>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Affiliates.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w:t>
      </w:r>
    </w:p>
    <w:p>
      <w:pPr>
        <w:spacing w:after="0" w:line="225" w:lineRule="exact"/>
        <w:rPr>
          <w:sz w:val="20"/>
          <w:szCs w:val="20"/>
          <w:color w:val="auto"/>
        </w:rPr>
      </w:pPr>
    </w:p>
    <w:p>
      <w:pPr>
        <w:ind w:left="660" w:right="160" w:firstLine="645"/>
        <w:spacing w:after="0" w:line="276" w:lineRule="auto"/>
        <w:tabs>
          <w:tab w:leader="none" w:pos="1967"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72" w:lineRule="exact"/>
        <w:rPr>
          <w:rFonts w:ascii="Arial" w:cs="Arial" w:eastAsia="Arial" w:hAnsi="Arial"/>
          <w:sz w:val="17"/>
          <w:szCs w:val="17"/>
          <w:color w:val="auto"/>
        </w:rPr>
      </w:pPr>
    </w:p>
    <w:p>
      <w:pPr>
        <w:ind w:left="660" w:right="120" w:firstLine="645"/>
        <w:spacing w:after="0" w:line="269" w:lineRule="auto"/>
        <w:tabs>
          <w:tab w:leader="none" w:pos="1964"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ectPr>
          <w:pgSz w:w="11900" w:h="16838" w:orient="portrait"/>
          <w:cols w:equalWidth="0" w:num="1">
            <w:col w:w="11400"/>
          </w:cols>
          <w:pgMar w:left="240" w:top="125" w:right="259" w:bottom="72" w:gutter="0" w:footer="0" w:header="0"/>
        </w:sectPr>
      </w:pPr>
    </w:p>
    <w:bookmarkStart w:id="32" w:name="page33"/>
    <w:bookmarkEnd w:id="32"/>
    <w:p>
      <w:pPr>
        <w:ind w:right="280" w:firstLine="648"/>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NO LIMITATIONS ON RIGHTS OF COMPANY</w:t>
      </w:r>
      <w:r>
        <w:rPr>
          <w:rFonts w:ascii="Arial" w:cs="Arial" w:eastAsia="Arial" w:hAnsi="Arial"/>
          <w:sz w:val="16"/>
          <w:szCs w:val="16"/>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line="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Mail Stop 557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Boise, ID 83716</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2004 Equity Incentive Plan Forms of</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Agreement and Terms and Conditions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Equity Incentive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Name: &lt;Employee Name&gt;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Award and Restricted Stock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Effective (Grant Date), you have been awarded shares of Micron Technology, Inc. (the Company)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Restricted Stock Award is subject to the following:</w:t>
      </w:r>
    </w:p>
    <w:p>
      <w:pPr>
        <w:spacing w:after="0" w:line="225" w:lineRule="exact"/>
        <w:rPr>
          <w:sz w:val="20"/>
          <w:szCs w:val="20"/>
          <w:color w:val="auto"/>
        </w:rPr>
      </w:pPr>
    </w:p>
    <w:p>
      <w:pPr>
        <w:ind w:left="1380" w:hanging="724"/>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of this Restricted Stock Agreement and</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of the 2004 Equity Incentive Plan.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Please review the Restricted Stock Agreement and 2004 Equity Incentive Plan carefully, as they contain the terms and conditions which govern your Restricted Stock Award. In addition, a Prospectus summarizing the Plan and the Insider Trading Calendar and Policy are available for your review. Unless sooner vested in accordance with Section 3 of the Restricted Stock Agreement or otherwise in the discretion of the Committee, the restrictions imposed under Section 2 of the Restricted Stock Agreement will expire as to the following number of Shares awarded hereunder, on the following respective dates; provided that Grantee is then still an employee by the company or any Affiliate: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 Lapse Schedule</w:t>
      </w:r>
    </w:p>
    <w:p>
      <w:pPr>
        <w:spacing w:after="0" w:line="221" w:lineRule="exact"/>
        <w:rPr>
          <w:sz w:val="20"/>
          <w:szCs w:val="20"/>
          <w:color w:val="auto"/>
        </w:rPr>
      </w:pPr>
    </w:p>
    <w:p>
      <w:pPr>
        <w:ind w:left="1960"/>
        <w:spacing w:after="0"/>
        <w:tabs>
          <w:tab w:leader="none" w:pos="640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Date of Expiration of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203835</wp:posOffset>
            </wp:positionV>
            <wp:extent cx="506857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68570" cy="9461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6350</wp:posOffset>
            </wp:positionV>
            <wp:extent cx="506857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685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Grantee hereby acknowledges that he/she has reviewed (i) the terms and conditions of this Restricted Stock Agreement and (ii) the 2004 Equity Incentive Plan and is familiar with the provisions thereof. Grantee acknowledges that a Prospectus relating to the Plan was made available for review. Grantee hereby accepts this Award subject to all of the terms and provisions of the Plan and Restricted Stock Agreement. Grantee hereby agrees to accept as binding, conclusive and final all decisions or interpretations of the Administrator upon any questions arising under the Plan.</w:t>
      </w:r>
    </w:p>
    <w:p>
      <w:pPr>
        <w:spacing w:after="0" w:line="17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Grantee acknowledges that the grant and acceptance of this Award do not constitute an employment agreement and do not assure continuous employment with Micron Technology, Inc., its affiliated companies,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Grantee authorizes Micron Technology, Inc. to release his/her Social Security Number or Global ID and address information to the Company’s Broker who has agreed to provide brokerage service for stock plan participants for the purposes of opening an account under his/her name.</w:t>
      </w:r>
    </w:p>
    <w:p>
      <w:pPr>
        <w:spacing w:after="0" w:line="143"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280035</wp:posOffset>
            </wp:positionV>
            <wp:extent cx="21266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-130810</wp:posOffset>
            </wp:positionV>
            <wp:extent cx="44850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4220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20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 TERMS AND CONDITIONS</w:t>
      </w:r>
    </w:p>
    <w:p>
      <w:pPr>
        <w:spacing w:after="0" w:line="229" w:lineRule="exact"/>
        <w:rPr>
          <w:sz w:val="20"/>
          <w:szCs w:val="20"/>
          <w:color w:val="auto"/>
        </w:rPr>
      </w:pPr>
    </w:p>
    <w:p>
      <w:pPr>
        <w:jc w:val="both"/>
        <w:ind w:right="120" w:firstLine="656"/>
        <w:spacing w:after="0" w:line="259" w:lineRule="auto"/>
        <w:tabs>
          <w:tab w:leader="none" w:pos="131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Grant of Shares</w:t>
      </w:r>
      <w:r>
        <w:rPr>
          <w:rFonts w:ascii="Arial" w:cs="Arial" w:eastAsia="Arial" w:hAnsi="Arial"/>
          <w:sz w:val="18"/>
          <w:szCs w:val="18"/>
          <w:color w:val="auto"/>
        </w:rPr>
        <w:t>. The Company hereby grants to the Grantee named on the Notice of Award (“Grantee”), subject to the restrictions and the other terms and conditions set forth in the Micron Technology, Inc. 2004 Equity Incentive Plan (the “Plan”) and in this award agreement (this “Agreement”), the number of shares indicated on the Notice of Award of the Company’s $0.10 par value common stock (the “Shares”). Capitalized terms used herein and not otherwise defined shall have the meanings assigned to such terms in the Plan.</w:t>
      </w:r>
    </w:p>
    <w:p>
      <w:pPr>
        <w:spacing w:after="0" w:line="186" w:lineRule="exact"/>
        <w:rPr>
          <w:rFonts w:ascii="Arial" w:cs="Arial" w:eastAsia="Arial" w:hAnsi="Arial"/>
          <w:sz w:val="18"/>
          <w:szCs w:val="18"/>
          <w:color w:val="auto"/>
        </w:rPr>
      </w:pPr>
    </w:p>
    <w:p>
      <w:pPr>
        <w:ind w:right="360" w:firstLine="656"/>
        <w:spacing w:after="0" w:line="342" w:lineRule="auto"/>
        <w:tabs>
          <w:tab w:leader="none" w:pos="131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Shares are subject to each of the following restrictions. “Restricted Shares” mean those Shares that are subject to the restrictions imposed hereunder and such restrictions have not then expired or terminated. Restricted Shares may not be sold, transferred, exchanged,</w:t>
      </w:r>
    </w:p>
    <w:p>
      <w:pPr>
        <w:sectPr>
          <w:pgSz w:w="11900" w:h="16867" w:orient="portrait"/>
          <w:cols w:equalWidth="0" w:num="1">
            <w:col w:w="11420"/>
          </w:cols>
          <w:pgMar w:left="240" w:top="121" w:right="239" w:bottom="0" w:gutter="0" w:footer="0" w:header="0"/>
        </w:sectPr>
      </w:pPr>
    </w:p>
    <w:bookmarkStart w:id="34" w:name="page35"/>
    <w:bookmarkEnd w:id="34"/>
    <w:p>
      <w:pPr>
        <w:ind w:right="20"/>
        <w:spacing w:after="0" w:line="297" w:lineRule="auto"/>
        <w:rPr>
          <w:sz w:val="20"/>
          <w:szCs w:val="20"/>
          <w:color w:val="auto"/>
        </w:rPr>
      </w:pPr>
      <w:r>
        <w:rPr>
          <w:rFonts w:ascii="Arial" w:cs="Arial" w:eastAsia="Arial" w:hAnsi="Arial"/>
          <w:sz w:val="16"/>
          <w:szCs w:val="16"/>
          <w:color w:val="auto"/>
        </w:rPr>
        <w:t>assigned, pledged, hypothecated or otherwise encumbered. If Grantee’s service as a director of the Company or employment with the Company or any Affiliate terminates for any reason other than as set forth in paragraph (b) or (c) of Section 3 hereof, then Grantee shall forfeit all of Grantee’s right, title and interest in and to the Restricted Shares as of the date of termination of such service or employment, and such Restricted Shares shall revert to the Company. The restrictions imposed under this Section shall apply to all shares of the Company’s common stock or other securities issued in connection with any merger, reorganization, consolidation, recapitalization, stock dividend or other change in corporate structure affecting or with respect to the Shares.</w:t>
      </w:r>
    </w:p>
    <w:p>
      <w:pPr>
        <w:spacing w:after="0" w:line="158" w:lineRule="exact"/>
        <w:rPr>
          <w:sz w:val="20"/>
          <w:szCs w:val="20"/>
          <w:color w:val="auto"/>
        </w:rPr>
      </w:pPr>
    </w:p>
    <w:p>
      <w:pPr>
        <w:ind w:right="220" w:firstLine="656"/>
        <w:spacing w:after="0" w:line="258" w:lineRule="auto"/>
        <w:tabs>
          <w:tab w:leader="none" w:pos="131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Expiration and Termination of Restrictions</w:t>
      </w:r>
      <w:r>
        <w:rPr>
          <w:rFonts w:ascii="Arial" w:cs="Arial" w:eastAsia="Arial" w:hAnsi="Arial"/>
          <w:sz w:val="18"/>
          <w:szCs w:val="18"/>
          <w:color w:val="auto"/>
        </w:rPr>
        <w:t>. The restrictions imposed under Section 2 will expire on the earliest to occur of the following (the period prior to such expiration being referred to herein as the “Restricted Period”):</w:t>
      </w:r>
    </w:p>
    <w:p>
      <w:pPr>
        <w:spacing w:after="0" w:line="1" w:lineRule="exact"/>
        <w:rPr>
          <w:sz w:val="20"/>
          <w:szCs w:val="20"/>
          <w:color w:val="auto"/>
        </w:rPr>
      </w:pPr>
    </w:p>
    <w:p>
      <w:pPr>
        <w:ind w:left="1300" w:right="120" w:hanging="644"/>
        <w:spacing w:after="0" w:line="250" w:lineRule="auto"/>
        <w:tabs>
          <w:tab w:leader="none" w:pos="13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the respective expiration dates specified on the Notice of Award as to the number of Shares specified thereon; provided Grantee is then still employed by the Company or any Affiliate or still serves as a director of the Company;</w:t>
      </w:r>
    </w:p>
    <w:p>
      <w:pPr>
        <w:ind w:left="1300" w:right="420" w:hanging="644"/>
        <w:spacing w:after="0" w:line="250" w:lineRule="auto"/>
        <w:tabs>
          <w:tab w:leader="none" w:pos="13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of Grantee’s service as a director of the Company or employment by the Company and all Affiliates by reason of death or Disability; or</w:t>
      </w:r>
    </w:p>
    <w:p>
      <w:pPr>
        <w:ind w:left="1320" w:hanging="664"/>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occurrence of a Change in Control.</w:t>
      </w:r>
    </w:p>
    <w:p>
      <w:pPr>
        <w:spacing w:after="0" w:line="211" w:lineRule="exact"/>
        <w:rPr>
          <w:sz w:val="20"/>
          <w:szCs w:val="20"/>
          <w:color w:val="auto"/>
        </w:rPr>
      </w:pPr>
    </w:p>
    <w:p>
      <w:pPr>
        <w:ind w:right="20" w:firstLine="656"/>
        <w:spacing w:after="0" w:line="286" w:lineRule="auto"/>
        <w:tabs>
          <w:tab w:leader="none" w:pos="131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Delivery of Shares</w:t>
      </w:r>
      <w:r>
        <w:rPr>
          <w:rFonts w:ascii="Arial" w:cs="Arial" w:eastAsia="Arial" w:hAnsi="Arial"/>
          <w:sz w:val="17"/>
          <w:szCs w:val="17"/>
          <w:color w:val="auto"/>
        </w:rPr>
        <w:t>. The Shares will be registered in the name of Grantee as of the Grant Date and will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certificate and the shares of stock represented hereby are subject to the terms and conditions (including forfeiture and restrictions against transfer) contained in a Restricted Stock Agreement between the registered owner of the shares represented hereby and Micron Technology, Inc. Release from such terms and conditions shall be made only in accordance with the provisions of such Agreement, copies of which are on file in the offices of Micron Technology, Inc.”</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Stock certificates for the Shares, without the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171" w:lineRule="exact"/>
        <w:rPr>
          <w:sz w:val="20"/>
          <w:szCs w:val="20"/>
          <w:color w:val="auto"/>
        </w:rPr>
      </w:pPr>
    </w:p>
    <w:p>
      <w:pPr>
        <w:ind w:right="40" w:firstLine="656"/>
        <w:spacing w:after="0" w:line="259"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Voting and Dividend Rights</w:t>
      </w:r>
      <w:r>
        <w:rPr>
          <w:rFonts w:ascii="Arial" w:cs="Arial" w:eastAsia="Arial" w:hAnsi="Arial"/>
          <w:sz w:val="18"/>
          <w:szCs w:val="18"/>
          <w:color w:val="auto"/>
        </w:rPr>
        <w:t>. Grantee, as beneficial owner of the Shares, shall have full voting and dividend rights with respect to the Shares during and after the Restricted Period. If Grantee forfeits any rights he may have under this Agreement in accordance with Section 2, Grantee shall no longer have any rights as a shareholder with respect to the Restricted Shares or any interest therein and Grantee shall no longer be entitled to receive dividends on such stock.</w:t>
      </w:r>
    </w:p>
    <w:p>
      <w:pPr>
        <w:spacing w:after="0" w:line="186" w:lineRule="exact"/>
        <w:rPr>
          <w:rFonts w:ascii="Arial" w:cs="Arial" w:eastAsia="Arial" w:hAnsi="Arial"/>
          <w:sz w:val="18"/>
          <w:szCs w:val="18"/>
          <w:color w:val="auto"/>
        </w:rPr>
      </w:pPr>
    </w:p>
    <w:p>
      <w:pPr>
        <w:ind w:right="60" w:firstLine="656"/>
        <w:spacing w:after="0" w:line="276" w:lineRule="auto"/>
        <w:tabs>
          <w:tab w:leader="none" w:pos="131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Changes in Capital Structure</w:t>
      </w:r>
      <w:r>
        <w:rPr>
          <w:rFonts w:ascii="Arial" w:cs="Arial" w:eastAsia="Arial" w:hAnsi="Arial"/>
          <w:sz w:val="17"/>
          <w:szCs w:val="17"/>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Committee may adjust this award to preserve the benefits or potential benefits of this award. Without limiting the foregoing, in the event of a subdivision of the outstanding Stock (stock split), a declaration of a dividend payable in Stock, or a combination or consolidation of the outstanding Stock into a lesser number of Shares, the Shares then subject to this Agreement shall automatically be adjusted proportionately.</w:t>
      </w:r>
    </w:p>
    <w:p>
      <w:pPr>
        <w:spacing w:after="0" w:line="172" w:lineRule="exact"/>
        <w:rPr>
          <w:rFonts w:ascii="Arial" w:cs="Arial" w:eastAsia="Arial" w:hAnsi="Arial"/>
          <w:sz w:val="17"/>
          <w:szCs w:val="17"/>
          <w:color w:val="auto"/>
        </w:rPr>
      </w:pPr>
    </w:p>
    <w:p>
      <w:pPr>
        <w:ind w:right="180" w:firstLine="656"/>
        <w:spacing w:after="0" w:line="264"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 Right of Continued Employment</w:t>
      </w:r>
      <w:r>
        <w:rPr>
          <w:rFonts w:ascii="Arial" w:cs="Arial" w:eastAsia="Arial" w:hAnsi="Arial"/>
          <w:sz w:val="18"/>
          <w:szCs w:val="18"/>
          <w:color w:val="auto"/>
        </w:rPr>
        <w:t>. With respect to a grantee who is employed by the Company or an Affiliate, nothing in this Agreement shall interfere with or limit in any way the right of the Company or any Affiliate to terminate such grantee’s employment at any time, nor confer upon any such grantee any right to continue in the employ of the Company or any Affiliate.</w:t>
      </w:r>
    </w:p>
    <w:p>
      <w:pPr>
        <w:spacing w:after="0" w:line="181" w:lineRule="exact"/>
        <w:rPr>
          <w:rFonts w:ascii="Arial" w:cs="Arial" w:eastAsia="Arial" w:hAnsi="Arial"/>
          <w:sz w:val="18"/>
          <w:szCs w:val="18"/>
          <w:color w:val="auto"/>
        </w:rPr>
      </w:pPr>
    </w:p>
    <w:p>
      <w:pPr>
        <w:ind w:right="40" w:firstLine="656"/>
        <w:spacing w:after="0" w:line="272" w:lineRule="auto"/>
        <w:tabs>
          <w:tab w:leader="none" w:pos="131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Payment of Taxes</w:t>
      </w:r>
      <w:r>
        <w:rPr>
          <w:rFonts w:ascii="Arial" w:cs="Arial" w:eastAsia="Arial" w:hAnsi="Arial"/>
          <w:sz w:val="17"/>
          <w:szCs w:val="17"/>
          <w:color w:val="auto"/>
        </w:rPr>
        <w:t>. Upon issuance of the Shares hereunder, Grantee may make an election to be taxed upon such award under Section 83(b) of the Code.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The Committee may permit Grantee to surrender to the Company a number of Shares from this Award as necessary to pay the minimum applicable withholding tax obligation.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w:t>
      </w:r>
    </w:p>
    <w:p>
      <w:pPr>
        <w:spacing w:after="0" w:line="177" w:lineRule="exact"/>
        <w:rPr>
          <w:rFonts w:ascii="Arial" w:cs="Arial" w:eastAsia="Arial" w:hAnsi="Arial"/>
          <w:sz w:val="17"/>
          <w:szCs w:val="17"/>
          <w:color w:val="auto"/>
        </w:rPr>
      </w:pPr>
    </w:p>
    <w:p>
      <w:pPr>
        <w:ind w:firstLine="656"/>
        <w:spacing w:after="0" w:line="276" w:lineRule="auto"/>
        <w:tabs>
          <w:tab w:leader="none" w:pos="131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The Committee may amend, modify or terminate the Award, Notice of Award and this Agreement without approval of the Grantee; provided, however, that such amendment, modification or termination shall not, without the Grantee’s consent, reduce or diminish the value of this Award determined as if it had been fully vested on the date of such amendment or termination. Notwithstanding anything herein to the contrary, the Company is authorized, without Grantee’s consent, to amend or interpret this Award, the Notice of Award and this Agreement certificate to the extent necessary, if any, to comply with Section 409A of the Code and Treasury regulations and guidance with respect to such law.</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jc w:val="both"/>
        <w:ind w:right="140" w:firstLine="656"/>
        <w:spacing w:after="0" w:line="286" w:lineRule="auto"/>
        <w:tabs>
          <w:tab w:leader="none" w:pos="1319"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Plan Controls</w:t>
      </w:r>
      <w:r>
        <w:rPr>
          <w:rFonts w:ascii="Arial" w:cs="Arial" w:eastAsia="Arial" w:hAnsi="Arial"/>
          <w:sz w:val="17"/>
          <w:szCs w:val="17"/>
          <w:color w:val="auto"/>
        </w:rPr>
        <w:t>. The terms contained in the Plan are incorporated into and made a part of the Notice of Award and this Agreement and this Agreement shall be governed by and construed in accordance with the Plan. In the event of any actual or alleged conflict between the provisions of the Plan and the provisions of the Notice of Award and this Agreement, the provisions of the Plan shall be controlling and determinative.</w:t>
      </w:r>
    </w:p>
    <w:p>
      <w:pPr>
        <w:spacing w:after="0" w:line="165" w:lineRule="exact"/>
        <w:rPr>
          <w:rFonts w:ascii="Arial" w:cs="Arial" w:eastAsia="Arial" w:hAnsi="Arial"/>
          <w:sz w:val="17"/>
          <w:szCs w:val="17"/>
          <w:color w:val="auto"/>
        </w:rPr>
      </w:pPr>
    </w:p>
    <w:p>
      <w:pPr>
        <w:ind w:right="160" w:firstLine="656"/>
        <w:spacing w:after="0" w:line="264" w:lineRule="auto"/>
        <w:tabs>
          <w:tab w:leader="none" w:pos="131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the Notice of Award and this Agreement is deemed to be invalid, illegal or unenforceable, the other provisions of the Notice of Award and this Agreement will be construed and enforced as if the invalid, illegal or unenforceable provision had never been included.</w:t>
      </w:r>
    </w:p>
    <w:p>
      <w:pPr>
        <w:spacing w:after="0" w:line="181" w:lineRule="exact"/>
        <w:rPr>
          <w:rFonts w:ascii="Arial" w:cs="Arial" w:eastAsia="Arial" w:hAnsi="Arial"/>
          <w:sz w:val="18"/>
          <w:szCs w:val="18"/>
          <w:color w:val="auto"/>
        </w:rPr>
      </w:pPr>
    </w:p>
    <w:p>
      <w:pPr>
        <w:ind w:right="200" w:firstLine="656"/>
        <w:spacing w:after="0" w:line="257" w:lineRule="auto"/>
        <w:tabs>
          <w:tab w:leader="none" w:pos="131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communications under the Notice of Award and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-2153920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33"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50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2004 Equity Incentive Plan</w:t>
            </w:r>
          </w:p>
        </w:tc>
        <w:tc>
          <w:tcPr>
            <w:tcW w:w="5020" w:type="dxa"/>
            <w:vAlign w:val="bottom"/>
          </w:tcPr>
          <w:p>
            <w:pPr>
              <w:spacing w:after="0"/>
              <w:rPr>
                <w:sz w:val="24"/>
                <w:szCs w:val="24"/>
                <w:color w:val="auto"/>
              </w:rPr>
            </w:pPr>
          </w:p>
        </w:tc>
        <w:tc>
          <w:tcPr>
            <w:tcW w:w="3260" w:type="dxa"/>
            <w:vAlign w:val="bottom"/>
          </w:tcPr>
          <w:p>
            <w:pPr>
              <w:ind w:left="680"/>
              <w:spacing w:after="0"/>
              <w:rPr>
                <w:sz w:val="20"/>
                <w:szCs w:val="20"/>
                <w:color w:val="auto"/>
              </w:rPr>
            </w:pPr>
            <w:r>
              <w:rPr>
                <w:rFonts w:ascii="Arial" w:cs="Arial" w:eastAsia="Arial" w:hAnsi="Arial"/>
                <w:sz w:val="18"/>
                <w:szCs w:val="18"/>
                <w:color w:val="auto"/>
              </w:rPr>
              <w:t>Name:</w:t>
            </w:r>
          </w:p>
        </w:tc>
      </w:tr>
      <w:tr>
        <w:trPr>
          <w:trHeight w:val="216"/>
        </w:trPr>
        <w:tc>
          <w:tcPr>
            <w:tcW w:w="7580" w:type="dxa"/>
            <w:vAlign w:val="bottom"/>
            <w:gridSpan w:val="3"/>
          </w:tcPr>
          <w:p>
            <w:pPr>
              <w:spacing w:after="0"/>
              <w:rPr>
                <w:sz w:val="20"/>
                <w:szCs w:val="20"/>
                <w:color w:val="auto"/>
              </w:rPr>
            </w:pPr>
            <w:r>
              <w:rPr>
                <w:rFonts w:ascii="Arial" w:cs="Arial" w:eastAsia="Arial" w:hAnsi="Arial"/>
                <w:sz w:val="18"/>
                <w:szCs w:val="18"/>
                <w:color w:val="auto"/>
              </w:rPr>
              <w:t>Notice of Grant of Stock Options and Option Agreement</w:t>
            </w:r>
          </w:p>
        </w:tc>
        <w:tc>
          <w:tcPr>
            <w:tcW w:w="3260" w:type="dxa"/>
            <w:vAlign w:val="bottom"/>
          </w:tcPr>
          <w:p>
            <w:pPr>
              <w:ind w:left="680"/>
              <w:spacing w:after="0"/>
              <w:rPr>
                <w:sz w:val="20"/>
                <w:szCs w:val="20"/>
                <w:color w:val="auto"/>
              </w:rPr>
            </w:pPr>
            <w:r>
              <w:rPr>
                <w:rFonts w:ascii="Arial" w:cs="Arial" w:eastAsia="Arial" w:hAnsi="Arial"/>
                <w:sz w:val="18"/>
                <w:szCs w:val="18"/>
                <w:color w:val="auto"/>
              </w:rPr>
              <w:t>Employee Number: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w w:val="95"/>
              </w:rPr>
              <w:t>Option Number:</w:t>
            </w:r>
          </w:p>
        </w:tc>
        <w:tc>
          <w:tcPr>
            <w:tcW w:w="13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260" w:type="dxa"/>
            <w:vAlign w:val="bottom"/>
          </w:tcPr>
          <w:p>
            <w:pPr>
              <w:ind w:left="680"/>
              <w:spacing w:after="0"/>
              <w:rPr>
                <w:sz w:val="20"/>
                <w:szCs w:val="20"/>
                <w:color w:val="auto"/>
              </w:rPr>
            </w:pPr>
            <w:r>
              <w:rPr>
                <w:rFonts w:ascii="Arial" w:cs="Arial" w:eastAsia="Arial" w:hAnsi="Arial"/>
                <w:sz w:val="18"/>
                <w:szCs w:val="18"/>
                <w:color w:val="auto"/>
              </w:rPr>
              <w:t>Address:</w:t>
            </w:r>
          </w:p>
        </w:tc>
      </w:tr>
      <w:tr>
        <w:trPr>
          <w:trHeight w:val="414"/>
        </w:trPr>
        <w:tc>
          <w:tcPr>
            <w:tcW w:w="1240" w:type="dxa"/>
            <w:vAlign w:val="bottom"/>
          </w:tcPr>
          <w:p>
            <w:pPr>
              <w:spacing w:after="0"/>
              <w:rPr>
                <w:sz w:val="20"/>
                <w:szCs w:val="20"/>
                <w:color w:val="auto"/>
              </w:rPr>
            </w:pPr>
            <w:r>
              <w:rPr>
                <w:rFonts w:ascii="Arial" w:cs="Arial" w:eastAsia="Arial" w:hAnsi="Arial"/>
                <w:sz w:val="18"/>
                <w:szCs w:val="18"/>
                <w:b w:val="1"/>
                <w:bCs w:val="1"/>
                <w:color w:val="auto"/>
              </w:rPr>
              <w:t>Effective</w:t>
            </w:r>
          </w:p>
        </w:tc>
        <w:tc>
          <w:tcPr>
            <w:tcW w:w="634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(Grant Date), you have been granted a Nonqualified Stock Option to purchase</w:t>
            </w:r>
          </w:p>
        </w:tc>
        <w:tc>
          <w:tcPr>
            <w:tcW w:w="3260" w:type="dxa"/>
            <w:vAlign w:val="bottom"/>
          </w:tcPr>
          <w:p>
            <w:pPr>
              <w:ind w:left="320"/>
              <w:spacing w:after="0"/>
              <w:rPr>
                <w:sz w:val="20"/>
                <w:szCs w:val="20"/>
                <w:color w:val="auto"/>
              </w:rPr>
            </w:pPr>
            <w:r>
              <w:rPr>
                <w:rFonts w:ascii="Arial" w:cs="Arial" w:eastAsia="Arial" w:hAnsi="Arial"/>
                <w:sz w:val="18"/>
                <w:szCs w:val="18"/>
                <w:b w:val="1"/>
                <w:bCs w:val="1"/>
                <w:color w:val="auto"/>
                <w:w w:val="88"/>
              </w:rPr>
              <w:t>shares of Micron Technology, Inc. (the</w:t>
            </w:r>
          </w:p>
        </w:tc>
      </w:tr>
      <w:tr>
        <w:trPr>
          <w:trHeight w:val="23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w w:val="97"/>
              </w:rPr>
              <w:t>Company) Common Stock at $</w:t>
            </w:r>
          </w:p>
        </w:tc>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(USD) per share.</w:t>
            </w:r>
          </w:p>
        </w:tc>
        <w:tc>
          <w:tcPr>
            <w:tcW w:w="32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Option Grant is subject to the following:</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terms and conditions of this </w:t>
      </w:r>
      <w:r>
        <w:rPr>
          <w:rFonts w:ascii="Arial" w:cs="Arial" w:eastAsia="Arial" w:hAnsi="Arial"/>
          <w:sz w:val="18"/>
          <w:szCs w:val="18"/>
          <w:u w:val="single" w:color="auto"/>
          <w:color w:val="auto"/>
        </w:rPr>
        <w:t>Option Agreement</w:t>
      </w:r>
      <w:r>
        <w:rPr>
          <w:rFonts w:ascii="Arial" w:cs="Arial" w:eastAsia="Arial" w:hAnsi="Arial"/>
          <w:sz w:val="18"/>
          <w:szCs w:val="18"/>
          <w:color w:val="auto"/>
        </w:rPr>
        <w:t xml:space="preserve">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terms and conditions of the </w:t>
      </w:r>
      <w:r>
        <w:rPr>
          <w:rFonts w:ascii="Arial" w:cs="Arial" w:eastAsia="Arial" w:hAnsi="Arial"/>
          <w:sz w:val="18"/>
          <w:szCs w:val="18"/>
          <w:u w:val="single" w:color="auto"/>
          <w:color w:val="auto"/>
        </w:rPr>
        <w:t>2004 Equity Incentive Plan</w:t>
      </w:r>
      <w:r>
        <w:rPr>
          <w:rFonts w:ascii="Arial" w:cs="Arial" w:eastAsia="Arial" w:hAnsi="Arial"/>
          <w:sz w:val="18"/>
          <w:szCs w:val="18"/>
          <w:color w:val="auto"/>
        </w:rPr>
        <w:t>.</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Please review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2004 Equity Incentive Plan</w:t>
      </w:r>
      <w:r>
        <w:rPr>
          <w:rFonts w:ascii="Arial" w:cs="Arial" w:eastAsia="Arial" w:hAnsi="Arial"/>
          <w:sz w:val="18"/>
          <w:szCs w:val="18"/>
          <w:color w:val="auto"/>
        </w:rPr>
        <w:t xml:space="preserve"> carefully, as they contain the terms and conditions which govern your option. In addition, a </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summarizing the Plan and the </w:t>
      </w:r>
      <w:r>
        <w:rPr>
          <w:rFonts w:ascii="Arial" w:cs="Arial" w:eastAsia="Arial" w:hAnsi="Arial"/>
          <w:sz w:val="18"/>
          <w:szCs w:val="18"/>
          <w:u w:val="single" w:color="auto"/>
          <w:color w:val="auto"/>
        </w:rPr>
        <w:t>Insider Trading Calendar and Policy</w:t>
      </w:r>
      <w:r>
        <w:rPr>
          <w:rFonts w:ascii="Arial" w:cs="Arial" w:eastAsia="Arial" w:hAnsi="Arial"/>
          <w:sz w:val="18"/>
          <w:szCs w:val="18"/>
          <w:color w:val="auto"/>
        </w:rPr>
        <w:t xml:space="preserve"> are available for your review.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Subject to your continued employment, this Option may be exercised in whole or in part, in accordance with the following schedule:</w:t>
      </w:r>
    </w:p>
    <w:p>
      <w:pPr>
        <w:spacing w:after="0" w:line="22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Vesting Schedule</w:t>
      </w:r>
    </w:p>
    <w:p>
      <w:pPr>
        <w:spacing w:after="0" w:line="221" w:lineRule="exact"/>
        <w:rPr>
          <w:sz w:val="20"/>
          <w:szCs w:val="20"/>
          <w:color w:val="auto"/>
        </w:rPr>
      </w:pPr>
    </w:p>
    <w:p>
      <w:pPr>
        <w:ind w:left="1720"/>
        <w:spacing w:after="0"/>
        <w:tabs>
          <w:tab w:leader="none" w:pos="5500" w:val="left"/>
          <w:tab w:leader="none" w:pos="802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Vesting Date</w:t>
      </w:r>
      <w:r>
        <w:rPr>
          <w:sz w:val="20"/>
          <w:szCs w:val="20"/>
          <w:color w:val="auto"/>
        </w:rPr>
        <w:tab/>
      </w:r>
      <w:r>
        <w:rPr>
          <w:rFonts w:ascii="Arial" w:cs="Arial" w:eastAsia="Arial" w:hAnsi="Arial"/>
          <w:sz w:val="13"/>
          <w:szCs w:val="13"/>
          <w:b w:val="1"/>
          <w:bCs w:val="1"/>
          <w:color w:val="auto"/>
        </w:rPr>
        <w:t>Expiraton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289560</wp:posOffset>
            </wp:positionV>
            <wp:extent cx="506857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6350</wp:posOffset>
            </wp:positionV>
            <wp:extent cx="506857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Period</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Option may be exercised for 30 days after termination of the Optionee’s employment or consulting relationship with the Company. Upon the death or Disability of the Optionee, this Option will be may be exercised for such longer period as provided in the Plan. In no event shall this option be exercised later than the Expiration date as provided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Optionee hereby acknowledges that he/she has reviewed (i) the terms and conditions of this </w:t>
      </w:r>
      <w:r>
        <w:rPr>
          <w:rFonts w:ascii="Arial" w:cs="Arial" w:eastAsia="Arial" w:hAnsi="Arial"/>
          <w:sz w:val="17"/>
          <w:szCs w:val="17"/>
          <w:u w:val="single" w:color="auto"/>
          <w:color w:val="auto"/>
        </w:rPr>
        <w:t>Option Agreement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2004 Equity Incentive Plan</w:t>
      </w:r>
      <w:r>
        <w:rPr>
          <w:rFonts w:ascii="Arial" w:cs="Arial" w:eastAsia="Arial" w:hAnsi="Arial"/>
          <w:sz w:val="17"/>
          <w:szCs w:val="17"/>
          <w:color w:val="auto"/>
        </w:rPr>
        <w:t xml:space="preserve"> (ii) the and is familiar with the provisions thereof. Optionee hereby accepts this Option subject to all of the terms and provisions of the Plan and Option Agreement. Optionee acknowledges that a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relating to the Plan was made available for review. Optionee hereby agrees to accept as binding, conclusive and final all decisions or interpretations of the Administrator upon any questions arising under the Plan.</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Optionee acknowledges that the grant or acceptance of this Option do not constitute an employment agreement and do not assure continuous employment with Micron Technology, Inc., its affiliated companies,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Optionee authorizes Micron Technology, Inc. to release his/her Social Security Number or Global ID and address information to the Company’s Broker who has agreed to provide brokerage service for stock plan participants for the purposes of opening an account under his/her name.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After accepting this agreement, you will receive an e-mail summarizing the terms of this Grant. Please print your e-mail confirmation.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accept or reject this Option Agreement, click below:</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Accept</w:t>
      </w:r>
      <w:r>
        <w:rPr>
          <w:sz w:val="20"/>
          <w:szCs w:val="20"/>
          <w:color w:val="auto"/>
        </w:rPr>
        <w:tab/>
      </w:r>
      <w:r>
        <w:rPr>
          <w:rFonts w:ascii="Arial" w:cs="Arial" w:eastAsia="Arial" w:hAnsi="Arial"/>
          <w:sz w:val="18"/>
          <w:szCs w:val="18"/>
          <w:color w:val="auto"/>
        </w:rPr>
        <w:t>Reject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OPTION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TERMS AND CONDITIONS</w:t>
      </w:r>
    </w:p>
    <w:p>
      <w:pPr>
        <w:spacing w:after="0" w:line="143" w:lineRule="exact"/>
        <w:rPr>
          <w:sz w:val="20"/>
          <w:szCs w:val="20"/>
          <w:color w:val="auto"/>
        </w:rPr>
      </w:pPr>
    </w:p>
    <w:p>
      <w:pPr>
        <w:ind w:right="180" w:firstLine="332"/>
        <w:spacing w:after="0" w:line="257" w:lineRule="auto"/>
        <w:tabs>
          <w:tab w:leader="none" w:pos="66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Micron Technology, Inc. (the “Company”) hereby grants to the Optionee named on the Notice of Grant (“Optionee”), under the Micron Technology, Inc. 2004 Equity Incentive Plan (the “Plan”), stock options to purchase from the Company (the “Options”), on the terms and on conditions set forth in this agreement (this “Agreement”), the number of shares indicated on the Notice of Grant of the Company’s $0.10 par value common stock, at the exercise price per share set forth on the Notice of Grant. Capitalized terms used herein and not otherwise defined shall have the meanings assigned to such terms in the Plan.</w:t>
      </w:r>
    </w:p>
    <w:p>
      <w:pPr>
        <w:spacing w:after="0" w:line="120" w:lineRule="exact"/>
        <w:rPr>
          <w:rFonts w:ascii="Arial" w:cs="Arial" w:eastAsia="Arial" w:hAnsi="Arial"/>
          <w:sz w:val="18"/>
          <w:szCs w:val="18"/>
          <w:color w:val="auto"/>
        </w:rPr>
      </w:pPr>
    </w:p>
    <w:p>
      <w:pPr>
        <w:ind w:firstLine="332"/>
        <w:spacing w:after="0" w:line="264" w:lineRule="auto"/>
        <w:tabs>
          <w:tab w:leader="none" w:pos="66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Vesting of Options</w:t>
      </w:r>
      <w:r>
        <w:rPr>
          <w:rFonts w:ascii="Arial" w:cs="Arial" w:eastAsia="Arial" w:hAnsi="Arial"/>
          <w:sz w:val="18"/>
          <w:szCs w:val="18"/>
          <w:color w:val="auto"/>
        </w:rPr>
        <w:t>. The Option shall vest (become exercisable) in accordance with the schedule shown on the Notice of Grant of this Agreement. Notwithstanding the foregoing vesting schedule, upon Optionee’s death or Disability during his or her Continuous Status as a Participant, or upon a Change in Control, all Options shall become fully vested and exercisable.</w:t>
      </w:r>
    </w:p>
    <w:p>
      <w:pPr>
        <w:spacing w:after="0" w:line="113" w:lineRule="exact"/>
        <w:rPr>
          <w:rFonts w:ascii="Arial" w:cs="Arial" w:eastAsia="Arial" w:hAnsi="Arial"/>
          <w:sz w:val="18"/>
          <w:szCs w:val="18"/>
          <w:color w:val="auto"/>
        </w:rPr>
      </w:pPr>
    </w:p>
    <w:p>
      <w:pPr>
        <w:ind w:right="300" w:firstLine="332"/>
        <w:spacing w:after="0" w:line="264" w:lineRule="auto"/>
        <w:tabs>
          <w:tab w:leader="none" w:pos="66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 of Options and Limitations on Right to Exercise</w:t>
      </w:r>
      <w:r>
        <w:rPr>
          <w:rFonts w:ascii="Arial" w:cs="Arial" w:eastAsia="Arial" w:hAnsi="Arial"/>
          <w:sz w:val="18"/>
          <w:szCs w:val="18"/>
          <w:color w:val="auto"/>
        </w:rPr>
        <w:t>. The term of the Options will be for a period of ten years, expiring at 5:00 p.m., Mountain Time, on the tenth anniversary of the Grant Date (the “Expiration Date”). To the extent not previously exercised, the Options will lapse prior to the Expiration Date upon the earliest to occur of the following circumstances:</w:t>
      </w:r>
    </w:p>
    <w:p>
      <w:pPr>
        <w:spacing w:after="0" w:line="181" w:lineRule="exact"/>
        <w:rPr>
          <w:sz w:val="20"/>
          <w:szCs w:val="20"/>
          <w:color w:val="auto"/>
        </w:rPr>
      </w:pPr>
    </w:p>
    <w:p>
      <w:pPr>
        <w:ind w:right="660" w:firstLine="332"/>
        <w:spacing w:after="0" w:line="277"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Thirty days after the termination of Optionee’s Continuous Status as a Participant for any reason other than by reason of Optionee’s death or Disability.</w:t>
      </w:r>
    </w:p>
    <w:p>
      <w:pPr>
        <w:sectPr>
          <w:pgSz w:w="11900" w:h="16838" w:orient="portrait"/>
          <w:cols w:equalWidth="0" w:num="1">
            <w:col w:w="11420"/>
          </w:cols>
          <w:pgMar w:left="240" w:top="337" w:right="239" w:bottom="0" w:gutter="0" w:footer="0" w:header="0"/>
        </w:sectPr>
      </w:pPr>
    </w:p>
    <w:bookmarkStart w:id="36" w:name="page37"/>
    <w:bookmarkEnd w:id="36"/>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Twelve months after termination of Optionee’s Continuous Status as Participant by reason of Disability.</w:t>
      </w:r>
    </w:p>
    <w:p>
      <w:pPr>
        <w:spacing w:after="0" w:line="225" w:lineRule="exact"/>
        <w:rPr>
          <w:rFonts w:ascii="Arial" w:cs="Arial" w:eastAsia="Arial" w:hAnsi="Arial"/>
          <w:sz w:val="18"/>
          <w:szCs w:val="18"/>
          <w:color w:val="auto"/>
        </w:rPr>
      </w:pPr>
    </w:p>
    <w:p>
      <w:pPr>
        <w:ind w:right="60" w:firstLine="332"/>
        <w:spacing w:after="0" w:line="264" w:lineRule="auto"/>
        <w:tabs>
          <w:tab w:leader="none" w:pos="6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Twelve months after the date of Optionee’s death, if Optionee dies while employed, or during the three-month period described in subsection (a) above or during the twelve-month period described in subsection (b) above and before the Options otherwise lapse. Upon Optionee’s death, the Options may be exercised by Optionee’s beneficiary designated pursuant to the Plan.</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Committee may, prior to the lapse of the Options under the circumstances described in paragraphs (a), (b) or (c) above, extend the time to exercise the Options as determined by the Committee in writing. If Optionee returns to employment with the Company during the designated post-termination exercise period, then Optionee shall be restored to the status Optionee held prior to such termination but no vesting credit will be earned for any period Optionee was not in Continuous Status as a Participant. If Optionee or his or her beneficiary exercises an Option after termination of service, the Options may be exercised only with respect to the Shares that were otherwise vested on Optionee’s termination of service.</w:t>
      </w:r>
    </w:p>
    <w:p>
      <w:pPr>
        <w:spacing w:after="0" w:line="173" w:lineRule="exact"/>
        <w:rPr>
          <w:sz w:val="20"/>
          <w:szCs w:val="20"/>
          <w:color w:val="auto"/>
        </w:rPr>
      </w:pPr>
    </w:p>
    <w:p>
      <w:pPr>
        <w:ind w:right="80" w:firstLine="332"/>
        <w:spacing w:after="0" w:line="287" w:lineRule="auto"/>
        <w:tabs>
          <w:tab w:leader="none" w:pos="66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The Options shall be exercised by (a) written notice directed to the Global Stock Department of the Company or its designee at the address and in the form specified by the Company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may be, in (a) cash, (b) in the discretion of the Company, Shares previously acquired by the purchaser, which have been held by the purchaser for at least such period of time, if any, as necessary to avoid the recognition of an expense under generally accepted accounting principles as a result of the exercise of the Option, or (c) any combination thereof, for the number of Shares specified in such written notice. The value of surrendered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168" w:lineRule="exact"/>
        <w:rPr>
          <w:rFonts w:ascii="Arial" w:cs="Arial" w:eastAsia="Arial" w:hAnsi="Arial"/>
          <w:sz w:val="16"/>
          <w:szCs w:val="16"/>
          <w:color w:val="auto"/>
        </w:rPr>
      </w:pPr>
    </w:p>
    <w:p>
      <w:pPr>
        <w:ind w:right="220" w:firstLine="332"/>
        <w:spacing w:after="0" w:line="273" w:lineRule="auto"/>
        <w:tabs>
          <w:tab w:leader="none" w:pos="66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Agreement and the Plan, and to any additional restrictions deemed necessary or appropriate by the Committee. If no beneficiary has been designated or survives Optionee, the Options may be exercised by the legal representative of Optionee’s estate, and payment shall be made to Optionee’s estate. Subject to the foregoing, a beneficiary designation may be changed or revoked by Optionee at any time provided the change or revocation is filed with the Company.</w:t>
      </w:r>
    </w:p>
    <w:p>
      <w:pPr>
        <w:spacing w:after="0" w:line="178" w:lineRule="exact"/>
        <w:rPr>
          <w:rFonts w:ascii="Arial" w:cs="Arial" w:eastAsia="Arial" w:hAnsi="Arial"/>
          <w:sz w:val="17"/>
          <w:szCs w:val="17"/>
          <w:color w:val="auto"/>
        </w:rPr>
      </w:pPr>
    </w:p>
    <w:p>
      <w:pPr>
        <w:ind w:firstLine="332"/>
        <w:spacing w:after="0" w:line="289" w:lineRule="auto"/>
        <w:tabs>
          <w:tab w:leader="none" w:pos="66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or any employer Affiliate has the authority and the right to deduct or withhold, or require Optionee to remit to the employer, an amount sufficient to satisfy federal, state, and local taxes (including Optionee’s FICA obligation) required by law to be withheld with respect to any taxable event arising as a result of the exercise of the Options. The withholding requirement may be satisfied, in whole or in part, at the election of the Company, by withholding from the Options Shares having a Fair Market Value on the date of withholding equal to the minimum amount (and not any greater amount) required to be withheld for tax purposes, all in accordance with such procedures as the Company establishes. If Shares are surrendered to satisfy withholding obligations in excess of the minimum withholding obligation, such Shares must have been held by the purchaser as fully vested shares for at least such period of time, if any, as necessary to avoid the recognition of an expense under generally accepted accounting principles. The Company has the authority to require Optionee to remit cash to the Company in lieu of the surrender of Shares for tax withholding obligations if the surrender of Shares in satisfaction of such withholding obligations would result in the Company’s recognition of expense under generally accepted accounting principles.</w:t>
      </w:r>
    </w:p>
    <w:p>
      <w:pPr>
        <w:spacing w:after="0" w:line="166" w:lineRule="exact"/>
        <w:rPr>
          <w:rFonts w:ascii="Arial" w:cs="Arial" w:eastAsia="Arial" w:hAnsi="Arial"/>
          <w:sz w:val="16"/>
          <w:szCs w:val="16"/>
          <w:color w:val="auto"/>
        </w:rPr>
      </w:pPr>
    </w:p>
    <w:p>
      <w:pPr>
        <w:ind w:right="400" w:firstLine="332"/>
        <w:spacing w:after="0" w:line="259" w:lineRule="auto"/>
        <w:tabs>
          <w:tab w:leader="none" w:pos="66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The Options do not confer to Optionee or Optionee’s beneficiary designated pursuant to Paragraph 5 any rights of a shareholder of the Company unless and until Shares are in fact issued to such person in connection with the exercise of the Options. Nothing in this Agreement shall interfere with or limit in any way the right of the Company or any Affiliate to terminate Optionee’s service at any time, nor confer upon Optionee any right to continue in the service of the Company or any Affiliate.</w:t>
      </w:r>
    </w:p>
    <w:p>
      <w:pPr>
        <w:spacing w:after="0" w:line="186" w:lineRule="exact"/>
        <w:rPr>
          <w:rFonts w:ascii="Arial" w:cs="Arial" w:eastAsia="Arial" w:hAnsi="Arial"/>
          <w:sz w:val="18"/>
          <w:szCs w:val="18"/>
          <w:color w:val="auto"/>
        </w:rPr>
      </w:pPr>
    </w:p>
    <w:p>
      <w:pPr>
        <w:ind w:right="440" w:firstLine="332"/>
        <w:spacing w:after="0" w:line="277" w:lineRule="auto"/>
        <w:tabs>
          <w:tab w:leader="none" w:pos="66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Stock Reserve</w:t>
      </w:r>
      <w:r>
        <w:rPr>
          <w:rFonts w:ascii="Arial" w:cs="Arial" w:eastAsia="Arial" w:hAnsi="Arial"/>
          <w:sz w:val="18"/>
          <w:szCs w:val="18"/>
          <w:color w:val="auto"/>
        </w:rPr>
        <w:t>. The Company shall at all times during the term of this Agreement reserve and keep available such number of Shares as will be sufficient to satisfy the requirements of this Agreement.</w:t>
      </w:r>
    </w:p>
    <w:p>
      <w:pPr>
        <w:spacing w:after="0" w:line="170" w:lineRule="exact"/>
        <w:rPr>
          <w:rFonts w:ascii="Arial" w:cs="Arial" w:eastAsia="Arial" w:hAnsi="Arial"/>
          <w:sz w:val="18"/>
          <w:szCs w:val="18"/>
          <w:color w:val="auto"/>
        </w:rPr>
      </w:pPr>
    </w:p>
    <w:p>
      <w:pPr>
        <w:ind w:right="20" w:firstLine="332"/>
        <w:spacing w:after="0" w:line="302" w:lineRule="auto"/>
        <w:tabs>
          <w:tab w:leader="none" w:pos="662"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and Pledge</w:t>
      </w:r>
      <w:r>
        <w:rPr>
          <w:rFonts w:ascii="Arial" w:cs="Arial" w:eastAsia="Arial" w:hAnsi="Arial"/>
          <w:sz w:val="16"/>
          <w:szCs w:val="16"/>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or pursuant to a domestic relations order that would satisfy Section 414(p)(1)(A) of the Code if such Section applied to an Option under the Plan; provided,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that the Committee may (but need not) permit other transfers. The Options may be exercised during the lifetime of Optionee only by Optionee or any permitted transferee.</w:t>
      </w:r>
    </w:p>
    <w:p>
      <w:pPr>
        <w:spacing w:after="0" w:line="170" w:lineRule="exact"/>
        <w:rPr>
          <w:sz w:val="20"/>
          <w:szCs w:val="20"/>
          <w:color w:val="auto"/>
        </w:rPr>
      </w:pPr>
    </w:p>
    <w:p>
      <w:pPr>
        <w:jc w:val="both"/>
        <w:ind w:right="160" w:firstLine="332"/>
        <w:spacing w:after="0" w:line="302" w:lineRule="auto"/>
        <w:tabs>
          <w:tab w:leader="none" w:pos="67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Restrictions on Issuance of Shares</w:t>
      </w:r>
      <w:r>
        <w:rPr>
          <w:rFonts w:ascii="Arial" w:cs="Arial" w:eastAsia="Arial" w:hAnsi="Arial"/>
          <w:sz w:val="16"/>
          <w:szCs w:val="16"/>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154" w:lineRule="exact"/>
        <w:rPr>
          <w:rFonts w:ascii="Arial" w:cs="Arial" w:eastAsia="Arial" w:hAnsi="Arial"/>
          <w:sz w:val="16"/>
          <w:szCs w:val="16"/>
          <w:color w:val="auto"/>
        </w:rPr>
      </w:pPr>
    </w:p>
    <w:p>
      <w:pPr>
        <w:ind w:right="240" w:firstLine="332"/>
        <w:spacing w:after="0" w:line="255"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Committee may amend, modify or terminate this Agreement without approval of the Optionee; provided, however, that such amendment, modification or termination shall not, without the Optionee’s consent, reduce or diminish the value of this award determined as if it had been fully vested and exercised on the date of such amendment or termination (with the per-share value being calculated as the excess, if any, of the Fair Market Value over the exercise price of the Options). Notwithstanding anything herein to the contrary, the Company is authorized, without Grantee’s consent, to amend or interpret this Agreement to the extent necessary, if any, to comply with Section 409A of the Code and Treasury regulations and guidance with respect to such law.</w:t>
      </w:r>
    </w:p>
    <w:p>
      <w:pPr>
        <w:spacing w:after="0" w:line="193" w:lineRule="exact"/>
        <w:rPr>
          <w:rFonts w:ascii="Arial" w:cs="Arial" w:eastAsia="Arial" w:hAnsi="Arial"/>
          <w:sz w:val="18"/>
          <w:szCs w:val="18"/>
          <w:color w:val="auto"/>
        </w:rPr>
      </w:pPr>
    </w:p>
    <w:p>
      <w:pPr>
        <w:ind w:right="20" w:firstLine="332"/>
        <w:spacing w:after="0" w:line="264" w:lineRule="auto"/>
        <w:tabs>
          <w:tab w:leader="none" w:pos="67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Plan Controls</w:t>
      </w:r>
      <w:r>
        <w:rPr>
          <w:rFonts w:ascii="Arial" w:cs="Arial" w:eastAsia="Arial" w:hAnsi="Arial"/>
          <w:sz w:val="18"/>
          <w:szCs w:val="18"/>
          <w:color w:val="auto"/>
        </w:rPr>
        <w:t>. The terms and conditions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ectPr>
          <w:pgSz w:w="11900" w:h="16838" w:orient="portrait"/>
          <w:cols w:equalWidth="0" w:num="1">
            <w:col w:w="11400"/>
          </w:cols>
          <w:pgMar w:left="240" w:top="125" w:right="259" w:bottom="0" w:gutter="0" w:footer="0" w:header="0"/>
        </w:sectPr>
      </w:pPr>
    </w:p>
    <w:bookmarkStart w:id="37" w:name="page38"/>
    <w:bookmarkEnd w:id="37"/>
    <w:p>
      <w:pPr>
        <w:ind w:left="348" w:hanging="348"/>
        <w:spacing w:after="0"/>
        <w:tabs>
          <w:tab w:leader="none" w:pos="34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be binding upon any successor of the Company, in accordance with the terms of this Agreement and the Plan.</w:t>
      </w:r>
    </w:p>
    <w:p>
      <w:pPr>
        <w:spacing w:after="0" w:line="248" w:lineRule="exact"/>
        <w:rPr>
          <w:rFonts w:ascii="Arial" w:cs="Arial" w:eastAsia="Arial" w:hAnsi="Arial"/>
          <w:sz w:val="16"/>
          <w:szCs w:val="16"/>
          <w:color w:val="auto"/>
        </w:rPr>
      </w:pPr>
    </w:p>
    <w:p>
      <w:pPr>
        <w:ind w:left="-332" w:right="460" w:firstLine="332"/>
        <w:spacing w:after="0" w:line="277" w:lineRule="auto"/>
        <w:tabs>
          <w:tab w:leader="none" w:pos="33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170" w:lineRule="exact"/>
        <w:rPr>
          <w:rFonts w:ascii="Arial" w:cs="Arial" w:eastAsia="Arial" w:hAnsi="Arial"/>
          <w:sz w:val="18"/>
          <w:szCs w:val="18"/>
          <w:color w:val="auto"/>
        </w:rPr>
      </w:pPr>
    </w:p>
    <w:p>
      <w:pPr>
        <w:ind w:left="-332" w:firstLine="332"/>
        <w:spacing w:after="0" w:line="302" w:lineRule="auto"/>
        <w:tabs>
          <w:tab w:leader="none" w:pos="33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165100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08"/>
          </w:cols>
          <w:pgMar w:left="572" w:top="341" w:right="319" w:bottom="1440" w:gutter="0" w:footer="0" w:header="0"/>
        </w:sectPr>
      </w:pPr>
    </w:p>
    <w:bookmarkStart w:id="38" w:name="page39"/>
    <w:bookmarkEnd w:id="38"/>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Mail Stop 557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Boise, ID 83716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1994 Stock Option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Agreement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Pursuant to the terms and conditions of the Company’s </w:t>
      </w:r>
      <w:r>
        <w:rPr>
          <w:rFonts w:ascii="Arial" w:cs="Arial" w:eastAsia="Arial" w:hAnsi="Arial"/>
          <w:sz w:val="18"/>
          <w:szCs w:val="18"/>
          <w:b w:val="1"/>
          <w:bCs w:val="1"/>
          <w:color w:val="auto"/>
        </w:rPr>
        <w:t>1994 Stock Option Plan</w:t>
      </w:r>
      <w:r>
        <w:rPr>
          <w:rFonts w:ascii="Arial" w:cs="Arial" w:eastAsia="Arial" w:hAnsi="Arial"/>
          <w:sz w:val="18"/>
          <w:szCs w:val="18"/>
          <w:color w:val="auto"/>
        </w:rPr>
        <w:t xml:space="preserve"> (the ‘Plan’), you have been granted a Non-Qualified Stock Option to purchase shares (the ‘Option’) of stock as outlined below.</w:t>
      </w:r>
    </w:p>
    <w:p>
      <w:pPr>
        <w:sectPr>
          <w:pgSz w:w="11900" w:h="16894" w:orient="portrait"/>
          <w:cols w:equalWidth="0" w:num="1">
            <w:col w:w="11420"/>
          </w:cols>
          <w:pgMar w:left="240" w:top="121" w:right="239" w:bottom="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Granted To: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[EMPLOYEE]</w:t>
      </w:r>
    </w:p>
    <w:p>
      <w:pPr>
        <w:spacing w:after="0" w:line="200" w:lineRule="exact"/>
        <w:rPr>
          <w:sz w:val="20"/>
          <w:szCs w:val="20"/>
          <w:color w:val="auto"/>
        </w:rPr>
      </w:pPr>
    </w:p>
    <w:p>
      <w:pPr>
        <w:sectPr>
          <w:pgSz w:w="11900" w:h="16894" w:orient="portrait"/>
          <w:cols w:equalWidth="0" w:num="2">
            <w:col w:w="1520" w:space="220"/>
            <w:col w:w="9680"/>
          </w:cols>
          <w:pgMar w:left="240" w:top="121" w:right="239" w:bottom="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Date: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Granted: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 Price per Share: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jc w:val="center"/>
        <w:ind w:right="3500"/>
        <w:spacing w:after="0"/>
        <w:rPr>
          <w:sz w:val="20"/>
          <w:szCs w:val="20"/>
          <w:color w:val="auto"/>
        </w:rPr>
      </w:pPr>
      <w:r>
        <w:rPr>
          <w:rFonts w:ascii="Arial" w:cs="Arial" w:eastAsia="Arial" w:hAnsi="Arial"/>
          <w:sz w:val="16"/>
          <w:szCs w:val="16"/>
          <w:color w:val="auto"/>
        </w:rPr>
        <w:t>Total Cost to Exercise: $</w:t>
      </w:r>
    </w:p>
    <w:p>
      <w:pPr>
        <w:spacing w:after="0" w:line="214" w:lineRule="exact"/>
        <w:rPr>
          <w:sz w:val="20"/>
          <w:szCs w:val="20"/>
          <w:color w:val="auto"/>
        </w:rPr>
      </w:pPr>
    </w:p>
    <w:p>
      <w:pPr>
        <w:sectPr>
          <w:pgSz w:w="11900" w:h="16894" w:orient="portrait"/>
          <w:cols w:equalWidth="0" w:num="2">
            <w:col w:w="5420" w:space="720"/>
            <w:col w:w="5280"/>
          </w:cols>
          <w:pgMar w:left="240" w:top="121" w:right="239" w:bottom="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Schedule:</w:t>
      </w:r>
    </w:p>
    <w:p>
      <w:pPr>
        <w:sectPr>
          <w:pgSz w:w="11900" w:h="16894" w:orient="portrait"/>
          <w:cols w:equalWidth="0" w:num="1">
            <w:col w:w="11420"/>
          </w:cols>
          <w:pgMar w:left="240" w:top="121" w:right="239" w:bottom="0" w:gutter="0" w:footer="0" w:header="0"/>
          <w:type w:val="continuous"/>
        </w:sectPr>
      </w:pPr>
    </w:p>
    <w:p>
      <w:pPr>
        <w:spacing w:after="0" w:line="23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This option may be exercised for thirty (30) days after termination of the Optionee’s employment or consulting relationship with the Company. Upon the death or disability of the Optionee, this Option may be exercised for such longer period as provided in the Plan. In no event shall this option be exercised later than the Expiration date as provided above.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By my signature below, I hereby acknowledge receipt of this Option granted on the date shown above, which has been issued to me under the terms and conditions of the Plan. I further acknowledge receipt of the copy of the Plan and agree to conform to all of the terms and conditions of the Option and the Plan.</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 acknowledge that the grant or acceptance of this Option do not constitute an employment agreement and do not assure continuous employment with Micron Technology, Inc., its affiliated companies, or subsidiaries.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 authorize Micron Technology, Inc. to release my Social Security Number and address information to the Company’s Broker who has agreed to provide brokerage service for stock plan participants for the purposes of opening an account under my name.</w:t>
      </w:r>
    </w:p>
    <w:p>
      <w:pPr>
        <w:spacing w:after="0" w:line="38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280035</wp:posOffset>
            </wp:positionV>
            <wp:extent cx="3404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3224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1994 STOCK OPTION PLAN TERMS AND CONDITIONS OF NOTICE OF GRANT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herein, the terms defined in the Plan shall have the same defined meanings in this Option Agreement.</w:t>
      </w:r>
    </w:p>
    <w:p>
      <w:pPr>
        <w:spacing w:after="0" w:line="221" w:lineRule="exact"/>
        <w:rPr>
          <w:sz w:val="20"/>
          <w:szCs w:val="20"/>
          <w:color w:val="auto"/>
        </w:rPr>
      </w:pPr>
    </w:p>
    <w:p>
      <w:pPr>
        <w:ind w:left="680" w:hanging="672"/>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Optionee named on the Notice of Grant on the reverse side hereof has been granted an option to purchase Common Stock of the Company, subject to the terms and conditions of the 1994 Stock Option Plan (the “Plan”), and this Option Agreement.</w:t>
      </w:r>
    </w:p>
    <w:p>
      <w:pPr>
        <w:spacing w:after="0" w:line="166" w:lineRule="exact"/>
        <w:rPr>
          <w:sz w:val="20"/>
          <w:szCs w:val="20"/>
          <w:color w:val="auto"/>
        </w:rPr>
      </w:pPr>
    </w:p>
    <w:p>
      <w:pPr>
        <w:ind w:left="700" w:hanging="692"/>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right="440" w:firstLine="656"/>
        <w:spacing w:after="0" w:line="302" w:lineRule="auto"/>
        <w:tabs>
          <w:tab w:leader="none" w:pos="131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Plan Administrator of the Company hereby grants to the Optionee (the “Optionee”), an option (the “Option”) to purchase the number of Shares, as set forth in the Notice of Grant, at the exercise price per share set forth in the Notice of Grant (the “Exercise Price”), subject to the terms and conditions of the Plan, which is incorporated herein by reference. Subject to Section 14(c) of the Plan, in the event of a conflict between the terms and conditions of the Plan and the terms and conditions of this Option Agreement, the terms and conditions of the Plan shall prevail.</w:t>
      </w:r>
    </w:p>
    <w:p>
      <w:pPr>
        <w:spacing w:after="0" w:line="15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If designated in the Notice of Grant as an Incentive Stock Option (“ISO”), this Option is intended to qualify as an Incentive Stock Option under Section 422 of the Code. However, if this Option is intended to be an Incentive Stock Option, to the extent that it exceeds the $100,000 rule of Code Section 422(d) it shall be treated as a Nonstatutory Stock Option (“NSO”).</w:t>
      </w:r>
    </w:p>
    <w:p>
      <w:pPr>
        <w:spacing w:after="0" w:line="181" w:lineRule="exact"/>
        <w:rPr>
          <w:sz w:val="20"/>
          <w:szCs w:val="20"/>
          <w:color w:val="auto"/>
        </w:rPr>
      </w:pPr>
    </w:p>
    <w:p>
      <w:pPr>
        <w:ind w:left="1320" w:hanging="664"/>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1305"/>
        <w:spacing w:after="0" w:line="342" w:lineRule="auto"/>
        <w:tabs>
          <w:tab w:leader="none" w:pos="195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This Option is exercisable during its term in accordance with the Vesting Schedule set out in the Notice of Grant and the applicable provisions of the Plan and this Option Agreement. In the event of Optionee’s death, Disability or other termination of Optionee’s</w:t>
      </w:r>
    </w:p>
    <w:p>
      <w:pPr>
        <w:sectPr>
          <w:pgSz w:w="11900" w:h="16894" w:orient="portrait"/>
          <w:cols w:equalWidth="0" w:num="1">
            <w:col w:w="11420"/>
          </w:cols>
          <w:pgMar w:left="240" w:top="121" w:right="23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color w:val="auto"/>
        </w:rPr>
        <w:t>employment consulting relationship, the exercisability of the Option is governed by the applicable provisions of the Plan and this Option Agreement.</w:t>
      </w:r>
    </w:p>
    <w:p>
      <w:pPr>
        <w:spacing w:after="0" w:line="237" w:lineRule="exact"/>
        <w:rPr>
          <w:sz w:val="20"/>
          <w:szCs w:val="20"/>
          <w:color w:val="auto"/>
        </w:rPr>
      </w:pPr>
    </w:p>
    <w:p>
      <w:pPr>
        <w:ind w:firstLine="1305"/>
        <w:spacing w:after="0" w:line="273" w:lineRule="auto"/>
        <w:tabs>
          <w:tab w:leader="none" w:pos="195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This Option is exercisable by delivery of an exercise notice, substantially in a form approved by the Company (the “Exercise Notice), which shall state the election to exercise the Option, the number of Shares in respect of which the Option is being exercised (the “Exercise Shares”), and such other representations and agreements as may be required by the Company pursuant to the provisions of the Plan. The Exercise Notice shall be signed by the Optionee and shall be delivered in person or by certified mail to the Secretary of the Company. The Exercise Notice shall be accompanied by payment of the aggregate Exercise Price as to all Exercised Shares. This Option shall be deemed to be exercised upon receipt by the Company of such fully executed Exercise Notice accompanied by such aggregate Exercise Price.</w:t>
      </w:r>
    </w:p>
    <w:p>
      <w:pPr>
        <w:spacing w:after="0" w:line="178"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No Shares shall be issued pursuant to the exercise of this Option unless such issuance and exercise complies with all relevant provisions of law and the requirements of any stock exchange or quotation service upon which the Shares are then listed. Assuming such compliance, for income tax purposes the Exercise Shares shall be considered transferred to the Optionee on the date the Option is exercised with respect to such Exercise Shares.</w:t>
      </w:r>
    </w:p>
    <w:p>
      <w:pPr>
        <w:spacing w:after="0" w:line="147" w:lineRule="exact"/>
        <w:rPr>
          <w:sz w:val="20"/>
          <w:szCs w:val="20"/>
          <w:color w:val="auto"/>
        </w:rPr>
      </w:pPr>
    </w:p>
    <w:p>
      <w:pPr>
        <w:ind w:left="1320" w:hanging="664"/>
        <w:spacing w:after="0"/>
        <w:tabs>
          <w:tab w:leader="none" w:pos="13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Optionee: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check; or,</w:t>
      </w:r>
    </w:p>
    <w:p>
      <w:pPr>
        <w:spacing w:after="0" w:line="225" w:lineRule="exact"/>
        <w:rPr>
          <w:rFonts w:ascii="Arial" w:cs="Arial" w:eastAsia="Arial" w:hAnsi="Arial"/>
          <w:sz w:val="18"/>
          <w:szCs w:val="18"/>
          <w:color w:val="auto"/>
        </w:rPr>
      </w:pPr>
    </w:p>
    <w:p>
      <w:pPr>
        <w:ind w:right="280" w:firstLine="1305"/>
        <w:spacing w:after="0" w:line="342" w:lineRule="auto"/>
        <w:tabs>
          <w:tab w:leader="none" w:pos="1955"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delivery of a properly executed Exercise Notice together with such other documentation as the Administrator and the broker, if applicable, shall require to effect an exercise of the Option and delivery to the Company of the sale of loan proceeds required to pay the exercise price.</w:t>
      </w:r>
    </w:p>
    <w:p>
      <w:pPr>
        <w:spacing w:after="0" w:line="123" w:lineRule="exact"/>
        <w:rPr>
          <w:rFonts w:ascii="Arial" w:cs="Arial" w:eastAsia="Arial" w:hAnsi="Arial"/>
          <w:sz w:val="16"/>
          <w:szCs w:val="16"/>
          <w:color w:val="auto"/>
        </w:rPr>
      </w:pPr>
    </w:p>
    <w:p>
      <w:pPr>
        <w:ind w:right="220" w:firstLine="656"/>
        <w:spacing w:after="0" w:line="264" w:lineRule="auto"/>
        <w:tabs>
          <w:tab w:leader="none" w:pos="131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181" w:lineRule="exact"/>
        <w:rPr>
          <w:rFonts w:ascii="Arial" w:cs="Arial" w:eastAsia="Arial" w:hAnsi="Arial"/>
          <w:sz w:val="18"/>
          <w:szCs w:val="18"/>
          <w:color w:val="auto"/>
        </w:rPr>
      </w:pPr>
    </w:p>
    <w:p>
      <w:pPr>
        <w:ind w:right="80" w:firstLine="656"/>
        <w:spacing w:after="0" w:line="277" w:lineRule="auto"/>
        <w:tabs>
          <w:tab w:leader="none" w:pos="131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right="60" w:firstLine="656"/>
        <w:spacing w:after="0" w:line="302" w:lineRule="auto"/>
        <w:tabs>
          <w:tab w:leader="none" w:pos="131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this Option Agreement and Notice of Grant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Delaware law except for that body of law pertaining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-940435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3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By your acceptance of this agreement, you agree that the Options is granted under and governed by the terms and conditions of the Plan, the Option Agreement and Notice of Grant. Optionee has reviewed the Plan, this Option Agreement and Notice of Grant in their entirety, has had an opportunity to obtain the advice of counsel prior to executing this Option Agreement and fully understands all provisions of the Plan, this Option Agreement and Notice of Grant. Optionee hereby agrees to accept as binding, conclusive and final all decisions or interpretations of the Administrator upon any questions relating to the Plan and Option Agreement. Optionee further agrees to notify the Company upon any change in the Optionee’s residence address by contacting the Company’s Stock Administration Department.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Revised: 9/11/2001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10.64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Mail Stop 557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Boise, ID 83716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Nonstatutory Stock Option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Agreement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w:t>
      </w:r>
    </w:p>
    <w:p>
      <w:pPr>
        <w:spacing w:after="0" w:line="20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Pursuant to the terms and conditions of the Company’s </w:t>
      </w:r>
      <w:r>
        <w:rPr>
          <w:rFonts w:ascii="Arial" w:cs="Arial" w:eastAsia="Arial" w:hAnsi="Arial"/>
          <w:sz w:val="18"/>
          <w:szCs w:val="18"/>
          <w:b w:val="1"/>
          <w:bCs w:val="1"/>
          <w:color w:val="auto"/>
        </w:rPr>
        <w:t>Nonstatutory Stock Option Plan</w:t>
      </w:r>
      <w:r>
        <w:rPr>
          <w:rFonts w:ascii="Arial" w:cs="Arial" w:eastAsia="Arial" w:hAnsi="Arial"/>
          <w:sz w:val="18"/>
          <w:szCs w:val="18"/>
          <w:color w:val="auto"/>
        </w:rPr>
        <w:t xml:space="preserve"> (the ‘Plan’), you have been granted a Non-Qualified Stock Option to purchase shares (the ‘Option’) of stock as outlined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Granted To: [EMPLOYEE]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 Date: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Granted:</w:t>
      </w:r>
    </w:p>
    <w:p>
      <w:pPr>
        <w:sectPr>
          <w:pgSz w:w="11900" w:h="16838" w:orient="portrait"/>
          <w:cols w:equalWidth="0" w:num="1">
            <w:col w:w="11420"/>
          </w:cols>
          <w:pgMar w:left="240" w:top="121" w:right="239" w:bottom="53" w:gutter="0" w:footer="0" w:header="0"/>
        </w:sectPr>
      </w:pP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 Cost to Exercise: $</w:t>
      </w:r>
    </w:p>
    <w:p>
      <w:pPr>
        <w:spacing w:after="0" w:line="200" w:lineRule="exact"/>
        <w:rPr>
          <w:sz w:val="20"/>
          <w:szCs w:val="20"/>
          <w:color w:val="auto"/>
        </w:rPr>
      </w:pPr>
    </w:p>
    <w:p>
      <w:pPr>
        <w:sectPr>
          <w:pgSz w:w="11900" w:h="16838" w:orient="portrait"/>
          <w:cols w:equalWidth="0" w:num="3">
            <w:col w:w="2020" w:space="100"/>
            <w:col w:w="1800" w:space="720"/>
            <w:col w:w="6780"/>
          </w:cols>
          <w:pgMar w:left="240" w:top="121" w:right="239" w:bottom="53" w:gutter="0" w:footer="0" w:header="0"/>
          <w:type w:val="continuous"/>
        </w:sectPr>
      </w:pPr>
    </w:p>
    <w:p>
      <w:pPr>
        <w:spacing w:after="0" w:line="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Expiration Date: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Vesting Schedule:</w:t>
      </w:r>
    </w:p>
    <w:p>
      <w:pPr>
        <w:sectPr>
          <w:pgSz w:w="11900" w:h="16838" w:orient="portrait"/>
          <w:cols w:equalWidth="0" w:num="1">
            <w:col w:w="11420"/>
          </w:cols>
          <w:pgMar w:left="240" w:top="121" w:right="239" w:bottom="53" w:gutter="0" w:footer="0" w:header="0"/>
          <w:type w:val="continuous"/>
        </w:sectPr>
      </w:pPr>
    </w:p>
    <w:p>
      <w:pPr>
        <w:spacing w:after="0" w:line="24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This option may be exercised for thirty (30) days after termination of the Optionee’s employment or consulting relationship with the Company. Upon the death or disability of the Optionee, this Option may be exercised for such longer period as provided in the Plan. In no event shall this option be exercised later than the Expiration date as provided above.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By my signature below, I hereby acknowledge receipt of this Option granted on the date shown above, which has been issued to me under the terms and conditions of the Plan. I further acknowledge receipt of the copy of the Plan and agree to conform to all of the terms and conditions of the Option and the Plan.</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 acknowledge that the grant or acceptance of this Option do not constitute an employment agreement and do not assure continuous employment with Micron Technology, Inc., its affiliated companies, or subsidiaries.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 authorize Micron Technology, Inc. to release my Social Security Number and address information to the Company’s Broker who has agreed to provide brokerage service for stock plan participants for the purposes of opening an account under my name.</w:t>
      </w:r>
    </w:p>
    <w:p>
      <w:pPr>
        <w:spacing w:after="0" w:line="383"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MICRON TECHNOLOGY,</w:t>
      </w:r>
    </w:p>
    <w:p>
      <w:pPr>
        <w:spacing w:after="0" w:line="27"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INC.</w:t>
      </w:r>
    </w:p>
    <w:p>
      <w:pPr>
        <w:spacing w:after="0" w:line="9"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280035</wp:posOffset>
            </wp:positionV>
            <wp:extent cx="15779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-130810</wp:posOffset>
            </wp:positionV>
            <wp:extent cx="50171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47167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NONSTATUTORY STOCK OPTION PLAN TERMS AND CONDITIONS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defined herein, the terms defined in the Plan shall have the same defined meanings in this Option Agreement.</w:t>
      </w:r>
    </w:p>
    <w:p>
      <w:pPr>
        <w:spacing w:after="0" w:line="221"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Optionee named on the Notice of Grant on the reverse side hereof has been granted an option to purchase Common Stock of the Company, subject to the terms and conditions of the Nonstatutory Stock Option Plan (the “Plan”), and this Option Agreement.</w:t>
      </w:r>
    </w:p>
    <w:p>
      <w:pPr>
        <w:spacing w:after="0" w:line="166" w:lineRule="exact"/>
        <w:rPr>
          <w:sz w:val="20"/>
          <w:szCs w:val="20"/>
          <w:color w:val="auto"/>
        </w:rPr>
      </w:pPr>
    </w:p>
    <w:p>
      <w:pPr>
        <w:ind w:left="700" w:hanging="692"/>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w:t>
      </w:r>
    </w:p>
    <w:p>
      <w:pPr>
        <w:spacing w:after="0" w:line="229" w:lineRule="exact"/>
        <w:rPr>
          <w:rFonts w:ascii="Arial" w:cs="Arial" w:eastAsia="Arial" w:hAnsi="Arial"/>
          <w:sz w:val="18"/>
          <w:szCs w:val="18"/>
          <w:b w:val="1"/>
          <w:bCs w:val="1"/>
          <w:color w:val="auto"/>
        </w:rPr>
      </w:pPr>
    </w:p>
    <w:p>
      <w:pPr>
        <w:ind w:right="440" w:firstLine="656"/>
        <w:spacing w:after="0" w:line="302" w:lineRule="auto"/>
        <w:tabs>
          <w:tab w:leader="none" w:pos="1310"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Plan Administrator of the Company hereby grants to the Optionee (the “Optionee”), an option (the “Option”) to purchase the number of Shares, as set forth in the Notice of Grant, at the exercise price per share set forth in the Notice of Grant (the “Exercise Price”), subject to the terms and conditions of the Plan, which is incorporated herein by reference. Subject to Section 14(b) of the Plan, in the event of a conflict between the terms and conditions of the Plan and the terms and conditions of this Option Agreement, the terms and conditions of the Plan shall prevail.</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86" w:lineRule="auto"/>
        <w:tabs>
          <w:tab w:leader="none" w:pos="1586" w:val="left"/>
        </w:tabs>
        <w:numPr>
          <w:ilvl w:val="2"/>
          <w:numId w:val="53"/>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is exercisable during its term in accordance with the Vesting Schedule set out in the Notice of Grant and the applicable provisions of the Plan and this Option Agreement. In the event of an Optionee’s death, disability or other termination of Optionee’s employment or consulting relationship, the exercisability of the Option is governed by the applicable provisions of the Plan and this Option Agreement.</w:t>
      </w:r>
    </w:p>
    <w:p>
      <w:pPr>
        <w:sectPr>
          <w:pgSz w:w="11900" w:h="16838" w:orient="portrait"/>
          <w:cols w:equalWidth="0" w:num="1">
            <w:col w:w="11420"/>
          </w:cols>
          <w:pgMar w:left="240" w:top="121" w:right="239" w:bottom="53" w:gutter="0" w:footer="0" w:header="0"/>
          <w:type w:val="continuous"/>
        </w:sectPr>
      </w:pPr>
    </w:p>
    <w:bookmarkStart w:id="41" w:name="page42"/>
    <w:bookmarkEnd w:id="41"/>
    <w:p>
      <w:pPr>
        <w:ind w:firstLine="1305"/>
        <w:spacing w:after="0" w:line="273" w:lineRule="auto"/>
        <w:tabs>
          <w:tab w:leader="none" w:pos="1596"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This Option is exercisable by delivery of an exercise notice, substantially in a form approved by the Company (the “Exercise Notice”), which shall state the election to exercise the Option, the number of Shares in respect of which the Option is being exercised (the “Exercise Shares”), and such other representations and agreements as may be required by the Company pursuant to the provisions of the Plan. The Exercise Notice shall be signed by the Optionee and shall be delivered in person or by certified mail to the Secretary of the Company. The Exercise Notice shall be accompanied by payment of the aggregate Exercise Price as to all Exercised Shares. This Option shall be deemed to be exercised upon receipt by the Company of such fully executed Exercise Notice accompanied by such aggregate Exercise Price.</w:t>
      </w:r>
    </w:p>
    <w:p>
      <w:pPr>
        <w:spacing w:after="0" w:line="178"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No Shares shall be issued pursuant to the exercise of this Option unless such issuance and exercise complies with all relevant provisions of law and the requirements of any stock exchange or quotation service upon which the Shares are then listed. Assuming such compliance, for income tax purposes the Exercise Shares shall be considered transferred to the Optionee on the date the Option is exercised with respect to such Exercise Shares.</w:t>
      </w:r>
    </w:p>
    <w:p>
      <w:pPr>
        <w:spacing w:after="0" w:line="147" w:lineRule="exact"/>
        <w:rPr>
          <w:sz w:val="20"/>
          <w:szCs w:val="20"/>
          <w:color w:val="auto"/>
        </w:rPr>
      </w:pPr>
    </w:p>
    <w:p>
      <w:pPr>
        <w:ind w:left="1320" w:hanging="664"/>
        <w:spacing w:after="0"/>
        <w:tabs>
          <w:tab w:leader="none" w:pos="13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Optionee:</w:t>
      </w:r>
    </w:p>
    <w:p>
      <w:pPr>
        <w:spacing w:after="0" w:line="210" w:lineRule="exact"/>
        <w:rPr>
          <w:rFonts w:ascii="Arial" w:cs="Arial" w:eastAsia="Arial" w:hAnsi="Arial"/>
          <w:sz w:val="16"/>
          <w:szCs w:val="16"/>
          <w:color w:val="auto"/>
        </w:rPr>
      </w:pPr>
    </w:p>
    <w:p>
      <w:pPr>
        <w:ind w:left="1600" w:hanging="295"/>
        <w:spacing w:after="0"/>
        <w:tabs>
          <w:tab w:leader="none" w:pos="1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check; or,</w:t>
      </w:r>
    </w:p>
    <w:p>
      <w:pPr>
        <w:spacing w:after="0" w:line="225" w:lineRule="exact"/>
        <w:rPr>
          <w:rFonts w:ascii="Arial" w:cs="Arial" w:eastAsia="Arial" w:hAnsi="Arial"/>
          <w:sz w:val="18"/>
          <w:szCs w:val="18"/>
          <w:color w:val="auto"/>
        </w:rPr>
      </w:pPr>
    </w:p>
    <w:p>
      <w:pPr>
        <w:ind w:right="560" w:firstLine="1305"/>
        <w:spacing w:after="0" w:line="342" w:lineRule="auto"/>
        <w:tabs>
          <w:tab w:leader="none" w:pos="1586"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delivery of a properly executed Exercise Notice together with such other documentation as the Administrator and the broker, if applicable, shall require to effect an exercise of the Option and delivery to the Company of the sale of loan proceeds required to pay the exercise price.</w:t>
      </w:r>
    </w:p>
    <w:p>
      <w:pPr>
        <w:spacing w:after="0" w:line="123" w:lineRule="exact"/>
        <w:rPr>
          <w:rFonts w:ascii="Arial" w:cs="Arial" w:eastAsia="Arial" w:hAnsi="Arial"/>
          <w:sz w:val="16"/>
          <w:szCs w:val="16"/>
          <w:color w:val="auto"/>
        </w:rPr>
      </w:pPr>
    </w:p>
    <w:p>
      <w:pPr>
        <w:ind w:right="260" w:firstLine="656"/>
        <w:spacing w:after="0" w:line="264" w:lineRule="auto"/>
        <w:tabs>
          <w:tab w:leader="none" w:pos="131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181" w:lineRule="exact"/>
        <w:rPr>
          <w:rFonts w:ascii="Arial" w:cs="Arial" w:eastAsia="Arial" w:hAnsi="Arial"/>
          <w:sz w:val="18"/>
          <w:szCs w:val="18"/>
          <w:color w:val="auto"/>
        </w:rPr>
      </w:pPr>
    </w:p>
    <w:p>
      <w:pPr>
        <w:ind w:right="120" w:firstLine="656"/>
        <w:spacing w:after="0" w:line="277" w:lineRule="auto"/>
        <w:tabs>
          <w:tab w:leader="none" w:pos="131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Option Agreement.</w:t>
      </w:r>
    </w:p>
    <w:p>
      <w:pPr>
        <w:spacing w:after="0" w:line="170" w:lineRule="exact"/>
        <w:rPr>
          <w:rFonts w:ascii="Arial" w:cs="Arial" w:eastAsia="Arial" w:hAnsi="Arial"/>
          <w:sz w:val="18"/>
          <w:szCs w:val="18"/>
          <w:color w:val="auto"/>
        </w:rPr>
      </w:pPr>
    </w:p>
    <w:p>
      <w:pPr>
        <w:ind w:right="100" w:firstLine="656"/>
        <w:spacing w:after="0" w:line="302" w:lineRule="auto"/>
        <w:tabs>
          <w:tab w:leader="none" w:pos="131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this Option Agreement and Notice of Grant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Delaware law except for that body of law pertaining to conflict of laws.</w:t>
      </w:r>
    </w:p>
    <w:p>
      <w:pPr>
        <w:spacing w:after="0" w:line="15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By your acceptance of this agreement, you agree that the Option is granted under and governed by the terms and conditions of the Plan, this Option Agreement and Notice of Grant. Optionee has reviewed the Plan, this Option Agreement and Notice of Grant in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entirety, has had an opportunity to obtain the advice of counsel prior to executing this Option Agreement and fully understands all provisions of the Plan, this Option Agreement and Notice of Grant. Optionee hereby agrees to accept as binding, conclusive and final all decisions or interpretations of the Administrator upon any questions relating to the Plan and Option Agreement. Optionee further agrees to notify the Company upon any change in the Optionee’s residence address by contacting the Company’s Stock Administration Department.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Revised: 10/19/01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1989 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constitute the provisions of the 1989 Employee Stock Purchase Plan of Micron Technology, Inc.:</w:t>
      </w:r>
    </w:p>
    <w:p>
      <w:pPr>
        <w:spacing w:after="0" w:line="225" w:lineRule="exact"/>
        <w:rPr>
          <w:sz w:val="20"/>
          <w:szCs w:val="20"/>
          <w:color w:val="auto"/>
        </w:rPr>
      </w:pPr>
    </w:p>
    <w:p>
      <w:pPr>
        <w:jc w:val="both"/>
        <w:ind w:right="60" w:firstLine="656"/>
        <w:spacing w:after="0" w:line="279" w:lineRule="auto"/>
        <w:tabs>
          <w:tab w:leader="none" w:pos="131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of the Board appointed by the Board to administer the Plan, if any is appointed.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$.10 par value,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Micron Technology, Inc., a Delaware corporation.</w:t>
      </w:r>
    </w:p>
    <w:p>
      <w:pPr>
        <w:spacing w:after="0" w:line="225" w:lineRule="exact"/>
        <w:rPr>
          <w:rFonts w:ascii="Arial" w:cs="Arial" w:eastAsia="Arial" w:hAnsi="Arial"/>
          <w:sz w:val="18"/>
          <w:szCs w:val="18"/>
          <w:color w:val="auto"/>
        </w:rPr>
      </w:pPr>
    </w:p>
    <w:p>
      <w:pPr>
        <w:jc w:val="both"/>
        <w:ind w:right="180" w:firstLine="1305"/>
        <w:spacing w:after="0" w:line="259" w:lineRule="auto"/>
        <w:tabs>
          <w:tab w:leader="none" w:pos="1963"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87" w:lineRule="exact"/>
        <w:rPr>
          <w:sz w:val="20"/>
          <w:szCs w:val="20"/>
          <w:color w:val="auto"/>
        </w:rPr>
      </w:pPr>
    </w:p>
    <w:p>
      <w:pPr>
        <w:ind w:right="140" w:firstLine="1297"/>
        <w:spacing w:after="0" w:line="270" w:lineRule="auto"/>
        <w:rPr>
          <w:sz w:val="20"/>
          <w:szCs w:val="20"/>
          <w:color w:val="auto"/>
        </w:rPr>
      </w:pPr>
      <w:r>
        <w:rPr>
          <w:rFonts w:ascii="Arial" w:cs="Arial" w:eastAsia="Arial" w:hAnsi="Arial"/>
          <w:sz w:val="17"/>
          <w:szCs w:val="17"/>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78" w:lineRule="exact"/>
        <w:rPr>
          <w:sz w:val="20"/>
          <w:szCs w:val="20"/>
          <w:color w:val="auto"/>
        </w:rPr>
      </w:pPr>
    </w:p>
    <w:p>
      <w:pPr>
        <w:ind w:right="300" w:firstLine="1305"/>
        <w:spacing w:after="0" w:line="312" w:lineRule="auto"/>
        <w:tabs>
          <w:tab w:leader="none" w:pos="19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146" w:lineRule="exact"/>
        <w:rPr>
          <w:rFonts w:ascii="Arial" w:cs="Arial" w:eastAsia="Arial" w:hAnsi="Arial"/>
          <w:sz w:val="16"/>
          <w:szCs w:val="16"/>
          <w:color w:val="auto"/>
        </w:rPr>
      </w:pPr>
    </w:p>
    <w:p>
      <w:pPr>
        <w:ind w:right="460" w:firstLine="1305"/>
        <w:spacing w:after="0" w:line="277" w:lineRule="auto"/>
        <w:tabs>
          <w:tab w:leader="none" w:pos="19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Subsidiaries</w:t>
      </w:r>
      <w:r>
        <w:rPr>
          <w:rFonts w:ascii="Arial" w:cs="Arial" w:eastAsia="Arial" w:hAnsi="Arial"/>
          <w:sz w:val="18"/>
          <w:szCs w:val="18"/>
          <w:color w:val="auto"/>
        </w:rPr>
        <w:t>” shall mean the Subsidiaries which have been designated by the Board from time to time in its sole discretion as eligible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02/08/2005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firstLine="1305"/>
        <w:spacing w:after="0" w:line="277" w:lineRule="auto"/>
        <w:tabs>
          <w:tab w:leader="none" w:pos="19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person, including an officer, who is continuously employed for at least twenty (20) hours per week and more than five (5) months in a calendar year by the Company or one of its Designated Subsidiaries.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shall mean the first day of each Offering Period.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shall mean the last Trading Day of each Offering Period of the Plan.</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5" w:lineRule="exact"/>
        <w:rPr>
          <w:rFonts w:ascii="Arial" w:cs="Arial" w:eastAsia="Arial" w:hAnsi="Arial"/>
          <w:sz w:val="18"/>
          <w:szCs w:val="18"/>
          <w:color w:val="auto"/>
        </w:rPr>
      </w:pPr>
    </w:p>
    <w:p>
      <w:pPr>
        <w:ind w:right="20" w:firstLine="1953"/>
        <w:spacing w:after="0" w:line="302" w:lineRule="auto"/>
        <w:tabs>
          <w:tab w:leader="none" w:pos="2614"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such other source as the Administrator deems reliable;</w:t>
      </w:r>
    </w:p>
    <w:p>
      <w:pPr>
        <w:spacing w:after="0" w:line="154" w:lineRule="exact"/>
        <w:rPr>
          <w:rFonts w:ascii="Arial" w:cs="Arial" w:eastAsia="Arial" w:hAnsi="Arial"/>
          <w:sz w:val="16"/>
          <w:szCs w:val="16"/>
          <w:color w:val="auto"/>
        </w:rPr>
      </w:pPr>
    </w:p>
    <w:p>
      <w:pPr>
        <w:jc w:val="both"/>
        <w:ind w:right="240" w:firstLine="1953"/>
        <w:spacing w:after="0" w:line="259" w:lineRule="auto"/>
        <w:tabs>
          <w:tab w:leader="none" w:pos="262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Bloomberg L.P. or such other source as the Administrator deems reliable;</w:t>
      </w:r>
    </w:p>
    <w:p>
      <w:pPr>
        <w:spacing w:after="0" w:line="186" w:lineRule="exact"/>
        <w:rPr>
          <w:rFonts w:ascii="Arial" w:cs="Arial" w:eastAsia="Arial" w:hAnsi="Arial"/>
          <w:sz w:val="18"/>
          <w:szCs w:val="18"/>
          <w:color w:val="auto"/>
        </w:rPr>
      </w:pPr>
    </w:p>
    <w:p>
      <w:pPr>
        <w:ind w:left="2640" w:hanging="687"/>
        <w:spacing w:after="0"/>
        <w:tabs>
          <w:tab w:leader="none" w:pos="26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shall be determined in good faith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ectPr>
          <w:pgSz w:w="11900" w:h="16838" w:orient="portrait"/>
          <w:cols w:equalWidth="0" w:num="1">
            <w:col w:w="11420"/>
          </w:cols>
          <w:pgMar w:left="240" w:top="121" w:right="239" w:bottom="0" w:gutter="0" w:footer="0" w:header="0"/>
        </w:sectPr>
      </w:pPr>
    </w:p>
    <w:bookmarkStart w:id="43" w:name="page44"/>
    <w:bookmarkEnd w:id="43"/>
    <w:p>
      <w:pPr>
        <w:ind w:left="1980" w:hanging="675"/>
        <w:spacing w:after="0"/>
        <w:tabs>
          <w:tab w:leader="none" w:pos="19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three (3) months during which an option granted pursuant to the Plan may be exercised.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Employee Stock Purchase Plan.</w:t>
      </w:r>
    </w:p>
    <w:p>
      <w:pPr>
        <w:spacing w:after="0" w:line="225" w:lineRule="exact"/>
        <w:rPr>
          <w:rFonts w:ascii="Arial" w:cs="Arial" w:eastAsia="Arial" w:hAnsi="Arial"/>
          <w:sz w:val="18"/>
          <w:szCs w:val="18"/>
          <w:color w:val="auto"/>
        </w:rPr>
      </w:pPr>
    </w:p>
    <w:p>
      <w:pPr>
        <w:ind w:right="540" w:firstLine="1305"/>
        <w:spacing w:after="0" w:line="342" w:lineRule="auto"/>
        <w:tabs>
          <w:tab w:leader="none" w:pos="1952" w:val="left"/>
        </w:tabs>
        <w:numPr>
          <w:ilvl w:val="1"/>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mean a day on which the national stock exchanges and Nasdaq system are open for trading.</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60" w:firstLine="1305"/>
        <w:spacing w:after="0" w:line="277" w:lineRule="auto"/>
        <w:tabs>
          <w:tab w:leader="none" w:pos="19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Employee as defined in paragraph 2 who is employed by the Company or any subsidiary of the Company on a given Enrollment Date shall be eligible to participate in the Plan.</w:t>
      </w:r>
    </w:p>
    <w:p>
      <w:pPr>
        <w:spacing w:after="0" w:line="170" w:lineRule="exact"/>
        <w:rPr>
          <w:rFonts w:ascii="Arial" w:cs="Arial" w:eastAsia="Arial" w:hAnsi="Arial"/>
          <w:sz w:val="18"/>
          <w:szCs w:val="18"/>
          <w:color w:val="auto"/>
        </w:rPr>
      </w:pPr>
    </w:p>
    <w:p>
      <w:pPr>
        <w:ind w:right="80" w:firstLine="1305"/>
        <w:spacing w:after="0" w:line="293" w:lineRule="auto"/>
        <w:tabs>
          <w:tab w:leader="none" w:pos="1952"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64" w:lineRule="exact"/>
        <w:rPr>
          <w:rFonts w:ascii="Arial" w:cs="Arial" w:eastAsia="Arial" w:hAnsi="Arial"/>
          <w:sz w:val="16"/>
          <w:szCs w:val="16"/>
          <w:color w:val="auto"/>
        </w:rPr>
      </w:pPr>
    </w:p>
    <w:p>
      <w:pPr>
        <w:ind w:right="100" w:firstLine="1305"/>
        <w:spacing w:after="0" w:line="277" w:lineRule="auto"/>
        <w:tabs>
          <w:tab w:leader="none" w:pos="19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Employees who participate in the Plan shall have the same rights and privileges, except for differences that may be mandated by local law and that are consistent with Code Section 423(b)(5);</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70" w:lineRule="exact"/>
        <w:rPr>
          <w:sz w:val="20"/>
          <w:szCs w:val="20"/>
          <w:color w:val="auto"/>
        </w:rPr>
      </w:pPr>
    </w:p>
    <w:p>
      <w:pPr>
        <w:ind w:right="120" w:firstLine="656"/>
        <w:spacing w:after="0" w:line="276" w:lineRule="auto"/>
        <w:tabs>
          <w:tab w:leader="none" w:pos="131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305"/>
        <w:spacing w:after="0" w:line="312" w:lineRule="auto"/>
        <w:tabs>
          <w:tab w:leader="none" w:pos="1955"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146" w:lineRule="exact"/>
        <w:rPr>
          <w:rFonts w:ascii="Arial" w:cs="Arial" w:eastAsia="Arial" w:hAnsi="Arial"/>
          <w:sz w:val="16"/>
          <w:szCs w:val="16"/>
          <w:color w:val="auto"/>
        </w:rPr>
      </w:pPr>
    </w:p>
    <w:p>
      <w:pPr>
        <w:ind w:right="240" w:firstLine="1305"/>
        <w:spacing w:after="0" w:line="308" w:lineRule="auto"/>
        <w:tabs>
          <w:tab w:leader="none" w:pos="1952" w:val="left"/>
        </w:tabs>
        <w:numPr>
          <w:ilvl w:val="1"/>
          <w:numId w:val="61"/>
        </w:numPr>
        <w:rPr>
          <w:rFonts w:ascii="Arial" w:cs="Arial" w:eastAsia="Arial" w:hAnsi="Arial"/>
          <w:sz w:val="17"/>
          <w:szCs w:val="17"/>
          <w:color w:val="auto"/>
        </w:rPr>
      </w:pPr>
      <w:r>
        <w:rPr>
          <w:rFonts w:ascii="Arial" w:cs="Arial" w:eastAsia="Arial" w:hAnsi="Arial"/>
          <w:sz w:val="17"/>
          <w:szCs w:val="17"/>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9" w:lineRule="auto"/>
        <w:tabs>
          <w:tab w:leader="none" w:pos="1955" w:val="left"/>
        </w:tabs>
        <w:numPr>
          <w:ilvl w:val="1"/>
          <w:numId w:val="61"/>
        </w:numPr>
        <w:rPr>
          <w:rFonts w:ascii="Arial" w:cs="Arial" w:eastAsia="Arial" w:hAnsi="Arial"/>
          <w:sz w:val="17"/>
          <w:szCs w:val="17"/>
          <w:color w:val="auto"/>
        </w:rPr>
      </w:pPr>
      <w:r>
        <w:rPr>
          <w:rFonts w:ascii="Arial" w:cs="Arial" w:eastAsia="Arial" w:hAnsi="Arial"/>
          <w:sz w:val="17"/>
          <w:szCs w:val="17"/>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1" w:lineRule="exact"/>
        <w:rPr>
          <w:rFonts w:ascii="Arial" w:cs="Arial" w:eastAsia="Arial" w:hAnsi="Arial"/>
          <w:sz w:val="17"/>
          <w:szCs w:val="17"/>
          <w:color w:val="auto"/>
        </w:rPr>
      </w:pPr>
    </w:p>
    <w:p>
      <w:pPr>
        <w:ind w:right="220" w:firstLine="1305"/>
        <w:spacing w:after="0" w:line="277" w:lineRule="auto"/>
        <w:tabs>
          <w:tab w:leader="none" w:pos="195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payroll deductions made by a participant shall be credited to his or her account under the Plan. A participant may not make any additional payments into such account.</w:t>
      </w:r>
    </w:p>
    <w:p>
      <w:pPr>
        <w:spacing w:after="0" w:line="170" w:lineRule="exact"/>
        <w:rPr>
          <w:rFonts w:ascii="Arial" w:cs="Arial" w:eastAsia="Arial" w:hAnsi="Arial"/>
          <w:sz w:val="18"/>
          <w:szCs w:val="18"/>
          <w:color w:val="auto"/>
        </w:rPr>
      </w:pPr>
    </w:p>
    <w:p>
      <w:pPr>
        <w:ind w:right="20" w:firstLine="1305"/>
        <w:spacing w:after="0" w:line="264" w:lineRule="auto"/>
        <w:tabs>
          <w:tab w:leader="none" w:pos="19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81" w:lineRule="exact"/>
        <w:rPr>
          <w:rFonts w:ascii="Arial" w:cs="Arial" w:eastAsia="Arial" w:hAnsi="Arial"/>
          <w:sz w:val="18"/>
          <w:szCs w:val="18"/>
          <w:color w:val="auto"/>
        </w:rPr>
      </w:pPr>
    </w:p>
    <w:p>
      <w:pPr>
        <w:ind w:right="40" w:firstLine="1305"/>
        <w:spacing w:after="0" w:line="297" w:lineRule="auto"/>
        <w:tabs>
          <w:tab w:leader="none" w:pos="1952"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5" w:lineRule="auto"/>
        <w:tabs>
          <w:tab w:leader="none" w:pos="19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ninety-five percent (95%)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w:t>
      </w:r>
    </w:p>
    <w:p>
      <w:pPr>
        <w:sectPr>
          <w:pgSz w:w="11900" w:h="16838" w:orient="portrait"/>
          <w:cols w:equalWidth="0" w:num="1">
            <w:col w:w="11360"/>
          </w:cols>
          <w:pgMar w:left="240" w:top="125" w:right="299" w:bottom="0" w:gutter="0" w:footer="0" w:header="0"/>
        </w:sectPr>
      </w:pP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44" w:name="page45"/>
    <w:bookmarkEnd w:id="44"/>
    <w:p>
      <w:pPr>
        <w:spacing w:after="0" w:line="4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24" w:lineRule="exact"/>
        <w:rPr>
          <w:sz w:val="20"/>
          <w:szCs w:val="20"/>
          <w:color w:val="auto"/>
        </w:rPr>
      </w:pPr>
    </w:p>
    <w:p>
      <w:pPr>
        <w:ind w:right="80" w:firstLine="1305"/>
        <w:spacing w:after="0" w:line="273" w:lineRule="auto"/>
        <w:tabs>
          <w:tab w:leader="none" w:pos="1952"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option price per share of the shares offered in a given Offering Period shall be: 95%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closing price for the Company’s Common Stock (or the closing bid, if no sales were reported) as quoted on any established stock exchange, including without limitation the New York Stock Exchange (“NYSE”), or a national market system (or the exchange with the greatest volume of trading in Common Stock) on the day of determination, as reported by Bloomberg, L.P. or such other source as the Administrator deems reliable.</w:t>
      </w:r>
    </w:p>
    <w:p>
      <w:pPr>
        <w:spacing w:after="0" w:line="178" w:lineRule="exact"/>
        <w:rPr>
          <w:rFonts w:ascii="Arial" w:cs="Arial" w:eastAsia="Arial" w:hAnsi="Arial"/>
          <w:sz w:val="17"/>
          <w:szCs w:val="17"/>
          <w:color w:val="auto"/>
        </w:rPr>
      </w:pPr>
    </w:p>
    <w:p>
      <w:pPr>
        <w:ind w:right="120" w:firstLine="656"/>
        <w:spacing w:after="0" w:line="257" w:lineRule="auto"/>
        <w:tabs>
          <w:tab w:leader="none" w:pos="131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Unless a participant withdraws from the Plan as provided in paragraph 11, his or her option for the purchase of shares will be exercised 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88" w:lineRule="exact"/>
        <w:rPr>
          <w:rFonts w:ascii="Arial" w:cs="Arial" w:eastAsia="Arial" w:hAnsi="Arial"/>
          <w:sz w:val="18"/>
          <w:szCs w:val="18"/>
          <w:color w:val="auto"/>
        </w:rPr>
      </w:pPr>
    </w:p>
    <w:p>
      <w:pPr>
        <w:jc w:val="both"/>
        <w:ind w:right="60" w:firstLine="656"/>
        <w:spacing w:after="0" w:line="293" w:lineRule="auto"/>
        <w:tabs>
          <w:tab w:leader="none" w:pos="131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per Offering Period</w:t>
      </w:r>
      <w:r>
        <w:rPr>
          <w:rFonts w:ascii="Arial" w:cs="Arial" w:eastAsia="Arial" w:hAnsi="Arial"/>
          <w:sz w:val="16"/>
          <w:szCs w:val="16"/>
          <w:color w:val="auto"/>
        </w:rPr>
        <w:t>. The maximum number of shares of the Company’s Common Stock which shall be made available for sale under the Plan in each Offering Period shall be 1,250,000, subject to adjustment upon changes in capitalization of the Company as provided in paragraph 19. If the total number of shares which would otherwise be subject to options granted pursuant to Section 7(a) hereof on the Enrollment Date of an Offering Period exceeds 1,250,000 shares, the Company shall make a pro rata allocation of the shares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64" w:lineRule="exact"/>
        <w:rPr>
          <w:rFonts w:ascii="Arial" w:cs="Arial" w:eastAsia="Arial" w:hAnsi="Arial"/>
          <w:sz w:val="16"/>
          <w:szCs w:val="16"/>
          <w:color w:val="auto"/>
        </w:rPr>
      </w:pPr>
    </w:p>
    <w:p>
      <w:pPr>
        <w:ind w:right="40" w:firstLine="656"/>
        <w:spacing w:after="0" w:line="273" w:lineRule="auto"/>
        <w:tabs>
          <w:tab w:leader="none" w:pos="1319"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Following the Exercise Date of each Offering Period, unless a participant requests the issuance of a certificate representing the participant’s shares, the 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5" w:lineRule="auto"/>
        <w:tabs>
          <w:tab w:leader="none" w:pos="19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193" w:lineRule="exact"/>
        <w:rPr>
          <w:rFonts w:ascii="Arial" w:cs="Arial" w:eastAsia="Arial" w:hAnsi="Arial"/>
          <w:sz w:val="18"/>
          <w:szCs w:val="18"/>
          <w:color w:val="auto"/>
        </w:rPr>
      </w:pPr>
    </w:p>
    <w:p>
      <w:pPr>
        <w:ind w:right="160" w:firstLine="1305"/>
        <w:spacing w:after="0" w:line="286" w:lineRule="auto"/>
        <w:tabs>
          <w:tab w:leader="none" w:pos="1952" w:val="left"/>
        </w:tabs>
        <w:numPr>
          <w:ilvl w:val="1"/>
          <w:numId w:val="63"/>
        </w:numPr>
        <w:rPr>
          <w:rFonts w:ascii="Arial" w:cs="Arial" w:eastAsia="Arial" w:hAnsi="Arial"/>
          <w:sz w:val="17"/>
          <w:szCs w:val="17"/>
          <w:color w:val="auto"/>
        </w:rPr>
      </w:pPr>
      <w:r>
        <w:rPr>
          <w:rFonts w:ascii="Arial" w:cs="Arial" w:eastAsia="Arial" w:hAnsi="Arial"/>
          <w:sz w:val="17"/>
          <w:szCs w:val="17"/>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5" w:lineRule="exact"/>
        <w:rPr>
          <w:rFonts w:ascii="Arial" w:cs="Arial" w:eastAsia="Arial" w:hAnsi="Arial"/>
          <w:sz w:val="17"/>
          <w:szCs w:val="17"/>
          <w:color w:val="auto"/>
        </w:rPr>
      </w:pPr>
    </w:p>
    <w:p>
      <w:pPr>
        <w:ind w:right="200" w:firstLine="1305"/>
        <w:spacing w:after="0" w:line="277" w:lineRule="auto"/>
        <w:tabs>
          <w:tab w:leader="none" w:pos="19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event an Employee fails to remain in Continuous Status as an Employee of the Company for at least twenty (20) hours per week during the Offering Period in which the Employee is a participant,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he or she will be deemed to have elected to withdraw from the Plan and the payroll deductions credited to his or her account will be returned to him or her and the option terminated.</w:t>
      </w:r>
    </w:p>
    <w:p>
      <w:pPr>
        <w:spacing w:after="0" w:line="170" w:lineRule="exact"/>
        <w:rPr>
          <w:sz w:val="20"/>
          <w:szCs w:val="20"/>
          <w:color w:val="auto"/>
        </w:rPr>
      </w:pPr>
    </w:p>
    <w:p>
      <w:pPr>
        <w:ind w:right="840" w:firstLine="1305"/>
        <w:spacing w:after="0" w:line="277" w:lineRule="auto"/>
        <w:tabs>
          <w:tab w:leader="none" w:pos="19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of a participant in the Plan.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2" w:lineRule="auto"/>
        <w:tabs>
          <w:tab w:leader="none" w:pos="1955"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maximum number of shares of the Company’s Common Stock which shall be made available for sale under the Plan shall be 29,500,000,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Shares to be delivered to a participant under the Plan will be registered in the name of the participant.</w:t>
      </w:r>
    </w:p>
    <w:p>
      <w:pPr>
        <w:spacing w:after="0" w:line="225" w:lineRule="exact"/>
        <w:rPr>
          <w:rFonts w:ascii="Arial" w:cs="Arial" w:eastAsia="Arial" w:hAnsi="Arial"/>
          <w:sz w:val="18"/>
          <w:szCs w:val="18"/>
          <w:color w:val="auto"/>
        </w:rPr>
      </w:pPr>
    </w:p>
    <w:p>
      <w:pPr>
        <w:ind w:right="60" w:firstLine="656"/>
        <w:spacing w:after="0" w:line="342" w:lineRule="auto"/>
        <w:tabs>
          <w:tab w:leader="none" w:pos="1319"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Board of the Company or a committee of members of the Board appointed by the Board. The administration, interpretation or application of the Plan by the Board or its committee shall be final, conclusive and binding upon all participants.</w:t>
      </w:r>
    </w:p>
    <w:p>
      <w:pPr>
        <w:sectPr>
          <w:pgSz w:w="11900" w:h="16881" w:orient="portrait"/>
          <w:cols w:equalWidth="0" w:num="1">
            <w:col w:w="11420"/>
          </w:cols>
          <w:pgMar w:left="240" w:top="584" w:right="239" w:bottom="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Members of the Board who are eligible Employees are permitted to participate in the Plan, provided that:</w:t>
      </w:r>
    </w:p>
    <w:p>
      <w:pPr>
        <w:spacing w:after="0" w:line="225" w:lineRule="exact"/>
        <w:rPr>
          <w:sz w:val="20"/>
          <w:szCs w:val="20"/>
          <w:color w:val="auto"/>
        </w:rPr>
      </w:pPr>
    </w:p>
    <w:p>
      <w:pPr>
        <w:ind w:right="280" w:firstLine="1305"/>
        <w:spacing w:after="0" w:line="277" w:lineRule="auto"/>
        <w:tabs>
          <w:tab w:leader="none" w:pos="1955" w:val="left"/>
        </w:tabs>
        <w:numPr>
          <w:ilvl w:val="1"/>
          <w:numId w:val="66"/>
        </w:numPr>
        <w:rPr>
          <w:rFonts w:ascii="Arial" w:cs="Arial" w:eastAsia="Arial" w:hAnsi="Arial"/>
          <w:sz w:val="18"/>
          <w:szCs w:val="18"/>
          <w:color w:val="auto"/>
        </w:rPr>
      </w:pPr>
      <w:r>
        <w:rPr>
          <w:rFonts w:ascii="Arial" w:cs="Arial" w:eastAsia="Arial" w:hAnsi="Arial"/>
          <w:sz w:val="18"/>
          <w:szCs w:val="18"/>
          <w:color w:val="auto"/>
        </w:rPr>
        <w:t>Members of the Board who are eligible to participate in the Plan may not vote on any matter affecting the administration of the Plan or the grant of any option pursuant to the Plan.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a Committee is established to administer the Plan, no member of the Board who is eligible to participate in the Plan may be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 of the Committee.</w:t>
      </w:r>
    </w:p>
    <w:p>
      <w:pPr>
        <w:spacing w:after="0" w:line="210" w:lineRule="exact"/>
        <w:rPr>
          <w:rFonts w:ascii="Arial" w:cs="Arial" w:eastAsia="Arial" w:hAnsi="Arial"/>
          <w:sz w:val="16"/>
          <w:szCs w:val="16"/>
          <w:color w:val="auto"/>
        </w:rPr>
      </w:pPr>
    </w:p>
    <w:p>
      <w:pPr>
        <w:ind w:right="20" w:firstLine="1305"/>
        <w:spacing w:after="0" w:line="270" w:lineRule="auto"/>
        <w:tabs>
          <w:tab w:leader="none" w:pos="1955"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 herein to the contrary, the Board or the Committee may, in its sole 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pacing w:after="0" w:line="177" w:lineRule="exact"/>
        <w:rPr>
          <w:rFonts w:ascii="Arial" w:cs="Arial" w:eastAsia="Arial" w:hAnsi="Arial"/>
          <w:sz w:val="17"/>
          <w:szCs w:val="17"/>
          <w:color w:val="auto"/>
        </w:rPr>
      </w:pPr>
    </w:p>
    <w:p>
      <w:pPr>
        <w:ind w:left="1320" w:hanging="664"/>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participant may file a written designation of a beneficiary who is to receive any shares and cash, if any, from the participant’s account under the Plan in the event of such participant’s death subsequent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81" w:lineRule="exact"/>
        <w:rPr>
          <w:sz w:val="20"/>
          <w:szCs w:val="20"/>
          <w:color w:val="auto"/>
        </w:rPr>
      </w:pPr>
    </w:p>
    <w:p>
      <w:pPr>
        <w:ind w:right="100" w:firstLine="1305"/>
        <w:spacing w:after="0" w:line="297" w:lineRule="auto"/>
        <w:tabs>
          <w:tab w:leader="none" w:pos="1952" w:val="left"/>
        </w:tabs>
        <w:numPr>
          <w:ilvl w:val="1"/>
          <w:numId w:val="6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8" w:lineRule="exact"/>
        <w:rPr>
          <w:rFonts w:ascii="Arial" w:cs="Arial" w:eastAsia="Arial" w:hAnsi="Arial"/>
          <w:sz w:val="16"/>
          <w:szCs w:val="16"/>
          <w:color w:val="auto"/>
        </w:rPr>
      </w:pPr>
    </w:p>
    <w:p>
      <w:pPr>
        <w:ind w:right="140" w:firstLine="656"/>
        <w:spacing w:after="0" w:line="279" w:lineRule="auto"/>
        <w:tabs>
          <w:tab w:leader="none" w:pos="131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Transferability of Rights</w:t>
      </w:r>
      <w:r>
        <w:rPr>
          <w:rFonts w:ascii="Arial" w:cs="Arial" w:eastAsia="Arial" w:hAnsi="Arial"/>
          <w:sz w:val="17"/>
          <w:szCs w:val="17"/>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1" w:lineRule="exact"/>
        <w:rPr>
          <w:rFonts w:ascii="Arial" w:cs="Arial" w:eastAsia="Arial" w:hAnsi="Arial"/>
          <w:sz w:val="17"/>
          <w:szCs w:val="17"/>
          <w:color w:val="auto"/>
        </w:rPr>
      </w:pPr>
    </w:p>
    <w:p>
      <w:pPr>
        <w:ind w:right="360" w:firstLine="656"/>
        <w:spacing w:after="0" w:line="277" w:lineRule="auto"/>
        <w:tabs>
          <w:tab w:leader="none" w:pos="131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70" w:lineRule="exact"/>
        <w:rPr>
          <w:rFonts w:ascii="Arial" w:cs="Arial" w:eastAsia="Arial" w:hAnsi="Arial"/>
          <w:sz w:val="18"/>
          <w:szCs w:val="18"/>
          <w:color w:val="auto"/>
        </w:rPr>
      </w:pPr>
    </w:p>
    <w:p>
      <w:pPr>
        <w:ind w:right="60" w:firstLine="656"/>
        <w:spacing w:after="0" w:line="264" w:lineRule="auto"/>
        <w:tabs>
          <w:tab w:leader="none" w:pos="1319"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181" w:lineRule="exact"/>
        <w:rPr>
          <w:rFonts w:ascii="Arial" w:cs="Arial" w:eastAsia="Arial" w:hAnsi="Arial"/>
          <w:sz w:val="18"/>
          <w:szCs w:val="18"/>
          <w:color w:val="auto"/>
        </w:rPr>
      </w:pPr>
    </w:p>
    <w:p>
      <w:pPr>
        <w:ind w:firstLine="656"/>
        <w:spacing w:after="0" w:line="288" w:lineRule="auto"/>
        <w:tabs>
          <w:tab w:leader="none" w:pos="1319"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586" w:gutter="0" w:footer="0" w:header="0"/>
        </w:sectPr>
      </w:pPr>
    </w:p>
    <w:bookmarkStart w:id="46" w:name="page47"/>
    <w:bookmarkEnd w:id="46"/>
    <w:p>
      <w:pPr>
        <w:ind w:right="60" w:firstLine="648"/>
        <w:spacing w:after="0" w:line="259" w:lineRule="auto"/>
        <w:rPr>
          <w:sz w:val="20"/>
          <w:szCs w:val="20"/>
          <w:color w:val="auto"/>
        </w:rPr>
      </w:pPr>
      <w:r>
        <w:rPr>
          <w:rFonts w:ascii="Arial" w:cs="Arial" w:eastAsia="Arial" w:hAnsi="Arial"/>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87" w:lineRule="exact"/>
        <w:rPr>
          <w:sz w:val="20"/>
          <w:szCs w:val="20"/>
          <w:color w:val="auto"/>
        </w:rPr>
      </w:pPr>
    </w:p>
    <w:p>
      <w:pPr>
        <w:ind w:right="100" w:firstLine="656"/>
        <w:spacing w:after="0" w:line="259" w:lineRule="auto"/>
        <w:tabs>
          <w:tab w:leader="none" w:pos="1319"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the Plan;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the Plan;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Materially increase the benefits which may accrue to participants under the Plan.</w:t>
      </w:r>
    </w:p>
    <w:p>
      <w:pPr>
        <w:spacing w:after="0" w:line="225" w:lineRule="exact"/>
        <w:rPr>
          <w:rFonts w:ascii="Arial" w:cs="Arial" w:eastAsia="Arial" w:hAnsi="Arial"/>
          <w:sz w:val="18"/>
          <w:szCs w:val="18"/>
          <w:color w:val="auto"/>
        </w:rPr>
      </w:pPr>
    </w:p>
    <w:p>
      <w:pPr>
        <w:ind w:right="360" w:firstLine="1305"/>
        <w:spacing w:after="0" w:line="264" w:lineRule="auto"/>
        <w:tabs>
          <w:tab w:leader="none" w:pos="19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81" w:lineRule="exact"/>
        <w:rPr>
          <w:rFonts w:ascii="Arial" w:cs="Arial" w:eastAsia="Arial" w:hAnsi="Arial"/>
          <w:sz w:val="18"/>
          <w:szCs w:val="18"/>
          <w:color w:val="auto"/>
        </w:rPr>
      </w:pPr>
    </w:p>
    <w:p>
      <w:pPr>
        <w:ind w:right="460" w:firstLine="1953"/>
        <w:spacing w:after="0" w:line="277" w:lineRule="auto"/>
        <w:tabs>
          <w:tab w:leader="none" w:pos="2614" w:val="left"/>
        </w:tabs>
        <w:numPr>
          <w:ilvl w:val="2"/>
          <w:numId w:val="70"/>
        </w:numPr>
        <w:rPr>
          <w:rFonts w:ascii="Arial" w:cs="Arial" w:eastAsia="Arial" w:hAnsi="Arial"/>
          <w:sz w:val="18"/>
          <w:szCs w:val="18"/>
          <w:color w:val="auto"/>
        </w:rPr>
      </w:pPr>
      <w:r>
        <w:rPr>
          <w:rFonts w:ascii="Arial" w:cs="Arial" w:eastAsia="Arial" w:hAnsi="Arial"/>
          <w:sz w:val="18"/>
          <w:szCs w:val="18"/>
          <w:color w:val="auto"/>
        </w:rPr>
        <w:t>altering the option price per share for any Offering Period, including an Offering Period underway at the time of the change in Purchase Price including an alteration of the option price under paragraph 7(b); and</w:t>
      </w:r>
    </w:p>
    <w:p>
      <w:pPr>
        <w:spacing w:after="0" w:line="170" w:lineRule="exact"/>
        <w:rPr>
          <w:rFonts w:ascii="Arial" w:cs="Arial" w:eastAsia="Arial" w:hAnsi="Arial"/>
          <w:sz w:val="18"/>
          <w:szCs w:val="18"/>
          <w:color w:val="auto"/>
        </w:rPr>
      </w:pPr>
    </w:p>
    <w:p>
      <w:pPr>
        <w:ind w:right="580" w:firstLine="1953"/>
        <w:spacing w:after="0" w:line="277" w:lineRule="auto"/>
        <w:tabs>
          <w:tab w:leader="none" w:pos="2624" w:val="left"/>
        </w:tabs>
        <w:numPr>
          <w:ilvl w:val="2"/>
          <w:numId w:val="70"/>
        </w:numPr>
        <w:rPr>
          <w:rFonts w:ascii="Arial" w:cs="Arial" w:eastAsia="Arial" w:hAnsi="Arial"/>
          <w:sz w:val="18"/>
          <w:szCs w:val="18"/>
          <w:color w:val="auto"/>
        </w:rPr>
      </w:pPr>
      <w:r>
        <w:rPr>
          <w:rFonts w:ascii="Arial" w:cs="Arial" w:eastAsia="Arial" w:hAnsi="Arial"/>
          <w:sz w:val="18"/>
          <w:szCs w:val="18"/>
          <w:color w:val="auto"/>
        </w:rPr>
        <w:t>shortening any Offering Period so that Offering Period ends on a new Exercise Date, including an Offering Period underway at the time of the Board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Plan participants.</w:t>
      </w:r>
    </w:p>
    <w:p>
      <w:pPr>
        <w:spacing w:after="0" w:line="225" w:lineRule="exact"/>
        <w:rPr>
          <w:sz w:val="20"/>
          <w:szCs w:val="20"/>
          <w:color w:val="auto"/>
        </w:rPr>
      </w:pPr>
    </w:p>
    <w:p>
      <w:pPr>
        <w:ind w:right="360" w:firstLine="656"/>
        <w:spacing w:after="0" w:line="264" w:lineRule="auto"/>
        <w:tabs>
          <w:tab w:leader="none" w:pos="1319"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1" w:lineRule="exact"/>
        <w:rPr>
          <w:rFonts w:ascii="Arial" w:cs="Arial" w:eastAsia="Arial" w:hAnsi="Arial"/>
          <w:sz w:val="18"/>
          <w:szCs w:val="18"/>
          <w:color w:val="auto"/>
        </w:rPr>
      </w:pPr>
    </w:p>
    <w:p>
      <w:pPr>
        <w:ind w:right="380" w:firstLine="656"/>
        <w:spacing w:after="0" w:line="312" w:lineRule="auto"/>
        <w:tabs>
          <w:tab w:leader="none" w:pos="1319"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Shareholder Approval</w:t>
      </w:r>
      <w:r>
        <w:rPr>
          <w:rFonts w:ascii="Arial" w:cs="Arial" w:eastAsia="Arial" w:hAnsi="Arial"/>
          <w:sz w:val="16"/>
          <w:szCs w:val="16"/>
          <w:color w:val="auto"/>
        </w:rPr>
        <w:t>.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46" w:lineRule="exact"/>
        <w:rPr>
          <w:rFonts w:ascii="Arial" w:cs="Arial" w:eastAsia="Arial" w:hAnsi="Arial"/>
          <w:sz w:val="16"/>
          <w:szCs w:val="16"/>
          <w:color w:val="auto"/>
        </w:rPr>
      </w:pPr>
    </w:p>
    <w:p>
      <w:pPr>
        <w:ind w:firstLine="1305"/>
        <w:spacing w:after="0" w:line="259" w:lineRule="auto"/>
        <w:tabs>
          <w:tab w:leader="none" w:pos="1955" w:val="left"/>
        </w:tabs>
        <w:numPr>
          <w:ilvl w:val="1"/>
          <w:numId w:val="71"/>
        </w:numPr>
        <w:rPr>
          <w:rFonts w:ascii="Arial" w:cs="Arial" w:eastAsia="Arial" w:hAnsi="Arial"/>
          <w:sz w:val="18"/>
          <w:szCs w:val="18"/>
          <w:color w:val="auto"/>
        </w:rPr>
      </w:pPr>
      <w:r>
        <w:rPr>
          <w:rFonts w:ascii="Arial" w:cs="Arial" w:eastAsia="Arial" w:hAnsi="Arial"/>
          <w:sz w:val="18"/>
          <w:szCs w:val="18"/>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obtained at or prior to the first annual meeting of shareholders held subsequent to the first registration of Common Stock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12 of the Act.</w:t>
      </w:r>
    </w:p>
    <w:p>
      <w:pPr>
        <w:spacing w:after="0" w:line="21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percentage of shareholders will comply with all applicable laws and will not adversely affect the qualifications of the Plan under Section 423 of the Code.</w:t>
      </w:r>
    </w:p>
    <w:p>
      <w:pPr>
        <w:spacing w:after="0" w:line="237" w:lineRule="exact"/>
        <w:rPr>
          <w:sz w:val="20"/>
          <w:szCs w:val="20"/>
          <w:color w:val="auto"/>
        </w:rPr>
      </w:pPr>
    </w:p>
    <w:p>
      <w:pPr>
        <w:ind w:right="220" w:firstLine="656"/>
        <w:spacing w:after="0" w:line="302" w:lineRule="auto"/>
        <w:tabs>
          <w:tab w:leader="none" w:pos="1319"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54"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right="360" w:firstLine="656"/>
        <w:spacing w:after="0" w:line="264" w:lineRule="auto"/>
        <w:tabs>
          <w:tab w:leader="none" w:pos="1319"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7" w:name="page48"/>
    <w:bookmarkEnd w:id="4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20" w:hanging="332"/>
        <w:spacing w:after="0" w:line="277" w:lineRule="auto"/>
        <w:tabs>
          <w:tab w:leader="none" w:pos="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3"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April 12, 2005</w:t>
            </w:r>
          </w:p>
        </w:tc>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5420" w:type="dxa"/>
            <w:vAlign w:val="bottom"/>
          </w:tcPr>
          <w:p>
            <w:pPr>
              <w:spacing w:after="0"/>
              <w:rPr>
                <w:sz w:val="16"/>
                <w:szCs w:val="16"/>
                <w:color w:val="auto"/>
              </w:rPr>
            </w:pPr>
          </w:p>
        </w:tc>
        <w:tc>
          <w:tcPr>
            <w:tcW w:w="600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54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321"/>
        </w:trPr>
        <w:tc>
          <w:tcPr>
            <w:tcW w:w="5420" w:type="dxa"/>
            <w:vAlign w:val="bottom"/>
            <w:tcBorders>
              <w:bottom w:val="single" w:sz="8" w:color="808080"/>
            </w:tcBorders>
          </w:tcPr>
          <w:p>
            <w:pPr>
              <w:spacing w:after="0"/>
              <w:rPr>
                <w:sz w:val="24"/>
                <w:szCs w:val="24"/>
                <w:color w:val="auto"/>
              </w:rPr>
            </w:pPr>
          </w:p>
        </w:tc>
        <w:tc>
          <w:tcPr>
            <w:tcW w:w="6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8" w:name="page49"/>
    <w:bookmarkEnd w:id="4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20" w:hanging="332"/>
        <w:spacing w:after="0" w:line="277" w:lineRule="auto"/>
        <w:tabs>
          <w:tab w:leader="none" w:pos="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3"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April 12, 2005</w:t>
            </w:r>
          </w:p>
        </w:tc>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5540" w:type="dxa"/>
            <w:vAlign w:val="bottom"/>
          </w:tcPr>
          <w:p>
            <w:pPr>
              <w:spacing w:after="0"/>
              <w:rPr>
                <w:sz w:val="16"/>
                <w:szCs w:val="16"/>
                <w:color w:val="auto"/>
              </w:rPr>
            </w:pPr>
          </w:p>
        </w:tc>
        <w:tc>
          <w:tcPr>
            <w:tcW w:w="58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55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554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9" w:name="page50"/>
    <w:bookmarkEnd w:id="49"/>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March 3, 2005,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April 12, 2005</w:t>
            </w:r>
          </w:p>
        </w:tc>
        <w:tc>
          <w:tcPr>
            <w:tcW w:w="7360" w:type="dxa"/>
            <w:vAlign w:val="bottom"/>
            <w:gridSpan w:val="2"/>
          </w:tcPr>
          <w:p>
            <w:pPr>
              <w:ind w:left="2560"/>
              <w:spacing w:after="0"/>
              <w:rPr>
                <w:sz w:val="20"/>
                <w:szCs w:val="20"/>
                <w:color w:val="auto"/>
              </w:rPr>
            </w:pPr>
            <w:r>
              <w:rPr>
                <w:rFonts w:ascii="Arial" w:cs="Arial" w:eastAsia="Arial" w:hAnsi="Arial"/>
                <w:sz w:val="18"/>
                <w:szCs w:val="18"/>
                <w:color w:val="auto"/>
              </w:rPr>
              <w:t>By:   /s/ Steven R. Appleton</w:t>
            </w:r>
          </w:p>
        </w:tc>
        <w:tc>
          <w:tcPr>
            <w:tcW w:w="20" w:type="dxa"/>
            <w:vAlign w:val="bottom"/>
          </w:tcPr>
          <w:p>
            <w:pPr>
              <w:spacing w:after="0"/>
              <w:rPr>
                <w:sz w:val="20"/>
                <w:szCs w:val="20"/>
                <w:color w:val="auto"/>
              </w:rPr>
            </w:pPr>
          </w:p>
        </w:tc>
      </w:tr>
      <w:tr>
        <w:trPr>
          <w:trHeight w:val="195"/>
        </w:trPr>
        <w:tc>
          <w:tcPr>
            <w:tcW w:w="40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16"/>
        </w:trPr>
        <w:tc>
          <w:tcPr>
            <w:tcW w:w="40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Chairman of the Board, Chief Executive Officer</w:t>
            </w:r>
          </w:p>
        </w:tc>
        <w:tc>
          <w:tcPr>
            <w:tcW w:w="2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and President</w:t>
            </w:r>
          </w:p>
        </w:tc>
        <w:tc>
          <w:tcPr>
            <w:tcW w:w="20" w:type="dxa"/>
            <w:vAlign w:val="bottom"/>
          </w:tcPr>
          <w:p>
            <w:pPr>
              <w:spacing w:after="0"/>
              <w:rPr>
                <w:sz w:val="20"/>
                <w:szCs w:val="20"/>
                <w:color w:val="auto"/>
              </w:rPr>
            </w:pPr>
          </w:p>
        </w:tc>
      </w:tr>
      <w:tr>
        <w:trPr>
          <w:trHeight w:val="321"/>
        </w:trPr>
        <w:tc>
          <w:tcPr>
            <w:tcW w:w="406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0" w:name="page51"/>
    <w:bookmarkEnd w:id="50"/>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March 3, 2005,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 April 12, 2005</w:t>
            </w:r>
          </w:p>
        </w:tc>
        <w:tc>
          <w:tcPr>
            <w:tcW w:w="7140" w:type="dxa"/>
            <w:vAlign w:val="bottom"/>
            <w:gridSpan w:val="2"/>
          </w:tcPr>
          <w:p>
            <w:pPr>
              <w:ind w:left="2760"/>
              <w:spacing w:after="0"/>
              <w:rPr>
                <w:sz w:val="20"/>
                <w:szCs w:val="20"/>
                <w:color w:val="auto"/>
              </w:rPr>
            </w:pPr>
            <w:r>
              <w:rPr>
                <w:rFonts w:ascii="Arial" w:cs="Arial" w:eastAsia="Arial" w:hAnsi="Arial"/>
                <w:sz w:val="18"/>
                <w:szCs w:val="18"/>
                <w:color w:val="auto"/>
              </w:rPr>
              <w:t>By:   /s/ W. G. Stover, Jr.</w:t>
            </w:r>
          </w:p>
        </w:tc>
        <w:tc>
          <w:tcPr>
            <w:tcW w:w="20" w:type="dxa"/>
            <w:vAlign w:val="bottom"/>
          </w:tcPr>
          <w:p>
            <w:pPr>
              <w:spacing w:after="0"/>
              <w:rPr>
                <w:sz w:val="20"/>
                <w:szCs w:val="20"/>
                <w:color w:val="auto"/>
              </w:rPr>
            </w:pPr>
          </w:p>
        </w:tc>
      </w:tr>
      <w:tr>
        <w:trPr>
          <w:trHeight w:val="195"/>
        </w:trPr>
        <w:tc>
          <w:tcPr>
            <w:tcW w:w="42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16"/>
        </w:trPr>
        <w:tc>
          <w:tcPr>
            <w:tcW w:w="4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428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lowerLetter"/>
      <w:start w:val="1"/>
    </w:lvl>
    <w:lvl w:ilvl="1">
      <w:lvlJc w:val="left"/>
      <w:lvlText w:val="(%2)"/>
      <w:numFmt w:val="lowerRoman"/>
      <w:start w:val="1"/>
    </w:lvl>
  </w:abstractNum>
  <w:abstractNum w:abstractNumId="6">
    <w:nsid w:val="153EA438"/>
    <w:multiLevelType w:val="hybridMultilevel"/>
    <w:lvl w:ilvl="0">
      <w:lvlJc w:val="left"/>
      <w:lvlText w:val="(%1)"/>
      <w:numFmt w:val="lowerRoman"/>
      <w:start w:val="3"/>
    </w:lvl>
  </w:abstractNum>
  <w:abstractNum w:abstractNumId="7">
    <w:nsid w:val="3855585C"/>
    <w:multiLevelType w:val="hybridMultilevel"/>
    <w:lvl w:ilvl="0">
      <w:lvlJc w:val="left"/>
      <w:lvlText w:val="%1"/>
      <w:numFmt w:val="lowerLetter"/>
      <w:start w:val="1"/>
    </w:lvl>
    <w:lvl w:ilvl="1">
      <w:lvlJc w:val="left"/>
      <w:lvlText w:val="(%2)"/>
      <w:numFmt w:val="lowerRoman"/>
      <w:start w:val="4"/>
    </w:lvl>
  </w:abstractNum>
  <w:abstractNum w:abstractNumId="8">
    <w:nsid w:val="70A64E2A"/>
    <w:multiLevelType w:val="hybridMultilevel"/>
    <w:lvl w:ilvl="0">
      <w:lvlJc w:val="left"/>
      <w:lvlText w:val="(%1)"/>
      <w:numFmt w:val="lowerLetter"/>
      <w:start w:val="6"/>
    </w:lvl>
    <w:lvl w:ilvl="1">
      <w:lvlJc w:val="left"/>
      <w:lvlText w:val="%2"/>
      <w:numFmt w:val="lowerRoman"/>
      <w:start w:val="1"/>
    </w:lvl>
  </w:abstractNum>
  <w:abstractNum w:abstractNumId="9">
    <w:nsid w:val="6A2342EC"/>
    <w:multiLevelType w:val="hybridMultilevel"/>
    <w:lvl w:ilvl="0">
      <w:lvlJc w:val="left"/>
      <w:lvlText w:val="(%1)"/>
      <w:numFmt w:val="lowerLetter"/>
      <w:start w:val="10"/>
    </w:lvl>
  </w:abstractNum>
  <w:abstractNum w:abstractNumId="10">
    <w:nsid w:val="2A487CB0"/>
    <w:multiLevelType w:val="hybridMultilevel"/>
    <w:lvl w:ilvl="0">
      <w:lvlJc w:val="left"/>
      <w:lvlText w:val="(%1)"/>
      <w:numFmt w:val="lowerLetter"/>
      <w:start w:val="21"/>
    </w:lvl>
  </w:abstractNum>
  <w:abstractNum w:abstractNumId="11">
    <w:nsid w:val="1D4ED43B"/>
    <w:multiLevelType w:val="hybridMultilevel"/>
    <w:lvl w:ilvl="0">
      <w:lvlJc w:val="left"/>
      <w:lvlText w:val="(%1)"/>
      <w:numFmt w:val="lowerLetter"/>
      <w:start w:val="23"/>
    </w:lvl>
  </w:abstractNum>
  <w:abstractNum w:abstractNumId="12">
    <w:nsid w:val="725A06FB"/>
    <w:multiLevelType w:val="hybridMultilevel"/>
    <w:lvl w:ilvl="0">
      <w:lvlJc w:val="left"/>
      <w:lvlText w:val="(%1)"/>
      <w:numFmt w:val="lowerLetter"/>
      <w:start w:val="24"/>
    </w:lvl>
  </w:abstractNum>
  <w:abstractNum w:abstractNumId="13">
    <w:nsid w:val="2CD89A32"/>
    <w:multiLevelType w:val="hybridMultilevel"/>
    <w:lvl w:ilvl="0">
      <w:lvlJc w:val="left"/>
      <w:lvlText w:val="%1"/>
      <w:numFmt w:val="decimal"/>
      <w:start w:val="1"/>
    </w:lvl>
    <w:lvl w:ilvl="1">
      <w:lvlJc w:val="left"/>
      <w:lvlText w:val="(%2)"/>
      <w:numFmt w:val="lowerLetter"/>
      <w:start w:val="27"/>
    </w:lvl>
  </w:abstractNum>
  <w:abstractNum w:abstractNumId="14">
    <w:nsid w:val="57E4CCAF"/>
    <w:multiLevelType w:val="hybridMultilevel"/>
    <w:lvl w:ilvl="0">
      <w:lvlJc w:val="left"/>
      <w:lvlText w:val="(%1)"/>
      <w:numFmt w:val="decimal"/>
      <w:start w:val="3"/>
    </w:lvl>
    <w:lvl w:ilvl="1">
      <w:lvlJc w:val="left"/>
      <w:lvlText w:val="(%2)"/>
      <w:numFmt w:val="lowerLetter"/>
      <w:start w:val="29"/>
    </w:lvl>
  </w:abstractNum>
  <w:abstractNum w:abstractNumId="15">
    <w:nsid w:val="7A6D8D3C"/>
    <w:multiLevelType w:val="hybridMultilevel"/>
    <w:lvl w:ilvl="0">
      <w:lvlJc w:val="left"/>
      <w:lvlText w:val="(%1)"/>
      <w:numFmt w:val="lowerLetter"/>
      <w:start w:val="38"/>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1"/>
    </w:lvl>
  </w:abstractNum>
  <w:abstractNum w:abstractNumId="18">
    <w:nsid w:val="6DE91B18"/>
    <w:multiLevelType w:val="hybridMultilevel"/>
    <w:lvl w:ilvl="0">
      <w:lvlJc w:val="left"/>
      <w:lvlText w:val="(%1)"/>
      <w:numFmt w:val="lowerLetter"/>
      <w:start w:val="1"/>
    </w:lvl>
  </w:abstractNum>
  <w:abstractNum w:abstractNumId="19">
    <w:nsid w:val="38437FDB"/>
    <w:multiLevelType w:val="hybridMultilevel"/>
    <w:lvl w:ilvl="0">
      <w:lvlJc w:val="left"/>
      <w:lvlText w:val="(%1)"/>
      <w:numFmt w:val="lowerLetter"/>
      <w:start w:val="5"/>
    </w:lvl>
  </w:abstractNum>
  <w:abstractNum w:abstractNumId="20">
    <w:nsid w:val="7644A45C"/>
    <w:multiLevelType w:val="hybridMultilevel"/>
    <w:lvl w:ilvl="0">
      <w:lvlJc w:val="left"/>
      <w:lvlText w:val="(%1)"/>
      <w:numFmt w:val="lowerLetter"/>
      <w:start w:val="1"/>
    </w:lvl>
  </w:abstractNum>
  <w:abstractNum w:abstractNumId="21">
    <w:nsid w:val="32FFF902"/>
    <w:multiLevelType w:val="hybridMultilevel"/>
    <w:lvl w:ilvl="0">
      <w:lvlJc w:val="left"/>
      <w:lvlText w:val="(%1)"/>
      <w:numFmt w:val="lowerLetter"/>
      <w:start w:val="2"/>
    </w:lvl>
    <w:lvl w:ilvl="1">
      <w:lvlJc w:val="left"/>
      <w:lvlText w:val="(%2)"/>
      <w:numFmt w:val="decimal"/>
      <w:start w:val="1"/>
    </w:lvl>
  </w:abstractNum>
  <w:abstractNum w:abstractNumId="22">
    <w:nsid w:val="684A481A"/>
    <w:multiLevelType w:val="hybridMultilevel"/>
    <w:lvl w:ilvl="0">
      <w:lvlJc w:val="left"/>
      <w:lvlText w:val="(%1)"/>
      <w:numFmt w:val="decimal"/>
      <w:start w:val="4"/>
    </w:lvl>
  </w:abstractNum>
  <w:abstractNum w:abstractNumId="23">
    <w:nsid w:val="579478FE"/>
    <w:multiLevelType w:val="hybridMultilevel"/>
    <w:lvl w:ilvl="0">
      <w:lvlJc w:val="left"/>
      <w:lvlText w:val="(%1)"/>
      <w:numFmt w:val="lowerLetter"/>
      <w:start w:val="3"/>
    </w:lvl>
  </w:abstractNum>
  <w:abstractNum w:abstractNumId="24">
    <w:nsid w:val="749ABB43"/>
    <w:multiLevelType w:val="hybridMultilevel"/>
    <w:lvl w:ilvl="0">
      <w:lvlJc w:val="left"/>
      <w:lvlText w:val="(%1)"/>
      <w:numFmt w:val="lowerLetter"/>
      <w:start w:val="1"/>
    </w:lvl>
    <w:lvl w:ilvl="1">
      <w:lvlJc w:val="left"/>
      <w:lvlText w:val="(%2)"/>
      <w:numFmt w:val="decimal"/>
      <w:start w:val="1"/>
    </w:lvl>
  </w:abstractNum>
  <w:abstractNum w:abstractNumId="25">
    <w:nsid w:val="3DC240FB"/>
    <w:multiLevelType w:val="hybridMultilevel"/>
    <w:lvl w:ilvl="0">
      <w:lvlJc w:val="left"/>
      <w:lvlText w:val="(%1)"/>
      <w:numFmt w:val="lowerRoman"/>
      <w:start w:val="2"/>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2"/>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lowerLetter"/>
      <w:start w:val="3"/>
    </w:lvl>
  </w:abstractNum>
  <w:abstractNum w:abstractNumId="30">
    <w:nsid w:val="70C6A529"/>
    <w:multiLevelType w:val="hybridMultilevel"/>
    <w:lvl w:ilvl="0">
      <w:lvlJc w:val="left"/>
      <w:lvlText w:val="(%1)"/>
      <w:numFmt w:val="lowerLetter"/>
      <w:start w:val="5"/>
    </w:lvl>
  </w:abstractNum>
  <w:abstractNum w:abstractNumId="31">
    <w:nsid w:val="520EEDD1"/>
    <w:multiLevelType w:val="hybridMultilevel"/>
    <w:lvl w:ilvl="0">
      <w:lvlJc w:val="left"/>
      <w:lvlText w:val="(%1)"/>
      <w:numFmt w:val="lowerLetter"/>
      <w:start w:val="1"/>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3"/>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decimal"/>
      <w:start w:val="4"/>
    </w:lvl>
  </w:abstractNum>
  <w:abstractNum w:abstractNumId="38">
    <w:nsid w:val="1CF10FD8"/>
    <w:multiLevelType w:val="hybridMultilevel"/>
    <w:lvl w:ilvl="0">
      <w:lvlJc w:val="left"/>
      <w:lvlText w:val="%1."/>
      <w:numFmt w:val="decimal"/>
      <w:start w:val="5"/>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Letter"/>
      <w:start w:val="2"/>
    </w:lvl>
  </w:abstractNum>
  <w:abstractNum w:abstractNumId="43">
    <w:nsid w:val="15B5AF5C"/>
    <w:multiLevelType w:val="hybridMultilevel"/>
    <w:lvl w:ilvl="0">
      <w:lvlJc w:val="left"/>
      <w:lvlText w:val="%1."/>
      <w:numFmt w:val="decimal"/>
      <w:start w:val="4"/>
    </w:lvl>
  </w:abstractNum>
  <w:abstractNum w:abstractNumId="44">
    <w:nsid w:val="741226BB"/>
    <w:multiLevelType w:val="hybridMultilevel"/>
    <w:lvl w:ilvl="0">
      <w:lvlJc w:val="left"/>
      <w:lvlText w:val="%1."/>
      <w:numFmt w:val="decimal"/>
      <w:start w:val="10"/>
    </w:lvl>
  </w:abstractNum>
  <w:abstractNum w:abstractNumId="45">
    <w:nsid w:val="D34B6A8"/>
    <w:multiLevelType w:val="hybridMultilevel"/>
    <w:lvl w:ilvl="0">
      <w:lvlJc w:val="left"/>
      <w:lvlText w:val="%1."/>
      <w:numFmt w:val="decimal"/>
      <w:start w:val="13"/>
    </w:lvl>
  </w:abstractNum>
  <w:abstractNum w:abstractNumId="46">
    <w:nsid w:val="10233C99"/>
    <w:multiLevelType w:val="hybridMultilevel"/>
    <w:lvl w:ilvl="0">
      <w:lvlJc w:val="left"/>
      <w:lvlText w:val="%1."/>
      <w:numFmt w:val="upperLetter"/>
      <w:start w:val="9"/>
    </w:lvl>
  </w:abstractNum>
  <w:abstractNum w:abstractNumId="47">
    <w:nsid w:val="3F6AB60F"/>
    <w:multiLevelType w:val="hybridMultilevel"/>
    <w:lvl w:ilvl="0">
      <w:lvlJc w:val="left"/>
      <w:lvlText w:val="%1."/>
      <w:numFmt w:val="upperLetter"/>
      <w:start w:val="35"/>
    </w:lvl>
    <w:lvl w:ilvl="1">
      <w:lvlJc w:val="left"/>
      <w:lvlText w:val="%2."/>
      <w:numFmt w:val="decimal"/>
      <w:start w:val="1"/>
    </w:lvl>
  </w:abstractNum>
  <w:abstractNum w:abstractNumId="48">
    <w:nsid w:val="61574095"/>
    <w:multiLevelType w:val="hybridMultilevel"/>
    <w:lvl w:ilvl="0">
      <w:lvlJc w:val="left"/>
      <w:lvlText w:val="%1."/>
      <w:numFmt w:val="decimal"/>
      <w:start w:val="2"/>
    </w:lvl>
    <w:lvl w:ilvl="1">
      <w:lvlJc w:val="left"/>
      <w:lvlText w:val="(%2)"/>
      <w:numFmt w:val="lowerLetter"/>
      <w:start w:val="1"/>
    </w:lvl>
  </w:abstractNum>
  <w:abstractNum w:abstractNumId="49">
    <w:nsid w:val="7E0C57B1"/>
    <w:multiLevelType w:val="hybridMultilevel"/>
    <w:lvl w:ilvl="0">
      <w:lvlJc w:val="left"/>
      <w:lvlText w:val="(%1)"/>
      <w:numFmt w:val="lowerLetter"/>
      <w:start w:val="2"/>
    </w:lvl>
  </w:abstractNum>
  <w:abstractNum w:abstractNumId="50">
    <w:nsid w:val="77AE35EB"/>
    <w:multiLevelType w:val="hybridMultilevel"/>
    <w:lvl w:ilvl="0">
      <w:lvlJc w:val="left"/>
      <w:lvlText w:val="%1."/>
      <w:numFmt w:val="decimal"/>
      <w:start w:val="3"/>
    </w:lvl>
    <w:lvl w:ilvl="1">
      <w:lvlJc w:val="left"/>
      <w:lvlText w:val="(%2)"/>
      <w:numFmt w:val="lowerLetter"/>
      <w:start w:val="1"/>
    </w:lvl>
  </w:abstractNum>
  <w:abstractNum w:abstractNumId="51">
    <w:nsid w:val="579BE4F1"/>
    <w:multiLevelType w:val="hybridMultilevel"/>
    <w:lvl w:ilvl="0">
      <w:lvlJc w:val="left"/>
      <w:lvlText w:val="%1."/>
      <w:numFmt w:val="upperLetter"/>
      <w:start w:val="9"/>
    </w:lvl>
  </w:abstractNum>
  <w:abstractNum w:abstractNumId="52">
    <w:nsid w:val="310C50B3"/>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53">
    <w:nsid w:val="5FF87E05"/>
    <w:multiLevelType w:val="hybridMultilevel"/>
    <w:lvl w:ilvl="0">
      <w:lvlJc w:val="left"/>
      <w:lvlText w:val="(%1)"/>
      <w:numFmt w:val="lowerLetter"/>
      <w:start w:val="2"/>
    </w:lvl>
  </w:abstractNum>
  <w:abstractNum w:abstractNumId="54">
    <w:nsid w:val="2F305DEF"/>
    <w:multiLevelType w:val="hybridMultilevel"/>
    <w:lvl w:ilvl="0">
      <w:lvlJc w:val="left"/>
      <w:lvlText w:val="%1."/>
      <w:numFmt w:val="decimal"/>
      <w:start w:val="3"/>
    </w:lvl>
    <w:lvl w:ilvl="1">
      <w:lvlJc w:val="left"/>
      <w:lvlText w:val="(%2)"/>
      <w:numFmt w:val="lowerLetter"/>
      <w:start w:val="1"/>
    </w:lvl>
  </w:abstractNum>
  <w:abstractNum w:abstractNumId="55">
    <w:nsid w:val="25A70BF7"/>
    <w:multiLevelType w:val="hybridMultilevel"/>
    <w:lvl w:ilvl="0">
      <w:lvlJc w:val="left"/>
      <w:lvlText w:val="%1."/>
      <w:numFmt w:val="decimal"/>
      <w:start w:val="1"/>
    </w:lvl>
    <w:lvl w:ilvl="1">
      <w:lvlJc w:val="left"/>
      <w:lvlText w:val="(%2)"/>
      <w:numFmt w:val="lowerLetter"/>
      <w:start w:val="1"/>
    </w:lvl>
  </w:abstractNum>
  <w:abstractNum w:abstractNumId="56">
    <w:nsid w:val="1DBABF00"/>
    <w:multiLevelType w:val="hybridMultilevel"/>
    <w:lvl w:ilvl="0">
      <w:lvlJc w:val="left"/>
      <w:lvlText w:val="(%1)"/>
      <w:numFmt w:val="lowerLetter"/>
      <w:start w:val="7"/>
    </w:lvl>
  </w:abstractNum>
  <w:abstractNum w:abstractNumId="57">
    <w:nsid w:val="4AD084E9"/>
    <w:multiLevelType w:val="hybridMultilevel"/>
    <w:lvl w:ilvl="0">
      <w:lvlJc w:val="left"/>
      <w:lvlText w:val="(%1)"/>
      <w:numFmt w:val="lowerLetter"/>
      <w:start w:val="9"/>
    </w:lvl>
    <w:lvl w:ilvl="1">
      <w:lvlJc w:val="left"/>
      <w:lvlText w:val="(%2)"/>
      <w:numFmt w:val="lowerRoman"/>
      <w:start w:val="1"/>
    </w:lvl>
  </w:abstractNum>
  <w:abstractNum w:abstractNumId="58">
    <w:nsid w:val="1F48EAA1"/>
    <w:multiLevelType w:val="hybridMultilevel"/>
    <w:lvl w:ilvl="0">
      <w:lvlJc w:val="left"/>
      <w:lvlText w:val="%1"/>
      <w:numFmt w:val="decimal"/>
      <w:start w:val="1"/>
    </w:lvl>
    <w:lvl w:ilvl="1">
      <w:lvlJc w:val="left"/>
      <w:lvlText w:val="(%2)"/>
      <w:numFmt w:val="lowerLetter"/>
      <w:start w:val="13"/>
    </w:lvl>
  </w:abstractNum>
  <w:abstractNum w:abstractNumId="59">
    <w:nsid w:val="1381823A"/>
    <w:multiLevelType w:val="hybridMultilevel"/>
    <w:lvl w:ilvl="0">
      <w:lvlJc w:val="left"/>
      <w:lvlText w:val="%1."/>
      <w:numFmt w:val="decimal"/>
      <w:start w:val="3"/>
    </w:lvl>
    <w:lvl w:ilvl="1">
      <w:lvlJc w:val="left"/>
      <w:lvlText w:val="(%2)"/>
      <w:numFmt w:val="lowerLetter"/>
      <w:start w:val="1"/>
    </w:lvl>
  </w:abstractNum>
  <w:abstractNum w:abstractNumId="60">
    <w:nsid w:val="5DB70AE5"/>
    <w:multiLevelType w:val="hybridMultilevel"/>
    <w:lvl w:ilvl="0">
      <w:lvlJc w:val="left"/>
      <w:lvlText w:val="%1."/>
      <w:numFmt w:val="decimal"/>
      <w:start w:val="4"/>
    </w:lvl>
    <w:lvl w:ilvl="1">
      <w:lvlJc w:val="left"/>
      <w:lvlText w:val="(%2)"/>
      <w:numFmt w:val="lowerLetter"/>
      <w:start w:val="1"/>
    </w:lvl>
  </w:abstractNum>
  <w:abstractNum w:abstractNumId="61">
    <w:nsid w:val="100F8FCA"/>
    <w:multiLevelType w:val="hybridMultilevel"/>
    <w:lvl w:ilvl="0">
      <w:lvlJc w:val="left"/>
      <w:lvlText w:val="%1"/>
      <w:numFmt w:val="decimal"/>
      <w:start w:val="1"/>
    </w:lvl>
    <w:lvl w:ilvl="1">
      <w:lvlJc w:val="left"/>
      <w:lvlText w:val="(%2)"/>
      <w:numFmt w:val="lowerLetter"/>
      <w:start w:val="2"/>
    </w:lvl>
  </w:abstractNum>
  <w:abstractNum w:abstractNumId="62">
    <w:nsid w:val="6590700B"/>
    <w:multiLevelType w:val="hybridMultilevel"/>
    <w:lvl w:ilvl="0">
      <w:lvlJc w:val="left"/>
      <w:lvlText w:val="%1."/>
      <w:numFmt w:val="decimal"/>
      <w:start w:val="8"/>
    </w:lvl>
    <w:lvl w:ilvl="1">
      <w:lvlJc w:val="left"/>
      <w:lvlText w:val="(%2)"/>
      <w:numFmt w:val="lowerLetter"/>
      <w:start w:val="1"/>
    </w:lvl>
  </w:abstractNum>
  <w:abstractNum w:abstractNumId="63">
    <w:nsid w:val="15014ACB"/>
    <w:multiLevelType w:val="hybridMultilevel"/>
    <w:lvl w:ilvl="0">
      <w:lvlJc w:val="left"/>
      <w:lvlText w:val="%1"/>
      <w:numFmt w:val="decimal"/>
      <w:start w:val="1"/>
    </w:lvl>
    <w:lvl w:ilvl="1">
      <w:lvlJc w:val="left"/>
      <w:lvlText w:val="(%2)"/>
      <w:numFmt w:val="lowerLetter"/>
      <w:start w:val="4"/>
    </w:lvl>
  </w:abstractNum>
  <w:abstractNum w:abstractNumId="64">
    <w:nsid w:val="5F5E7FD0"/>
    <w:multiLevelType w:val="hybridMultilevel"/>
    <w:lvl w:ilvl="0">
      <w:lvlJc w:val="left"/>
      <w:lvlText w:val="%1."/>
      <w:numFmt w:val="decimal"/>
      <w:start w:val="12"/>
    </w:lvl>
    <w:lvl w:ilvl="1">
      <w:lvlJc w:val="left"/>
      <w:lvlText w:val="(%2)"/>
      <w:numFmt w:val="lowerLetter"/>
      <w:start w:val="1"/>
    </w:lvl>
  </w:abstractNum>
  <w:abstractNum w:abstractNumId="65">
    <w:nsid w:val="98A3148"/>
    <w:multiLevelType w:val="hybridMultilevel"/>
    <w:lvl w:ilvl="0">
      <w:lvlJc w:val="left"/>
      <w:lvlText w:val="%1"/>
      <w:numFmt w:val="decimal"/>
      <w:start w:val="1"/>
    </w:lvl>
    <w:lvl w:ilvl="1">
      <w:lvlJc w:val="left"/>
      <w:lvlText w:val="(%2)"/>
      <w:numFmt w:val="lowerLetter"/>
      <w:start w:val="1"/>
    </w:lvl>
  </w:abstractNum>
  <w:abstractNum w:abstractNumId="66">
    <w:nsid w:val="799D0247"/>
    <w:multiLevelType w:val="hybridMultilevel"/>
    <w:lvl w:ilvl="0">
      <w:lvlJc w:val="left"/>
      <w:lvlText w:val="%1."/>
      <w:numFmt w:val="decimal"/>
      <w:start w:val="15"/>
    </w:lvl>
    <w:lvl w:ilvl="1">
      <w:lvlJc w:val="left"/>
      <w:lvlText w:val="(%2)"/>
      <w:numFmt w:val="lowerLetter"/>
      <w:start w:val="1"/>
    </w:lvl>
  </w:abstractNum>
  <w:abstractNum w:abstractNumId="67">
    <w:nsid w:val="6B94764"/>
    <w:multiLevelType w:val="hybridMultilevel"/>
    <w:lvl w:ilvl="0">
      <w:lvlJc w:val="left"/>
      <w:lvlText w:val="%1"/>
      <w:numFmt w:val="decimal"/>
      <w:start w:val="1"/>
    </w:lvl>
    <w:lvl w:ilvl="1">
      <w:lvlJc w:val="left"/>
      <w:lvlText w:val="(%2)"/>
      <w:numFmt w:val="lowerLetter"/>
      <w:start w:val="2"/>
    </w:lvl>
  </w:abstractNum>
  <w:abstractNum w:abstractNumId="68">
    <w:nsid w:val="42C296BD"/>
    <w:multiLevelType w:val="hybridMultilevel"/>
    <w:lvl w:ilvl="0">
      <w:lvlJc w:val="left"/>
      <w:lvlText w:val="%1."/>
      <w:numFmt w:val="decimal"/>
      <w:start w:val="16"/>
    </w:lvl>
    <w:lvl w:ilvl="1">
      <w:lvlJc w:val="left"/>
      <w:lvlText w:val="%2"/>
      <w:numFmt w:val="lowerLetter"/>
      <w:start w:val="1"/>
    </w:lvl>
  </w:abstractNum>
  <w:abstractNum w:abstractNumId="69">
    <w:nsid w:val="168E121F"/>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70">
    <w:nsid w:val="1EBA5D23"/>
    <w:multiLevelType w:val="hybridMultilevel"/>
    <w:lvl w:ilvl="0">
      <w:lvlJc w:val="left"/>
      <w:lvlText w:val="%1."/>
      <w:numFmt w:val="decimal"/>
      <w:start w:val="21"/>
    </w:lvl>
    <w:lvl w:ilvl="1">
      <w:lvlJc w:val="left"/>
      <w:lvlText w:val="(%2)"/>
      <w:numFmt w:val="lowerLetter"/>
      <w:start w:val="1"/>
    </w:lvl>
  </w:abstractNum>
  <w:abstractNum w:abstractNumId="71">
    <w:nsid w:val="661E3F1E"/>
    <w:multiLevelType w:val="hybridMultilevel"/>
    <w:lvl w:ilvl="0">
      <w:lvlJc w:val="left"/>
      <w:lvlText w:val="%1."/>
      <w:numFmt w:val="decimal"/>
      <w:start w:val="23"/>
    </w:lvl>
  </w:abstractNum>
  <w:abstractNum w:abstractNumId="72">
    <w:nsid w:val="5DC79EA8"/>
    <w:multiLevelType w:val="hybridMultilevel"/>
    <w:lvl w:ilvl="0">
      <w:lvlJc w:val="left"/>
      <w:lvlText w:val="%1."/>
      <w:numFmt w:val="decimal"/>
      <w:start w:val="24"/>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2019-12-13T13:30:15Z</dcterms:created>
  <dcterms:modified xsi:type="dcterms:W3CDTF">2019-12-13T13:30:15Z</dcterms:modified>
</cp:coreProperties>
</file>