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December 20, 2021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117475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9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2"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December 20, 2021, we announced the financial results for our first quarter of fiscal 2022 ended December 2, 2021. The full text of the press release issued in connection with the announcement is attached as Exhibit 99.1 to this Current Report on Form 8-K.</w:t>
      </w:r>
    </w:p>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10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7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3"/>
        </w:trPr>
        <w:tc>
          <w:tcPr>
            <w:tcW w:w="11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Press Release issued on December 20, 2021</w:t>
              </w:r>
            </w:hyperlink>
          </w:p>
        </w:tc>
        <w:tc>
          <w:tcPr>
            <w:tcW w:w="6200" w:type="dxa"/>
            <w:vAlign w:val="bottom"/>
            <w:gridSpan w:val="2"/>
          </w:tcPr>
          <w:p>
            <w:pPr>
              <w:spacing w:after="0"/>
              <w:rPr>
                <w:sz w:val="15"/>
                <w:szCs w:val="15"/>
                <w:color w:val="auto"/>
              </w:rPr>
            </w:pPr>
          </w:p>
        </w:tc>
      </w:tr>
      <w:tr>
        <w:trPr>
          <w:trHeight w:val="25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7600" w:type="dxa"/>
            <w:vAlign w:val="bottom"/>
            <w:gridSpan w:val="2"/>
          </w:tcPr>
          <w:p>
            <w:pPr>
              <w:ind w:left="124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560" w:type="dxa"/>
            <w:vAlign w:val="bottom"/>
          </w:tcPr>
          <w:p>
            <w:pPr>
              <w:spacing w:after="0"/>
              <w:rPr>
                <w:sz w:val="20"/>
                <w:szCs w:val="20"/>
                <w:color w:val="auto"/>
              </w:rPr>
            </w:pPr>
            <w:r>
              <w:rPr>
                <w:rFonts w:ascii="Arial" w:cs="Arial" w:eastAsia="Arial" w:hAnsi="Arial"/>
                <w:sz w:val="18"/>
                <w:szCs w:val="18"/>
                <w:color w:val="auto"/>
              </w:rPr>
              <w:t>Date:   December 20, 2021</w:t>
            </w:r>
          </w:p>
        </w:tc>
        <w:tc>
          <w:tcPr>
            <w:tcW w:w="2160" w:type="dxa"/>
            <w:vAlign w:val="bottom"/>
          </w:tcPr>
          <w:p>
            <w:pPr>
              <w:ind w:left="124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560" w:type="dxa"/>
            <w:vAlign w:val="bottom"/>
          </w:tcPr>
          <w:p>
            <w:pPr>
              <w:spacing w:after="0"/>
              <w:rPr>
                <w:sz w:val="19"/>
                <w:szCs w:val="19"/>
                <w:color w:val="auto"/>
              </w:rPr>
            </w:pPr>
          </w:p>
        </w:tc>
        <w:tc>
          <w:tcPr>
            <w:tcW w:w="2160" w:type="dxa"/>
            <w:vAlign w:val="bottom"/>
          </w:tcPr>
          <w:p>
            <w:pPr>
              <w:ind w:left="1240"/>
              <w:spacing w:after="0"/>
              <w:rPr>
                <w:sz w:val="20"/>
                <w:szCs w:val="20"/>
                <w:color w:val="auto"/>
              </w:rPr>
            </w:pPr>
            <w:r>
              <w:rPr>
                <w:rFonts w:ascii="Arial" w:cs="Arial" w:eastAsia="Arial" w:hAnsi="Arial"/>
                <w:sz w:val="18"/>
                <w:szCs w:val="18"/>
                <w:color w:val="auto"/>
              </w:rPr>
              <w:t>Name:</w:t>
            </w:r>
          </w:p>
        </w:tc>
        <w:tc>
          <w:tcPr>
            <w:tcW w:w="544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560" w:type="dxa"/>
            <w:vAlign w:val="bottom"/>
          </w:tcPr>
          <w:p>
            <w:pPr>
              <w:spacing w:after="0"/>
              <w:rPr>
                <w:sz w:val="19"/>
                <w:szCs w:val="19"/>
                <w:color w:val="auto"/>
              </w:rPr>
            </w:pPr>
          </w:p>
        </w:tc>
        <w:tc>
          <w:tcPr>
            <w:tcW w:w="2160" w:type="dxa"/>
            <w:vAlign w:val="bottom"/>
          </w:tcPr>
          <w:p>
            <w:pPr>
              <w:ind w:left="1240"/>
              <w:spacing w:after="0"/>
              <w:rPr>
                <w:sz w:val="20"/>
                <w:szCs w:val="20"/>
                <w:color w:val="auto"/>
              </w:rPr>
            </w:pPr>
            <w:r>
              <w:rPr>
                <w:rFonts w:ascii="Arial" w:cs="Arial" w:eastAsia="Arial" w:hAnsi="Arial"/>
                <w:sz w:val="18"/>
                <w:szCs w:val="18"/>
                <w:color w:val="auto"/>
              </w:rPr>
              <w:t>Title:</w:t>
            </w: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On track for record revenue and solid profitability in fiscal 2022</w:t>
      </w:r>
    </w:p>
    <w:p>
      <w:pPr>
        <w:spacing w:after="0" w:line="23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Dec. 20, 2021 – Micron Technology, Inc. (Nasdaq: MU) today announced results for its first quarter of fiscal 2022,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 2, 2021.</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2022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$7.69 billion versus $8.27 billion for the prior quarter and $5.77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$2.31 billion, or $2.04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$2.47 billion, or $2.16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$3.94 billion versus $3.88 billion for the prior quarter and $1.97 billion for the same period last year</w:t>
      </w:r>
    </w:p>
    <w:p>
      <w:pPr>
        <w:spacing w:after="0" w:line="239"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“Micron delivered solid fiscal first quarter results led by strong product portfolio momentum,” said Micron Technology President and CEO Sanjay Mehrotra. “We are now shipping our industry-leading DRAM and NAND technologies across major end markets, and we delivered new solutions to data center, client, mobile, graphics and automotive customers. As powerful secular trends including 5G, AI, and EV adoption fuel demand growth, our technology leadership and world-class execution position us to create significant shareholder value in fiscal 2022 and beyond.”</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FQ1-22</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FQ4-21</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FQ1-21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FQ1-22</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FQ4-21</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FQ1-21</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7,687</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8,274</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7,687</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8,274</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5,773</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3,565</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3,616</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1,784</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46.4 %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47.3 %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30.1 %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47.0 %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30.9 %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811</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2,631</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2,955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3,073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973</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34.2 %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35.7 %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35.4 %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37.1 %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16.9 %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2,306</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2,720</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2,778</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897</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0.78</w:t>
            </w:r>
          </w:p>
        </w:tc>
      </w:tr>
    </w:tbl>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$3.27 billion for the first quarter of 2022,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$671 million. Micron repurchased approximately 3.6 million shares of its common stock for $259 million during the first quarter of fiscal 2022 and ended the quarter with cash, marketable investments, and restricted cash of $11.48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$4.46 billion.</w:t>
      </w:r>
    </w:p>
    <w:p>
      <w:pPr>
        <w:spacing w:after="0" w:line="15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On December 17, 2021, Micron’s Board of Directors declared a quarterly dividend of $0.10 per share, payable in cash on January 18, 2022, to shareholders of record as of the close of business on January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59"/>
        </w:trPr>
        <w:tc>
          <w:tcPr>
            <w:tcW w:w="650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second quarter of 2022:</w:t>
            </w:r>
          </w:p>
        </w:tc>
        <w:tc>
          <w:tcPr>
            <w:tcW w:w="2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6"/>
        </w:trPr>
        <w:tc>
          <w:tcPr>
            <w:tcW w:w="65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FQ2-22</w:t>
            </w:r>
          </w:p>
        </w:tc>
        <w:tc>
          <w:tcPr>
            <w:tcW w:w="2560" w:type="dxa"/>
            <w:vAlign w:val="bottom"/>
            <w:tcBorders>
              <w:bottom w:val="single" w:sz="8" w:color="0090DA"/>
            </w:tcBorders>
          </w:tcPr>
          <w:p>
            <w:pPr>
              <w:jc w:val="right"/>
              <w:ind w:right="50"/>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18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0"/>
        </w:trPr>
        <w:tc>
          <w:tcPr>
            <w:tcW w:w="65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5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$7.5 billion ± $200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 billion ± $200 million</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45.0% ± 1%</w:t>
            </w:r>
          </w:p>
        </w:tc>
        <w:tc>
          <w:tcPr>
            <w:tcW w:w="2180" w:type="dxa"/>
            <w:vAlign w:val="bottom"/>
          </w:tcPr>
          <w:p>
            <w:pPr>
              <w:jc w:val="right"/>
              <w:spacing w:after="0"/>
              <w:rPr>
                <w:sz w:val="20"/>
                <w:szCs w:val="20"/>
                <w:color w:val="auto"/>
              </w:rPr>
            </w:pPr>
            <w:r>
              <w:rPr>
                <w:rFonts w:ascii="Arial" w:cs="Arial" w:eastAsia="Arial" w:hAnsi="Arial"/>
                <w:sz w:val="18"/>
                <w:szCs w:val="18"/>
                <w:color w:val="auto"/>
              </w:rPr>
              <w:t>46.0% ± 1%</w:t>
            </w:r>
          </w:p>
        </w:tc>
      </w:tr>
      <w:tr>
        <w:trPr>
          <w:trHeight w:val="229"/>
        </w:trPr>
        <w:tc>
          <w:tcPr>
            <w:tcW w:w="65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$1,058 million ± $25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$975 million ± $25 million</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$1.83 ± $0.10</w:t>
            </w:r>
          </w:p>
        </w:tc>
        <w:tc>
          <w:tcPr>
            <w:tcW w:w="2180" w:type="dxa"/>
            <w:vAlign w:val="bottom"/>
          </w:tcPr>
          <w:p>
            <w:pPr>
              <w:jc w:val="right"/>
              <w:spacing w:after="0"/>
              <w:rPr>
                <w:sz w:val="20"/>
                <w:szCs w:val="20"/>
                <w:color w:val="auto"/>
              </w:rPr>
            </w:pPr>
            <w:r>
              <w:rPr>
                <w:rFonts w:ascii="Arial" w:cs="Arial" w:eastAsia="Arial" w:hAnsi="Arial"/>
                <w:sz w:val="18"/>
                <w:szCs w:val="18"/>
                <w:color w:val="auto"/>
              </w:rPr>
              <w:t>$1.95 ± $0.10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Micron will host a conference call on Monday, Dec. 20, 2021 at 2:30 p.m. MT to discuss its first quarter financial results and provide forward-looking guidance for its second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A webcast replay will be available for one year after the call. For Investor Relations and other company updates, follow @MicronTech on Twitter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67"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Micron, the Micron logo, and all other Micron trademarks are the property of Micron Technology, Inc. All other trademarks are the property of their respective owners.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r>
      <w:tr>
        <w:trPr>
          <w:trHeight w:val="185"/>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2,</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2,</w:t>
            </w:r>
          </w:p>
        </w:tc>
        <w:tc>
          <w:tcPr>
            <w:tcW w:w="120" w:type="dxa"/>
            <w:vAlign w:val="bottom"/>
          </w:tcPr>
          <w:p>
            <w:pPr>
              <w:spacing w:after="0"/>
              <w:rPr>
                <w:sz w:val="16"/>
                <w:szCs w:val="16"/>
                <w:color w:val="auto"/>
              </w:rPr>
            </w:pPr>
          </w:p>
        </w:tc>
        <w:tc>
          <w:tcPr>
            <w:tcW w:w="122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w w:val="98"/>
              </w:rPr>
              <w:t>December 3,</w:t>
            </w:r>
          </w:p>
        </w:tc>
      </w:tr>
      <w:tr>
        <w:trPr>
          <w:trHeight w:val="229"/>
        </w:trPr>
        <w:tc>
          <w:tcPr>
            <w:tcW w:w="724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8,274</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r>
      <w:tr>
        <w:trPr>
          <w:trHeight w:val="256"/>
        </w:trPr>
        <w:tc>
          <w:tcPr>
            <w:tcW w:w="7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2,955</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866</w:t>
            </w:r>
          </w:p>
        </w:tc>
      </w:tr>
      <w:tr>
        <w:trPr>
          <w:trHeight w:val="257"/>
        </w:trPr>
        <w:tc>
          <w:tcPr>
            <w:tcW w:w="7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57"/>
        </w:trPr>
        <w:tc>
          <w:tcPr>
            <w:tcW w:w="72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56"/>
        </w:trPr>
        <w:tc>
          <w:tcPr>
            <w:tcW w:w="724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8,680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4,827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20,191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35,155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128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30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15,338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9,564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29"/>
        </w:trPr>
        <w:tc>
          <w:tcPr>
            <w:tcW w:w="836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41,267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45,908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2,</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3,938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 of Lehi, Utah fab</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8,763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Lehi, Utah Fab and 3D XPoint</w:t>
      </w:r>
    </w:p>
    <w:p>
      <w:pPr>
        <w:spacing w:after="0" w:line="26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a definitive agreement to sell our Lehi facility to Texas Instruments Incorporated (“TI”) and closed the sale on October 22, 2021.</w:t>
      </w:r>
    </w:p>
    <w:p>
      <w:pPr>
        <w:spacing w:after="0" w:line="23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we recognized a loss of $23 million included in restructure and asset impairments in the first quarter of 2022.</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November 1, 2021, we issued in a public offering $ 1.00 billion in principal amount of 2.703% senior notes due 2032 (green bonds), $500 million in principal amount of 3.366% senior notes due 2041, and $500 million in principal amount of 3.477% senior notes due 2051, and received aggregate net proceeds of $1.99 billion.</w:t>
      </w:r>
    </w:p>
    <w:p>
      <w:pPr>
        <w:spacing w:after="0" w:line="22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On November 17, 2021, we redeemed $1.25 billion in principal amount of our 2.497% senior notes due 2023 and $600 million in principal amount of our 4.640% senior notes due 2024 for $1.93 billion in cash and recognized a non-operating loss of $83 million.</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r>
      <w:tr>
        <w:trPr>
          <w:trHeight w:val="185"/>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2,</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2,</w:t>
            </w:r>
          </w:p>
        </w:tc>
        <w:tc>
          <w:tcPr>
            <w:tcW w:w="120" w:type="dxa"/>
            <w:vAlign w:val="bottom"/>
          </w:tcPr>
          <w:p>
            <w:pPr>
              <w:spacing w:after="0"/>
              <w:rPr>
                <w:sz w:val="16"/>
                <w:szCs w:val="16"/>
                <w:color w:val="auto"/>
              </w:rPr>
            </w:pPr>
          </w:p>
        </w:tc>
        <w:tc>
          <w:tcPr>
            <w:tcW w:w="122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w w:val="98"/>
              </w:rPr>
              <w:t>December 3,</w:t>
            </w:r>
          </w:p>
        </w:tc>
      </w:tr>
      <w:tr>
        <w:trPr>
          <w:trHeight w:val="229"/>
        </w:trPr>
        <w:tc>
          <w:tcPr>
            <w:tcW w:w="724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(Gain) loss on debt repurchases and conversions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2,471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897</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1,135</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12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auto"/>
            </w:tcBorders>
            <w:shd w:val="clear" w:color="auto" w:fill="D1D2D4"/>
          </w:tcPr>
          <w:p>
            <w:pPr>
              <w:spacing w:after="0"/>
              <w:rPr>
                <w:sz w:val="21"/>
                <w:szCs w:val="21"/>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1,146</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0.78</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r>
        <w:trPr>
          <w:trHeight w:val="838"/>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88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c>
          <w:tcPr>
            <w:tcW w:w="24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4th Qtr.</w:t>
            </w:r>
          </w:p>
        </w:tc>
        <w:tc>
          <w:tcPr>
            <w:tcW w:w="12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c>
          <w:tcPr>
            <w:tcW w:w="0" w:type="dxa"/>
            <w:vAlign w:val="bottom"/>
          </w:tcPr>
          <w:p>
            <w:pPr>
              <w:spacing w:after="0"/>
              <w:rPr>
                <w:sz w:val="1"/>
                <w:szCs w:val="1"/>
                <w:color w:val="auto"/>
              </w:rPr>
            </w:pPr>
          </w:p>
        </w:tc>
      </w:tr>
      <w:tr>
        <w:trPr>
          <w:trHeight w:val="185"/>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0"/>
              <w:spacing w:after="0" w:line="185" w:lineRule="exact"/>
              <w:rPr>
                <w:sz w:val="20"/>
                <w:szCs w:val="20"/>
                <w:color w:val="auto"/>
              </w:rPr>
            </w:pPr>
            <w:r>
              <w:rPr>
                <w:rFonts w:ascii="Arial" w:cs="Arial" w:eastAsia="Arial" w:hAnsi="Arial"/>
                <w:sz w:val="18"/>
                <w:szCs w:val="18"/>
                <w:b w:val="1"/>
                <w:bCs w:val="1"/>
                <w:color w:val="auto"/>
              </w:rPr>
              <w:t>December 2,</w:t>
            </w:r>
          </w:p>
        </w:tc>
        <w:tc>
          <w:tcPr>
            <w:tcW w:w="136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2,</w:t>
            </w:r>
          </w:p>
        </w:tc>
        <w:tc>
          <w:tcPr>
            <w:tcW w:w="120" w:type="dxa"/>
            <w:vAlign w:val="bottom"/>
          </w:tcPr>
          <w:p>
            <w:pPr>
              <w:spacing w:after="0"/>
              <w:rPr>
                <w:sz w:val="16"/>
                <w:szCs w:val="16"/>
                <w:color w:val="auto"/>
              </w:rPr>
            </w:pPr>
          </w:p>
        </w:tc>
        <w:tc>
          <w:tcPr>
            <w:tcW w:w="122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w w:val="98"/>
              </w:rPr>
              <w:t>December 3,</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3,938</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57"/>
        </w:trPr>
        <w:tc>
          <w:tcPr>
            <w:tcW w:w="7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(3,265)</w:t>
            </w: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Amounts funded by partners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(3,267)</w:t>
            </w: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7"/>
              </w:rPr>
              <w:t>December 2,</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9,580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8,633</w:t>
            </w:r>
          </w:p>
        </w:tc>
      </w:tr>
      <w:tr>
        <w:trPr>
          <w:trHeight w:val="230"/>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29"/>
        </w:trPr>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886" w:right="339" w:bottom="1440" w:gutter="0" w:footer="0" w:header="0"/>
          <w:type w:val="continuous"/>
        </w:sectPr>
      </w:pPr>
    </w:p>
    <w:p>
      <w:pPr>
        <w:spacing w:after="0" w:line="12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 and 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5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FQ2-22</w:t>
            </w:r>
          </w:p>
        </w:tc>
        <w:tc>
          <w:tcPr>
            <w:tcW w:w="2320" w:type="dxa"/>
            <w:vAlign w:val="bottom"/>
            <w:gridSpan w:val="2"/>
          </w:tcPr>
          <w:p>
            <w:pPr>
              <w:ind w:left="440"/>
              <w:spacing w:after="0"/>
              <w:rPr>
                <w:sz w:val="20"/>
                <w:szCs w:val="20"/>
                <w:color w:val="auto"/>
              </w:rPr>
            </w:pPr>
            <w:r>
              <w:rPr>
                <w:rFonts w:ascii="Arial" w:cs="Arial" w:eastAsia="Arial" w:hAnsi="Arial"/>
                <w:sz w:val="18"/>
                <w:szCs w:val="18"/>
                <w:b w:val="1"/>
                <w:bCs w:val="1"/>
                <w:color w:val="auto"/>
              </w:rPr>
              <w:t>GAAP Outlook</w:t>
            </w:r>
          </w:p>
        </w:tc>
        <w:tc>
          <w:tcPr>
            <w:tcW w:w="26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00" w:type="dxa"/>
            <w:vAlign w:val="bottom"/>
            <w:tcBorders>
              <w:top w:val="single" w:sz="8" w:color="0090DA"/>
            </w:tcBorders>
          </w:tcPr>
          <w:p>
            <w:pPr>
              <w:spacing w:after="0"/>
              <w:rPr>
                <w:sz w:val="2"/>
                <w:szCs w:val="2"/>
                <w:color w:val="auto"/>
              </w:rPr>
            </w:pPr>
          </w:p>
        </w:tc>
        <w:tc>
          <w:tcPr>
            <w:tcW w:w="22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2120" w:type="dxa"/>
            <w:vAlign w:val="bottom"/>
            <w:tcBorders>
              <w:top w:val="single" w:sz="8" w:color="0090DA"/>
            </w:tcBorders>
          </w:tcPr>
          <w:p>
            <w:pPr>
              <w:spacing w:after="0"/>
              <w:rPr>
                <w:sz w:val="2"/>
                <w:szCs w:val="2"/>
                <w:color w:val="auto"/>
              </w:rPr>
            </w:pPr>
          </w:p>
        </w:tc>
      </w:tr>
      <w:tr>
        <w:trPr>
          <w:trHeight w:val="229"/>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$7.5 billion ± $200 million</w:t>
            </w:r>
          </w:p>
        </w:tc>
        <w:tc>
          <w:tcPr>
            <w:tcW w:w="2600" w:type="dxa"/>
            <w:vAlign w:val="bottom"/>
            <w:gridSpan w:val="3"/>
            <w:shd w:val="clear" w:color="auto" w:fill="D1D2D4"/>
          </w:tcPr>
          <w:p>
            <w:pPr>
              <w:jc w:val="right"/>
              <w:ind w:right="13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 billion ± $200 million</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20" w:type="dxa"/>
            <w:vAlign w:val="bottom"/>
          </w:tcPr>
          <w:p>
            <w:pPr>
              <w:jc w:val="right"/>
              <w:spacing w:after="0"/>
              <w:rPr>
                <w:sz w:val="20"/>
                <w:szCs w:val="20"/>
                <w:color w:val="auto"/>
              </w:rPr>
            </w:pPr>
            <w:r>
              <w:rPr>
                <w:rFonts w:ascii="Arial" w:cs="Arial" w:eastAsia="Arial" w:hAnsi="Arial"/>
                <w:sz w:val="18"/>
                <w:szCs w:val="18"/>
                <w:color w:val="auto"/>
              </w:rPr>
              <w:t>45.0% ± 1%</w:t>
            </w:r>
          </w:p>
        </w:tc>
        <w:tc>
          <w:tcPr>
            <w:tcW w:w="100" w:type="dxa"/>
            <w:vAlign w:val="bottom"/>
          </w:tcPr>
          <w:p>
            <w:pPr>
              <w:spacing w:after="0"/>
              <w:rPr>
                <w:sz w:val="19"/>
                <w:szCs w:val="19"/>
                <w:color w:val="auto"/>
              </w:rPr>
            </w:pPr>
          </w:p>
        </w:tc>
        <w:tc>
          <w:tcPr>
            <w:tcW w:w="2600" w:type="dxa"/>
            <w:vAlign w:val="bottom"/>
            <w:gridSpan w:val="3"/>
          </w:tcPr>
          <w:p>
            <w:pPr>
              <w:jc w:val="right"/>
              <w:ind w:right="114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spacing w:after="0"/>
              <w:rPr>
                <w:sz w:val="20"/>
                <w:szCs w:val="20"/>
                <w:color w:val="auto"/>
              </w:rPr>
            </w:pPr>
            <w:r>
              <w:rPr>
                <w:rFonts w:ascii="Arial" w:cs="Arial" w:eastAsia="Arial" w:hAnsi="Arial"/>
                <w:sz w:val="18"/>
                <w:szCs w:val="18"/>
                <w:color w:val="auto"/>
              </w:rPr>
              <w:t>46.0% ± 1%</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32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$1,058 million ± $25 million</w:t>
            </w:r>
          </w:p>
        </w:tc>
        <w:tc>
          <w:tcPr>
            <w:tcW w:w="2600" w:type="dxa"/>
            <w:vAlign w:val="bottom"/>
            <w:gridSpan w:val="3"/>
            <w:shd w:val="clear" w:color="auto" w:fill="D1D2D4"/>
          </w:tcPr>
          <w:p>
            <w:pPr>
              <w:jc w:val="right"/>
              <w:ind w:right="1140"/>
              <w:spacing w:after="0"/>
              <w:rPr>
                <w:sz w:val="20"/>
                <w:szCs w:val="20"/>
                <w:color w:val="auto"/>
              </w:rPr>
            </w:pPr>
            <w:r>
              <w:rPr>
                <w:rFonts w:ascii="Arial" w:cs="Arial" w:eastAsia="Arial" w:hAnsi="Arial"/>
                <w:sz w:val="18"/>
                <w:szCs w:val="18"/>
                <w:color w:val="auto"/>
              </w:rPr>
              <w:t>$83 million B</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$975 million ± $25 million</w:t>
            </w:r>
          </w:p>
        </w:tc>
      </w:tr>
      <w:tr>
        <w:trPr>
          <w:trHeight w:val="301"/>
        </w:trPr>
        <w:tc>
          <w:tcPr>
            <w:tcW w:w="420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220" w:type="dxa"/>
            <w:vAlign w:val="bottom"/>
          </w:tcPr>
          <w:p>
            <w:pPr>
              <w:jc w:val="right"/>
              <w:spacing w:after="0"/>
              <w:rPr>
                <w:sz w:val="20"/>
                <w:szCs w:val="20"/>
                <w:color w:val="auto"/>
              </w:rPr>
            </w:pPr>
            <w:r>
              <w:rPr>
                <w:rFonts w:ascii="Arial" w:cs="Arial" w:eastAsia="Arial" w:hAnsi="Arial"/>
                <w:sz w:val="18"/>
                <w:szCs w:val="18"/>
                <w:color w:val="auto"/>
              </w:rPr>
              <w:t>$1.83 ± $0.10</w:t>
            </w:r>
          </w:p>
        </w:tc>
        <w:tc>
          <w:tcPr>
            <w:tcW w:w="100" w:type="dxa"/>
            <w:vAlign w:val="bottom"/>
          </w:tcPr>
          <w:p>
            <w:pPr>
              <w:spacing w:after="0"/>
              <w:rPr>
                <w:sz w:val="24"/>
                <w:szCs w:val="24"/>
                <w:color w:val="auto"/>
              </w:rPr>
            </w:pPr>
          </w:p>
        </w:tc>
        <w:tc>
          <w:tcPr>
            <w:tcW w:w="2600" w:type="dxa"/>
            <w:vAlign w:val="bottom"/>
            <w:gridSpan w:val="3"/>
          </w:tcPr>
          <w:p>
            <w:pPr>
              <w:jc w:val="right"/>
              <w:ind w:right="680"/>
              <w:spacing w:after="0"/>
              <w:rPr>
                <w:sz w:val="20"/>
                <w:szCs w:val="20"/>
                <w:color w:val="auto"/>
              </w:rPr>
            </w:pPr>
            <w:r>
              <w:rPr>
                <w:rFonts w:ascii="Arial" w:cs="Arial" w:eastAsia="Arial" w:hAnsi="Arial"/>
                <w:sz w:val="18"/>
                <w:szCs w:val="18"/>
                <w:color w:val="auto"/>
              </w:rPr>
              <w:t>$0.12 A, B, C</w:t>
            </w:r>
          </w:p>
        </w:tc>
        <w:tc>
          <w:tcPr>
            <w:tcW w:w="2120" w:type="dxa"/>
            <w:vAlign w:val="bottom"/>
          </w:tcPr>
          <w:p>
            <w:pPr>
              <w:jc w:val="right"/>
              <w:spacing w:after="0"/>
              <w:rPr>
                <w:sz w:val="20"/>
                <w:szCs w:val="20"/>
                <w:color w:val="auto"/>
              </w:rPr>
            </w:pPr>
            <w:r>
              <w:rPr>
                <w:rFonts w:ascii="Arial" w:cs="Arial" w:eastAsia="Arial" w:hAnsi="Arial"/>
                <w:sz w:val="18"/>
                <w:szCs w:val="18"/>
                <w:color w:val="auto"/>
              </w:rPr>
              <w:t>$1.95 ± $0.10</w:t>
            </w:r>
          </w:p>
        </w:tc>
      </w:tr>
      <w:tr>
        <w:trPr>
          <w:trHeight w:val="226"/>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420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23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r>
      <w:tr>
        <w:trPr>
          <w:trHeight w:val="34"/>
        </w:trPr>
        <w:tc>
          <w:tcPr>
            <w:tcW w:w="4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C  Tax effects of the above items and other tax adjustments</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2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
        </w:trPr>
        <w:tc>
          <w:tcPr>
            <w:tcW w:w="4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60" w:hanging="332"/>
        <w:spacing w:after="0" w:line="220"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2021-12-20T15:04:03Z</dcterms:created>
  <dcterms:modified xsi:type="dcterms:W3CDTF">2021-12-20T15:04:03Z</dcterms:modified>
</cp:coreProperties>
</file>