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2, 2008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March 31, 2008, the Company’s joint venture subsidiary, TECH Semiconductor Singapore Pte. Ltd. ("TECH") entered into a new credit facility that enables it to borrow up to $600 million at SIBOR plus 2.5%, subject to customary covenants (the “Credit Facility”). In addition to TECH, the parties to the Credit Facility are ABN AMRO Bank N.V., Singapore Branch, Citibank, N.A., Singapore Branch / Citigroup Global Markets Singapore Pte Ltd, DBS Bank Ltd and Oversea-Chinese Banking Corporation Limited as Original Mandated Lead Arrangers and a syndicate of banks (collectively the “Banks”). The Credit Facility is available for drawdown from March 31, 2008 to December 31, 2008. TECH is expected to draw $220 million under the new credit facility on April 7, 2008 and retire the amount outstanding under its previous credit facility by paying off $240 million. Payments under the new facility are due in 13 quarterly installments commencing in May 2009. The Credit Facility is secured by all of the assets of TECH and contains customary affirmative, negative and financial covenants, including, among other requirements, negative covenants that restrict TECH’s ability to create liens, incur indebtedness, merge or consolidate, acquire or dispose of assets, make distributions, enter into transactions with affiliates, enter into restrictive agreements and financial covenants that establish applicable liquidity ratios, debt service coverage ratios and limit the maximum leverage ratios that TECH can maintain at any one time.</w:t>
      </w:r>
    </w:p>
    <w:p>
      <w:pPr>
        <w:spacing w:after="0" w:line="19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the Credit Facility contains events of default, that include, among others, non-payment of principal, interest or fees, violation of covenants, inaccuracy of representations or statements, cross-defaults to certain other indebtedness by TECH or the Company, bankruptcy and insolvency defaults of TECH or the Company, material adverse change to the business of TECH, specific ownership requirements, material judgments, and non-extension of the term of the TECH joint venture. The occurrence of an event of default could result in an increased interest rate, the acceleration of TECH’s obligations under the Credit Facility and an obligation of TECH or the Company, under certain circumstances to repay the full amount of TECH’s borrowings under the Credit Facility.</w:t>
      </w:r>
    </w:p>
    <w:p>
      <w:pPr>
        <w:spacing w:after="0" w:line="220"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 xml:space="preserve">In connection with the Credit Facility, on March 31, 2008, the Company entered into a Guarantee with ABN AMRO Bank B.V., Singapore Branch, as security agent for the Banks (the “Guarantee”). Pursuant to the terms of the Guarantee, the Company has guaranteed approximately 73% of the outstanding amount of the Credit Facility, with the Company’s obligations increasing to 100% of the outstanding amount of the Credit Facility upon the occurrence of certain conditions. As a condition to granting the Guarantee, the Company has a second position priority interest in all of the assets of TECH behind the Banks. Certain limited events of default under the Credit Facility will apply to the Company for as long as the Guarantee remains in place, including inaccuracy of representations and statements the Company, violation of covenants of the Company under the Guarantee, and material adverse change to the business of the Company. In addition, the Guarantee contains a limited number of covenants including requiring the obligations under the Guarantee to be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other indebtedness of the Company, making no substantial changes to the business, and not entering into a merger where the Company is not the surviving entity or that has a material adverse affect on its ability to repay the Guarantee.</w:t>
      </w:r>
    </w:p>
    <w:p>
      <w:pPr>
        <w:spacing w:after="0" w:line="194"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foregoing descriptions of the Credit Facility and Guarantee are only summaries and do not purport to be complete. The summaries are qualified in their entirety by reference to the actual agreements, which will be filed as exhibits to a future periodic or current report.</w:t>
      </w:r>
    </w:p>
    <w:p>
      <w:pPr>
        <w:spacing w:after="0" w:line="17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On April 2, 2008, the Company announced its financial results for the quarter ended February 28, 2008. The full text of the press release issued in connection with the announcement is attached as Exhibit 99.1 to this Current Report on Form 8-K.</w:t>
      </w:r>
    </w:p>
    <w:p>
      <w:pPr>
        <w:spacing w:after="0" w:line="19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under “Item 1.01, “Entry into a Material Definitive Agreement,” is incorporated herein by reference.</w:t>
      </w:r>
    </w:p>
    <w:p>
      <w:pPr>
        <w:spacing w:after="0" w:line="24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25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the fourth quarter of fiscal 2007, the Company began pursuing a number of initiatives to drive greater cost efficiencies and revenue growth across its operations. These initiatives include workforce reductions in certain areas of the Company as the Company’s business is realigned. Additional initiatives include establishing certain operations closer in location to the Company’s global customers, evaluating functions more efficiently performed through partnerships or other outside relationships and reducing the Company’s overhead costs to meet or exceed industry benchmarks.</w:t>
      </w:r>
    </w:p>
    <w:p>
      <w:pPr>
        <w:spacing w:after="0" w:line="198"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During the second quarter of fiscal 2008, the first quarter of fiscal 2008 and the fourth quarter of fiscal 2007, the Company recorded restructure charges of $8 million, $13 million and $19 million, respectively, consisting primarily of employee severance and related costs resulting from a reduction in the Company’s workforce. The first quarter charge also included a write-down of the carrying value of certain facilities to their estimated fair values. The Company anticipates that it will incur some level of restructure charges through the end of fiscal 2008 as it continues to implement these initiatives, but is currently unable to estimate the aggregate amount of the charges.</w:t>
      </w:r>
    </w:p>
    <w:p>
      <w:pPr>
        <w:spacing w:after="0" w:line="215" w:lineRule="exact"/>
        <w:rPr>
          <w:sz w:val="20"/>
          <w:szCs w:val="20"/>
          <w:color w:val="auto"/>
        </w:rPr>
      </w:pPr>
    </w:p>
    <w:p>
      <w:pPr>
        <w:jc w:val="both"/>
        <w:ind w:right="160" w:firstLine="648"/>
        <w:spacing w:after="0" w:line="288" w:lineRule="auto"/>
        <w:rPr>
          <w:sz w:val="20"/>
          <w:szCs w:val="20"/>
          <w:color w:val="auto"/>
        </w:rPr>
      </w:pPr>
      <w:r>
        <w:rPr>
          <w:rFonts w:ascii="Arial" w:cs="Arial" w:eastAsia="Arial" w:hAnsi="Arial"/>
          <w:sz w:val="16"/>
          <w:szCs w:val="16"/>
          <w:i w:val="1"/>
          <w:iCs w:val="1"/>
          <w:color w:val="auto"/>
        </w:rPr>
        <w:t>This Current Report on Form 8-K contains forward-looking statements regarding the date of the TECH drawdown and future restructure charges. Actual events or results may differ materially from those contained in the forward-looking statements. Please refer to the documents the Company files on a consolidated basis from time to time with the Securities and Exchange Commission, specifically the Company's most recent Form 10-K and Form 10-Q.</w:t>
      </w:r>
    </w:p>
    <w:p>
      <w:pPr>
        <w:ind w:right="80"/>
        <w:spacing w:after="0" w:line="254" w:lineRule="auto"/>
        <w:rPr>
          <w:sz w:val="20"/>
          <w:szCs w:val="20"/>
          <w:color w:val="auto"/>
        </w:rPr>
      </w:pPr>
      <w:r>
        <w:rPr>
          <w:rFonts w:ascii="Arial" w:cs="Arial" w:eastAsia="Arial" w:hAnsi="Arial"/>
          <w:sz w:val="18"/>
          <w:szCs w:val="18"/>
          <w:i w:val="1"/>
          <w:iCs w:val="1"/>
          <w:color w:val="auto"/>
        </w:rPr>
        <w:t>These documents contain and identify important factors that could cause the actual results for the Company on a consolidated basis to differ materially from those contained in our forward-looking statements (see Certain Factors). Although we believe that the expectations reflected in the forward-looking statements are reasonable, we cannot guarantee future results, levels of activity, performance or achievements. We are under no duty to update any of the forward-looking statements after the date of this report to conform to actual results.</w:t>
      </w:r>
    </w:p>
    <w:p>
      <w:pPr>
        <w:spacing w:after="0" w:line="21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exhibits are filed herewith:</w:t>
      </w:r>
    </w:p>
    <w:p>
      <w:pPr>
        <w:spacing w:after="0" w:line="248"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99" w:right="279" w:bottom="0" w:gutter="0" w:footer="0" w:header="0"/>
        </w:sectPr>
      </w:pPr>
    </w:p>
    <w:bookmarkStart w:id="2" w:name="page3"/>
    <w:bookmarkEnd w:id="2"/>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April 2,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1299210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39"/>
          </w:cols>
          <w:pgMar w:left="720" w:top="125"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7180" w:type="dxa"/>
            <w:vAlign w:val="bottom"/>
            <w:gridSpan w:val="2"/>
          </w:tcPr>
          <w:p>
            <w:pPr>
              <w:ind w:left="270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4240" w:type="dxa"/>
            <w:vAlign w:val="bottom"/>
          </w:tcPr>
          <w:p>
            <w:pPr>
              <w:spacing w:after="0"/>
              <w:rPr>
                <w:sz w:val="20"/>
                <w:szCs w:val="20"/>
                <w:color w:val="auto"/>
              </w:rPr>
            </w:pPr>
            <w:r>
              <w:rPr>
                <w:rFonts w:ascii="Arial" w:cs="Arial" w:eastAsia="Arial" w:hAnsi="Arial"/>
                <w:sz w:val="18"/>
                <w:szCs w:val="18"/>
                <w:color w:val="auto"/>
              </w:rPr>
              <w:t>Date:  April 2, 2008</w:t>
            </w:r>
          </w:p>
        </w:tc>
        <w:tc>
          <w:tcPr>
            <w:tcW w:w="3540" w:type="dxa"/>
            <w:vAlign w:val="bottom"/>
          </w:tcPr>
          <w:p>
            <w:pPr>
              <w:ind w:left="270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 Mark Durcan</w:t>
            </w:r>
          </w:p>
        </w:tc>
      </w:tr>
      <w:tr>
        <w:trPr>
          <w:trHeight w:val="202"/>
        </w:trPr>
        <w:tc>
          <w:tcPr>
            <w:tcW w:w="4240" w:type="dxa"/>
            <w:vAlign w:val="bottom"/>
          </w:tcPr>
          <w:p>
            <w:pPr>
              <w:spacing w:after="0"/>
              <w:rPr>
                <w:sz w:val="17"/>
                <w:szCs w:val="17"/>
                <w:color w:val="auto"/>
              </w:rPr>
            </w:pPr>
          </w:p>
        </w:tc>
        <w:tc>
          <w:tcPr>
            <w:tcW w:w="3540" w:type="dxa"/>
            <w:vAlign w:val="bottom"/>
          </w:tcPr>
          <w:p>
            <w:pPr>
              <w:ind w:left="2700"/>
              <w:spacing w:after="0" w:line="201"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D. Mark Durcan</w:t>
            </w:r>
          </w:p>
        </w:tc>
      </w:tr>
      <w:tr>
        <w:trPr>
          <w:trHeight w:val="230"/>
        </w:trPr>
        <w:tc>
          <w:tcPr>
            <w:tcW w:w="4240" w:type="dxa"/>
            <w:vAlign w:val="bottom"/>
          </w:tcPr>
          <w:p>
            <w:pPr>
              <w:spacing w:after="0"/>
              <w:rPr>
                <w:sz w:val="20"/>
                <w:szCs w:val="20"/>
                <w:color w:val="auto"/>
              </w:rPr>
            </w:pPr>
          </w:p>
        </w:tc>
        <w:tc>
          <w:tcPr>
            <w:tcW w:w="3540" w:type="dxa"/>
            <w:vAlign w:val="bottom"/>
          </w:tcPr>
          <w:p>
            <w:pPr>
              <w:ind w:left="270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President and Chief Operating Officer</w:t>
            </w:r>
          </w:p>
        </w:tc>
      </w:tr>
      <w:tr>
        <w:trPr>
          <w:trHeight w:val="902"/>
        </w:trPr>
        <w:tc>
          <w:tcPr>
            <w:tcW w:w="424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ind w:right="-88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80"/>
        <w:spacing w:after="0"/>
        <w:rPr>
          <w:sz w:val="20"/>
          <w:szCs w:val="20"/>
          <w:color w:val="auto"/>
        </w:rPr>
      </w:pPr>
      <w:r>
        <w:rPr>
          <w:rFonts w:ascii="Arial" w:cs="Arial" w:eastAsia="Arial" w:hAnsi="Arial"/>
          <w:sz w:val="17"/>
          <w:szCs w:val="17"/>
          <w:b w:val="1"/>
          <w:bCs w:val="1"/>
          <w:color w:val="auto"/>
        </w:rPr>
        <w:t>THE CURRENT REPORT ON FORM 8-K DATED APRIL 2, 2008</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on April 2, 2008</w:t>
      </w:r>
    </w:p>
    <w:p>
      <w:pPr>
        <w:sectPr>
          <w:pgSz w:w="11900" w:h="16838" w:orient="portrait"/>
          <w:cols w:equalWidth="0" w:num="1">
            <w:col w:w="9879"/>
          </w:cols>
          <w:pgMar w:left="580" w:top="756"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2460" w:type="dxa"/>
            <w:vAlign w:val="bottom"/>
          </w:tcPr>
          <w:p>
            <w:pPr>
              <w:spacing w:after="0"/>
              <w:rPr>
                <w:sz w:val="20"/>
                <w:szCs w:val="20"/>
                <w:color w:val="auto"/>
              </w:rPr>
            </w:pPr>
          </w:p>
        </w:tc>
      </w:tr>
      <w:tr>
        <w:trPr>
          <w:trHeight w:val="688"/>
        </w:trPr>
        <w:tc>
          <w:tcPr>
            <w:tcW w:w="1060" w:type="dxa"/>
            <w:vAlign w:val="bottom"/>
          </w:tcPr>
          <w:p>
            <w:pPr>
              <w:spacing w:after="0"/>
              <w:rPr>
                <w:sz w:val="20"/>
                <w:szCs w:val="20"/>
                <w:color w:val="auto"/>
              </w:rPr>
            </w:pPr>
            <w:r>
              <w:rPr>
                <w:rFonts w:ascii="Arial" w:cs="Arial" w:eastAsia="Arial" w:hAnsi="Arial"/>
                <w:sz w:val="18"/>
                <w:szCs w:val="18"/>
                <w:color w:val="auto"/>
              </w:rPr>
              <w:t>Contacts:</w:t>
            </w:r>
          </w:p>
        </w:tc>
        <w:tc>
          <w:tcPr>
            <w:tcW w:w="2640" w:type="dxa"/>
            <w:vAlign w:val="bottom"/>
          </w:tcPr>
          <w:p>
            <w:pPr>
              <w:ind w:left="360"/>
              <w:spacing w:after="0"/>
              <w:rPr>
                <w:sz w:val="20"/>
                <w:szCs w:val="20"/>
                <w:color w:val="auto"/>
              </w:rPr>
            </w:pPr>
            <w:r>
              <w:rPr>
                <w:rFonts w:ascii="Arial" w:cs="Arial" w:eastAsia="Arial" w:hAnsi="Arial"/>
                <w:sz w:val="18"/>
                <w:szCs w:val="18"/>
                <w:color w:val="auto"/>
              </w:rPr>
              <w:t>Kipp A. Bedard</w:t>
            </w:r>
          </w:p>
        </w:tc>
        <w:tc>
          <w:tcPr>
            <w:tcW w:w="2460" w:type="dxa"/>
            <w:vAlign w:val="bottom"/>
          </w:tcPr>
          <w:p>
            <w:pPr>
              <w:ind w:left="680"/>
              <w:spacing w:after="0"/>
              <w:rPr>
                <w:sz w:val="20"/>
                <w:szCs w:val="20"/>
                <w:color w:val="auto"/>
              </w:rPr>
            </w:pPr>
            <w:r>
              <w:rPr>
                <w:rFonts w:ascii="Arial" w:cs="Arial" w:eastAsia="Arial" w:hAnsi="Arial"/>
                <w:sz w:val="18"/>
                <w:szCs w:val="18"/>
                <w:color w:val="auto"/>
              </w:rPr>
              <w:t>Daniel Francisco</w:t>
            </w:r>
          </w:p>
        </w:tc>
      </w:tr>
      <w:tr>
        <w:trPr>
          <w:trHeight w:val="216"/>
        </w:trPr>
        <w:tc>
          <w:tcPr>
            <w:tcW w:w="1060" w:type="dxa"/>
            <w:vAlign w:val="bottom"/>
          </w:tcPr>
          <w:p>
            <w:pPr>
              <w:spacing w:after="0"/>
              <w:rPr>
                <w:sz w:val="18"/>
                <w:szCs w:val="18"/>
                <w:color w:val="auto"/>
              </w:rPr>
            </w:pPr>
          </w:p>
        </w:tc>
        <w:tc>
          <w:tcPr>
            <w:tcW w:w="2640" w:type="dxa"/>
            <w:vAlign w:val="bottom"/>
          </w:tcPr>
          <w:p>
            <w:pPr>
              <w:ind w:left="360"/>
              <w:spacing w:after="0"/>
              <w:rPr>
                <w:sz w:val="20"/>
                <w:szCs w:val="20"/>
                <w:color w:val="auto"/>
              </w:rPr>
            </w:pPr>
            <w:r>
              <w:rPr>
                <w:rFonts w:ascii="Arial" w:cs="Arial" w:eastAsia="Arial" w:hAnsi="Arial"/>
                <w:sz w:val="18"/>
                <w:szCs w:val="18"/>
                <w:color w:val="auto"/>
              </w:rPr>
              <w:t>Investor Relations</w:t>
            </w:r>
          </w:p>
        </w:tc>
        <w:tc>
          <w:tcPr>
            <w:tcW w:w="2460" w:type="dxa"/>
            <w:vAlign w:val="bottom"/>
          </w:tcPr>
          <w:p>
            <w:pPr>
              <w:ind w:left="680"/>
              <w:spacing w:after="0"/>
              <w:rPr>
                <w:sz w:val="20"/>
                <w:szCs w:val="20"/>
                <w:color w:val="auto"/>
              </w:rPr>
            </w:pPr>
            <w:r>
              <w:rPr>
                <w:rFonts w:ascii="Arial" w:cs="Arial" w:eastAsia="Arial" w:hAnsi="Arial"/>
                <w:sz w:val="18"/>
                <w:szCs w:val="18"/>
                <w:color w:val="auto"/>
              </w:rPr>
              <w:t>Media Relations</w:t>
            </w:r>
          </w:p>
        </w:tc>
      </w:tr>
      <w:tr>
        <w:trPr>
          <w:trHeight w:val="216"/>
        </w:trPr>
        <w:tc>
          <w:tcPr>
            <w:tcW w:w="1060" w:type="dxa"/>
            <w:vAlign w:val="bottom"/>
          </w:tcPr>
          <w:p>
            <w:pPr>
              <w:spacing w:after="0"/>
              <w:rPr>
                <w:sz w:val="18"/>
                <w:szCs w:val="18"/>
                <w:color w:val="auto"/>
              </w:rPr>
            </w:pPr>
          </w:p>
        </w:tc>
        <w:tc>
          <w:tcPr>
            <w:tcW w:w="2640" w:type="dxa"/>
            <w:vAlign w:val="bottom"/>
          </w:tcPr>
          <w:p>
            <w:pPr>
              <w:ind w:left="360"/>
              <w:spacing w:after="0"/>
              <w:rPr>
                <w:sz w:val="20"/>
                <w:szCs w:val="20"/>
                <w:color w:val="auto"/>
              </w:rPr>
            </w:pPr>
            <w:r>
              <w:rPr>
                <w:rFonts w:ascii="Arial" w:cs="Arial" w:eastAsia="Arial" w:hAnsi="Arial"/>
                <w:sz w:val="18"/>
                <w:szCs w:val="18"/>
                <w:color w:val="auto"/>
              </w:rPr>
              <w:t>kbedard@micron.com</w:t>
            </w:r>
          </w:p>
        </w:tc>
        <w:tc>
          <w:tcPr>
            <w:tcW w:w="2460" w:type="dxa"/>
            <w:vAlign w:val="bottom"/>
          </w:tcPr>
          <w:p>
            <w:pPr>
              <w:ind w:left="680"/>
              <w:spacing w:after="0"/>
              <w:rPr>
                <w:sz w:val="20"/>
                <w:szCs w:val="20"/>
                <w:color w:val="auto"/>
              </w:rPr>
            </w:pPr>
            <w:r>
              <w:rPr>
                <w:rFonts w:ascii="Arial" w:cs="Arial" w:eastAsia="Arial" w:hAnsi="Arial"/>
                <w:sz w:val="18"/>
                <w:szCs w:val="18"/>
                <w:color w:val="auto"/>
                <w:w w:val="91"/>
              </w:rPr>
              <w:t>dfrancisco@micron.com</w:t>
            </w:r>
          </w:p>
        </w:tc>
      </w:tr>
      <w:tr>
        <w:trPr>
          <w:trHeight w:val="230"/>
        </w:trPr>
        <w:tc>
          <w:tcPr>
            <w:tcW w:w="1060" w:type="dxa"/>
            <w:vAlign w:val="bottom"/>
          </w:tcPr>
          <w:p>
            <w:pPr>
              <w:spacing w:after="0"/>
              <w:rPr>
                <w:sz w:val="20"/>
                <w:szCs w:val="20"/>
                <w:color w:val="auto"/>
              </w:rPr>
            </w:pPr>
          </w:p>
        </w:tc>
        <w:tc>
          <w:tcPr>
            <w:tcW w:w="2640" w:type="dxa"/>
            <w:vAlign w:val="bottom"/>
          </w:tcPr>
          <w:p>
            <w:pPr>
              <w:ind w:left="360"/>
              <w:spacing w:after="0"/>
              <w:rPr>
                <w:sz w:val="20"/>
                <w:szCs w:val="20"/>
                <w:color w:val="auto"/>
              </w:rPr>
            </w:pPr>
            <w:r>
              <w:rPr>
                <w:rFonts w:ascii="Arial" w:cs="Arial" w:eastAsia="Arial" w:hAnsi="Arial"/>
                <w:sz w:val="18"/>
                <w:szCs w:val="18"/>
                <w:color w:val="auto"/>
              </w:rPr>
              <w:t>(208) 368-4400</w:t>
            </w:r>
          </w:p>
        </w:tc>
        <w:tc>
          <w:tcPr>
            <w:tcW w:w="2460" w:type="dxa"/>
            <w:vAlign w:val="bottom"/>
          </w:tcPr>
          <w:p>
            <w:pPr>
              <w:ind w:left="680"/>
              <w:spacing w:after="0"/>
              <w:rPr>
                <w:sz w:val="20"/>
                <w:szCs w:val="20"/>
                <w:color w:val="auto"/>
              </w:rPr>
            </w:pPr>
            <w:r>
              <w:rPr>
                <w:rFonts w:ascii="Arial" w:cs="Arial" w:eastAsia="Arial" w:hAnsi="Arial"/>
                <w:sz w:val="18"/>
                <w:szCs w:val="18"/>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MICRON TECHNOLOGY, INC., REPORTS RESULTS FOR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SECOND QUARTER OF FISCAL 2008</w:t>
      </w:r>
    </w:p>
    <w:p>
      <w:pPr>
        <w:spacing w:after="0" w:line="234"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BOISE, Idaho</w:t>
      </w:r>
      <w:r>
        <w:rPr>
          <w:rFonts w:ascii="Arial" w:cs="Arial" w:eastAsia="Arial" w:hAnsi="Arial"/>
          <w:sz w:val="16"/>
          <w:szCs w:val="16"/>
          <w:color w:val="auto"/>
        </w:rPr>
        <w:t>, April 2, 2008 – Micron Technology, Inc., (NYSE: MU) today announced results of operations for the company’s second quarter and first six</w:t>
      </w:r>
      <w:r>
        <w:rPr>
          <w:rFonts w:ascii="Arial" w:cs="Arial" w:eastAsia="Arial" w:hAnsi="Arial"/>
          <w:sz w:val="16"/>
          <w:szCs w:val="16"/>
          <w:b w:val="1"/>
          <w:bCs w:val="1"/>
          <w:color w:val="auto"/>
        </w:rPr>
        <w:t xml:space="preserve"> </w:t>
      </w:r>
      <w:r>
        <w:rPr>
          <w:rFonts w:ascii="Arial" w:cs="Arial" w:eastAsia="Arial" w:hAnsi="Arial"/>
          <w:sz w:val="16"/>
          <w:szCs w:val="16"/>
          <w:color w:val="auto"/>
        </w:rPr>
        <w:t>months of fiscal 2008, which ended February 28, 2008. Despite continued significant declines in average sales prices for the company’s primary products, the company reported net sales of $1.4 billion for the second quarter of fiscal 2008 compared to net sales of $1.5 billion for the previous quarter. The company also generated cash flow from operations during the second quarter of fiscal 2008 of $282 million and ended the quarter with cash and investments of $1.9 billion. As a result of the company’s current market capitalization being below book value, the company was required under FASB Statement No. 142, “Goodwill and Other Intangible Assets,” to record a non-cash charge of $463 million in the second quarter of fiscal 2008 to write off all the carrying amount of goodwill previously recognized in the company’s memory segment. The goodwill write-off does not affect the company’s day-to-day business operations, cash balance or competitive position. Reflecting the goodwill charge, the company reported a net loss for the second quarter of $1.01 per diluted share. On a non-GAAP basis, without the effect of the charge, the company’s net loss for the second quarter would have been $0.41 per diluted share or $314 million. These results compare to a net loss of $262 million, or $0.34 per diluted share, for the first quarter of fiscal 2008.</w:t>
      </w:r>
    </w:p>
    <w:p>
      <w:pPr>
        <w:spacing w:after="0" w:line="19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company’s net sales declined 11 percent in the second quarter of fiscal 2008 compared to the immediately preceding quarter primarily due to lower selling prices partially offset by increased production of memory products. Average selling prices for the company’s DRAM and NAND Flash memory products decreased 15 percent and 30 percent, respectively, in the second quarter compared to the first quarter. Comparing the second quarter to the same quarter of the previous fiscal year, average selling prices for the company’s DRAM and NAND Flash memory products decreased approximately 60 percent and 70 percent, respectively.</w:t>
      </w:r>
    </w:p>
    <w:p>
      <w:pPr>
        <w:spacing w:after="0" w:line="215"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The company achieved second quarter reductions in cost of goods sold per megabit of approximately 15 percent and 25 percent for DRAM and NAND Flash memory products, respectively, compared to the first quarter of fiscal 2008. These reductions resulted from continuing advancements in our industry-leading process technology and increased output from our 300mm operations.</w:t>
      </w:r>
    </w:p>
    <w:p>
      <w:pPr>
        <w:spacing w:after="0" w:line="208"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company had capital expenditures of $693 million during the second quarter bringing the expenditures for the first six months to $1.6 billion. The company estimates capital expenditures aggregating between $2.5 billion and $3 billion for the 2008 fiscal year. In the third quarter of fiscal 2008, TECH Semiconductor, a consolidated joint venture, entered into a $600 million credit facility to refinance its existing debt of $240 million and to finance future capital expenditures.</w:t>
      </w:r>
    </w:p>
    <w:p>
      <w:pPr>
        <w:spacing w:after="0" w:line="214"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The company will host a conference call today at 2:30 p.m. MDT to discuss its financial results. The call, audio and slides will be available online at www.micron.com. A webcast replay will be available on the company’s Web site until April 2, 2009. A taped audio replay of the conference call will also be available at (706) 645-9291(conference number: 39996231) beginning at 5:30 p.m. MDT today and continuing until 5:30 p.m. MDT on April 9, 2008.</w:t>
      </w:r>
    </w:p>
    <w:p>
      <w:pPr>
        <w:spacing w:after="0" w:line="17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 xml:space="preserve">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visit </w:t>
      </w:r>
      <w:r>
        <w:rPr>
          <w:rFonts w:ascii="Arial" w:cs="Arial" w:eastAsia="Arial" w:hAnsi="Arial"/>
          <w:sz w:val="18"/>
          <w:szCs w:val="18"/>
          <w:u w:val="single" w:color="auto"/>
          <w:color w:val="auto"/>
        </w:rPr>
        <w:t>www.micron.com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07" w:right="2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SUMMARY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b w:val="1"/>
                <w:bCs w:val="1"/>
                <w:color w:val="auto"/>
              </w:rPr>
              <w:t>2nd Qtr.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1st Qtr.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2nd Qtr.</w:t>
            </w:r>
          </w:p>
        </w:tc>
        <w:tc>
          <w:tcPr>
            <w:tcW w:w="180" w:type="dxa"/>
            <w:vAlign w:val="bottom"/>
          </w:tcPr>
          <w:p>
            <w:pPr>
              <w:spacing w:after="0"/>
              <w:rPr>
                <w:sz w:val="18"/>
                <w:szCs w:val="18"/>
                <w:color w:val="auto"/>
              </w:rPr>
            </w:pPr>
          </w:p>
        </w:tc>
        <w:tc>
          <w:tcPr>
            <w:tcW w:w="238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b w:val="1"/>
                <w:bCs w:val="1"/>
                <w:color w:val="auto"/>
              </w:rPr>
              <w:t>Feb. 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Nov. 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Mar. 1,</w:t>
            </w: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Feb. 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Mar. 1,</w:t>
            </w:r>
          </w:p>
        </w:tc>
        <w:tc>
          <w:tcPr>
            <w:tcW w:w="0" w:type="dxa"/>
            <w:vAlign w:val="bottom"/>
          </w:tcPr>
          <w:p>
            <w:pPr>
              <w:spacing w:after="0"/>
              <w:rPr>
                <w:sz w:val="1"/>
                <w:szCs w:val="1"/>
                <w:color w:val="auto"/>
              </w:rPr>
            </w:pPr>
          </w:p>
        </w:tc>
      </w:tr>
      <w:tr>
        <w:trPr>
          <w:trHeight w:val="241"/>
        </w:trPr>
        <w:tc>
          <w:tcPr>
            <w:tcW w:w="4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100" w:type="dxa"/>
            <w:vAlign w:val="bottom"/>
          </w:tcPr>
          <w:p>
            <w:pPr>
              <w:spacing w:after="0"/>
              <w:rPr>
                <w:sz w:val="20"/>
                <w:szCs w:val="20"/>
                <w:color w:val="auto"/>
              </w:rPr>
            </w:pPr>
            <w:r>
              <w:rPr>
                <w:rFonts w:ascii="Arial" w:cs="Arial" w:eastAsia="Arial" w:hAnsi="Arial"/>
                <w:sz w:val="18"/>
                <w:szCs w:val="18"/>
                <w:color w:val="auto"/>
              </w:rPr>
              <w:t>Net sales</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1,359</w:t>
            </w:r>
          </w:p>
        </w:tc>
        <w:tc>
          <w:tcPr>
            <w:tcW w:w="140" w:type="dxa"/>
            <w:vAlign w:val="bottom"/>
          </w:tcPr>
          <w:p>
            <w:pPr>
              <w:spacing w:after="0"/>
              <w:rPr>
                <w:sz w:val="24"/>
                <w:szCs w:val="24"/>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1,535</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1,427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2,894</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Cost of goods sold (1)</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1,402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1,070</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2,932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30"/>
        </w:trPr>
        <w:tc>
          <w:tcPr>
            <w:tcW w:w="410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6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41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Goodwill impairment (2)</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Restructure (3)</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Other operating (income) expense (4)</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Operating income (loss)</w:t>
            </w:r>
          </w:p>
        </w:tc>
        <w:tc>
          <w:tcPr>
            <w:tcW w:w="6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16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410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Other non-operating income (expense)</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Income tax benefit (provision) (5)</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Noncontrolling interests in net income</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Net income (loss)</w:t>
            </w:r>
          </w:p>
        </w:tc>
        <w:tc>
          <w:tcPr>
            <w:tcW w:w="6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00" w:type="dxa"/>
            <w:vAlign w:val="bottom"/>
            <w:vMerge w:val="restart"/>
          </w:tcPr>
          <w:p>
            <w:pPr>
              <w:spacing w:after="0"/>
              <w:rPr>
                <w:sz w:val="20"/>
                <w:szCs w:val="20"/>
                <w:color w:val="auto"/>
              </w:rPr>
            </w:pPr>
            <w:r>
              <w:rPr>
                <w:rFonts w:ascii="Arial" w:cs="Arial" w:eastAsia="Arial" w:hAnsi="Arial"/>
                <w:sz w:val="18"/>
                <w:szCs w:val="18"/>
                <w:color w:val="auto"/>
              </w:rPr>
              <w:t>Earnings (loss) per share:</w:t>
            </w: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1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Basic</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(1.01)</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(0.34)</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4100" w:type="dxa"/>
            <w:vAlign w:val="bottom"/>
          </w:tcPr>
          <w:p>
            <w:pPr>
              <w:ind w:left="180"/>
              <w:spacing w:after="0"/>
              <w:rPr>
                <w:sz w:val="20"/>
                <w:szCs w:val="20"/>
                <w:color w:val="auto"/>
              </w:rPr>
            </w:pPr>
            <w:r>
              <w:rPr>
                <w:rFonts w:ascii="Arial" w:cs="Arial" w:eastAsia="Arial" w:hAnsi="Arial"/>
                <w:sz w:val="18"/>
                <w:szCs w:val="18"/>
                <w:color w:val="auto"/>
              </w:rPr>
              <w:t>Diluted</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(0.34)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(0.07)</w:t>
            </w: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418"/>
        </w:trPr>
        <w:tc>
          <w:tcPr>
            <w:tcW w:w="4100" w:type="dxa"/>
            <w:vAlign w:val="bottom"/>
          </w:tcPr>
          <w:p>
            <w:pPr>
              <w:spacing w:after="0"/>
              <w:rPr>
                <w:sz w:val="20"/>
                <w:szCs w:val="20"/>
                <w:color w:val="auto"/>
              </w:rPr>
            </w:pPr>
            <w:r>
              <w:rPr>
                <w:rFonts w:ascii="Arial" w:cs="Arial" w:eastAsia="Arial" w:hAnsi="Arial"/>
                <w:sz w:val="18"/>
                <w:szCs w:val="18"/>
                <w:color w:val="auto"/>
              </w:rPr>
              <w:t>Number of shares used in per share calculations:</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Basic</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772.4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768.7</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767.9</w:t>
            </w:r>
          </w:p>
        </w:tc>
        <w:tc>
          <w:tcPr>
            <w:tcW w:w="0" w:type="dxa"/>
            <w:vAlign w:val="bottom"/>
          </w:tcPr>
          <w:p>
            <w:pPr>
              <w:spacing w:after="0"/>
              <w:rPr>
                <w:sz w:val="1"/>
                <w:szCs w:val="1"/>
                <w:color w:val="auto"/>
              </w:rPr>
            </w:pPr>
          </w:p>
        </w:tc>
      </w:tr>
      <w:tr>
        <w:trPr>
          <w:trHeight w:val="230"/>
        </w:trPr>
        <w:tc>
          <w:tcPr>
            <w:tcW w:w="4100" w:type="dxa"/>
            <w:vAlign w:val="bottom"/>
          </w:tcPr>
          <w:p>
            <w:pPr>
              <w:ind w:left="180"/>
              <w:spacing w:after="0"/>
              <w:rPr>
                <w:sz w:val="20"/>
                <w:szCs w:val="20"/>
                <w:color w:val="auto"/>
              </w:rPr>
            </w:pPr>
            <w:r>
              <w:rPr>
                <w:rFonts w:ascii="Arial" w:cs="Arial" w:eastAsia="Arial" w:hAnsi="Arial"/>
                <w:sz w:val="18"/>
                <w:szCs w:val="18"/>
                <w:color w:val="auto"/>
              </w:rPr>
              <w:t>Diluted</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772.4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771.9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768.7</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772.2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776.3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to Non-GAAP Financial Measures (6)</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On a GAAP basis</w:t>
            </w:r>
          </w:p>
        </w:tc>
        <w:tc>
          <w:tcPr>
            <w:tcW w:w="440" w:type="dxa"/>
            <w:vAlign w:val="bottom"/>
            <w:gridSpan w:val="2"/>
          </w:tcPr>
          <w:p>
            <w:pPr>
              <w:jc w:val="right"/>
              <w:ind w:right="265"/>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(777)</w:t>
            </w:r>
          </w:p>
        </w:tc>
        <w:tc>
          <w:tcPr>
            <w:tcW w:w="52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(262)</w:t>
            </w: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(1,039)</w:t>
            </w:r>
          </w:p>
        </w:tc>
        <w:tc>
          <w:tcPr>
            <w:tcW w:w="5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Goodwill impairment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On a non-GAAP basis</w:t>
            </w:r>
          </w:p>
        </w:tc>
        <w:tc>
          <w:tcPr>
            <w:tcW w:w="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00" w:type="dxa"/>
            <w:vAlign w:val="bottom"/>
            <w:vMerge w:val="restart"/>
          </w:tcPr>
          <w:p>
            <w:pPr>
              <w:spacing w:after="0"/>
              <w:rPr>
                <w:sz w:val="20"/>
                <w:szCs w:val="20"/>
                <w:color w:val="auto"/>
              </w:rPr>
            </w:pPr>
            <w:r>
              <w:rPr>
                <w:rFonts w:ascii="Arial" w:cs="Arial" w:eastAsia="Arial" w:hAnsi="Arial"/>
                <w:sz w:val="18"/>
                <w:szCs w:val="18"/>
                <w:color w:val="auto"/>
              </w:rPr>
              <w:t>Diluted earnings (loss) per share:</w:t>
            </w: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7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On a GAAP basis</w:t>
            </w:r>
          </w:p>
        </w:tc>
        <w:tc>
          <w:tcPr>
            <w:tcW w:w="440" w:type="dxa"/>
            <w:vAlign w:val="bottom"/>
            <w:gridSpan w:val="2"/>
          </w:tcPr>
          <w:p>
            <w:pPr>
              <w:jc w:val="right"/>
              <w:ind w:right="265"/>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52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(0.34)</w:t>
            </w: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(0.07)</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5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Goodwill impairment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0.60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0.60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180"/>
              <w:spacing w:after="0"/>
              <w:rPr>
                <w:sz w:val="20"/>
                <w:szCs w:val="20"/>
                <w:color w:val="auto"/>
              </w:rPr>
            </w:pPr>
            <w:r>
              <w:rPr>
                <w:rFonts w:ascii="Arial" w:cs="Arial" w:eastAsia="Arial" w:hAnsi="Arial"/>
                <w:sz w:val="18"/>
                <w:szCs w:val="18"/>
                <w:color w:val="auto"/>
              </w:rPr>
              <w:t>On a non-GAAP basis</w:t>
            </w:r>
          </w:p>
        </w:tc>
        <w:tc>
          <w:tcPr>
            <w:tcW w:w="20" w:type="dxa"/>
            <w:vAlign w:val="bottom"/>
            <w:vMerge w:val="restart"/>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vMerge w:val="restart"/>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(0.41)</w:t>
            </w:r>
          </w:p>
        </w:tc>
        <w:tc>
          <w:tcPr>
            <w:tcW w:w="16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(0.34)</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(0.07)</w:t>
            </w:r>
          </w:p>
        </w:tc>
        <w:tc>
          <w:tcPr>
            <w:tcW w:w="200" w:type="dxa"/>
            <w:vAlign w:val="bottom"/>
            <w:vMerge w:val="continue"/>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(0.75)</w:t>
            </w:r>
          </w:p>
        </w:tc>
        <w:tc>
          <w:tcPr>
            <w:tcW w:w="80" w:type="dxa"/>
            <w:vAlign w:val="bottom"/>
            <w:vMerge w:val="continue"/>
          </w:tcPr>
          <w:p>
            <w:pPr>
              <w:spacing w:after="0"/>
              <w:rPr>
                <w:sz w:val="18"/>
                <w:szCs w:val="18"/>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2"/>
        </w:trPr>
        <w:tc>
          <w:tcPr>
            <w:tcW w:w="47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CONSOLIDATED FINANCIAL SUMMARY, Continued</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1"/>
        </w:trPr>
        <w:tc>
          <w:tcPr>
            <w:tcW w:w="7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As of</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Feb. 28,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Nov. 29,</w:t>
            </w: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Aug. 30,</w:t>
            </w:r>
          </w:p>
        </w:tc>
      </w:tr>
      <w:tr>
        <w:trPr>
          <w:trHeight w:val="241"/>
        </w:trPr>
        <w:tc>
          <w:tcPr>
            <w:tcW w:w="7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2007</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2007</w:t>
            </w:r>
          </w:p>
        </w:tc>
        <w:tc>
          <w:tcPr>
            <w:tcW w:w="60" w:type="dxa"/>
            <w:vAlign w:val="bottom"/>
          </w:tcPr>
          <w:p>
            <w:pPr>
              <w:spacing w:after="0"/>
              <w:rPr>
                <w:sz w:val="20"/>
                <w:szCs w:val="20"/>
                <w:color w:val="auto"/>
              </w:rPr>
            </w:pPr>
          </w:p>
        </w:tc>
      </w:tr>
      <w:tr>
        <w:trPr>
          <w:trHeight w:val="202"/>
        </w:trPr>
        <w:tc>
          <w:tcPr>
            <w:tcW w:w="7440" w:type="dxa"/>
            <w:vAlign w:val="bottom"/>
          </w:tcPr>
          <w:p>
            <w:pPr>
              <w:spacing w:after="0" w:line="201" w:lineRule="exact"/>
              <w:rPr>
                <w:sz w:val="20"/>
                <w:szCs w:val="20"/>
                <w:color w:val="auto"/>
              </w:rPr>
            </w:pPr>
            <w:r>
              <w:rPr>
                <w:rFonts w:ascii="Arial" w:cs="Arial" w:eastAsia="Arial" w:hAnsi="Arial"/>
                <w:sz w:val="18"/>
                <w:szCs w:val="18"/>
                <w:color w:val="auto"/>
              </w:rPr>
              <w:t>Cash and short-term investments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1,853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2,031</w:t>
            </w:r>
          </w:p>
        </w:tc>
        <w:tc>
          <w:tcPr>
            <w:tcW w:w="2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2,616</w:t>
            </w:r>
          </w:p>
        </w:tc>
        <w:tc>
          <w:tcPr>
            <w:tcW w:w="60" w:type="dxa"/>
            <w:vAlign w:val="bottom"/>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1,067</w:t>
            </w: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994</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Inventories (1)</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1,449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1,443</w:t>
            </w: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1,532</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4,652</w:t>
            </w: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5,234</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8,634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8,576</w:t>
            </w: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8,279</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Goodwill (2)</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515</w:t>
            </w: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515</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13,785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14,498</w:t>
            </w:r>
          </w:p>
        </w:tc>
        <w:tc>
          <w:tcPr>
            <w:tcW w:w="16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14,818</w:t>
            </w:r>
          </w:p>
        </w:tc>
      </w:tr>
      <w:tr>
        <w:trPr>
          <w:trHeight w:val="418"/>
        </w:trPr>
        <w:tc>
          <w:tcPr>
            <w:tcW w:w="744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1,299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1,317</w:t>
            </w:r>
          </w:p>
        </w:tc>
        <w:tc>
          <w:tcPr>
            <w:tcW w:w="16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1,385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423</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1,852</w:t>
            </w: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2,026</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Long-term debt (7)</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2,162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1,936</w:t>
            </w: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1,987</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Noncontrolling interests in subsidiaries</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2,808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2,760</w:t>
            </w: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2,607</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6,738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7,501</w:t>
            </w:r>
          </w:p>
        </w:tc>
        <w:tc>
          <w:tcPr>
            <w:tcW w:w="16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7,752</w:t>
            </w:r>
          </w:p>
        </w:tc>
      </w:tr>
      <w:tr>
        <w:trPr>
          <w:trHeight w:val="927"/>
        </w:trPr>
        <w:tc>
          <w:tcPr>
            <w:tcW w:w="7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Six Months Ended</w:t>
            </w:r>
          </w:p>
        </w:tc>
      </w:t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Feb. 28,</w:t>
            </w:r>
          </w:p>
        </w:tc>
        <w:tc>
          <w:tcPr>
            <w:tcW w:w="16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Mar. 1,</w:t>
            </w:r>
          </w:p>
        </w:tc>
      </w:tr>
      <w:tr>
        <w:trPr>
          <w:trHeight w:val="241"/>
        </w:trPr>
        <w:tc>
          <w:tcPr>
            <w:tcW w:w="7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2008</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2007</w:t>
            </w:r>
          </w:p>
        </w:tc>
        <w:tc>
          <w:tcPr>
            <w:tcW w:w="60" w:type="dxa"/>
            <w:vAlign w:val="bottom"/>
          </w:tcPr>
          <w:p>
            <w:pPr>
              <w:spacing w:after="0"/>
              <w:rPr>
                <w:sz w:val="20"/>
                <w:szCs w:val="20"/>
                <w:color w:val="auto"/>
              </w:rPr>
            </w:pPr>
          </w:p>
        </w:tc>
      </w:tr>
      <w:tr>
        <w:trPr>
          <w:trHeight w:val="202"/>
        </w:trPr>
        <w:tc>
          <w:tcPr>
            <w:tcW w:w="7440" w:type="dxa"/>
            <w:vAlign w:val="bottom"/>
          </w:tcPr>
          <w:p>
            <w:pPr>
              <w:spacing w:after="0" w:line="201" w:lineRule="exact"/>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558</w:t>
            </w:r>
          </w:p>
        </w:tc>
        <w:tc>
          <w:tcPr>
            <w:tcW w:w="2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716</w:t>
            </w:r>
          </w:p>
        </w:tc>
        <w:tc>
          <w:tcPr>
            <w:tcW w:w="60" w:type="dxa"/>
            <w:vAlign w:val="bottom"/>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(925)</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(1,195)</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Net cash provided by (used for) financing activities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614</w:t>
            </w:r>
          </w:p>
        </w:tc>
      </w:tr>
      <w:tr>
        <w:trPr>
          <w:trHeight w:val="418"/>
        </w:trPr>
        <w:tc>
          <w:tcPr>
            <w:tcW w:w="74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1,015</w:t>
            </w:r>
          </w:p>
        </w:tc>
        <w:tc>
          <w:tcPr>
            <w:tcW w:w="16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Expenditures for property, plant and equipment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(1,306)</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(2,180)</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Cash received from noncontrolling interests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647</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Payments on equipment purchase contracts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(287)</w:t>
            </w: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Noncash equipment acquisitions on contracts payable and capital leases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297</w:t>
            </w:r>
          </w:p>
        </w:tc>
        <w:tc>
          <w:tcPr>
            <w:tcW w:w="16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667</w:t>
            </w:r>
          </w:p>
        </w:tc>
      </w:tr>
    </w:tbl>
    <w:p>
      <w:pPr>
        <w:spacing w:after="0" w:line="229" w:lineRule="exact"/>
        <w:rPr>
          <w:sz w:val="20"/>
          <w:szCs w:val="20"/>
          <w:color w:val="auto"/>
        </w:rPr>
      </w:pPr>
    </w:p>
    <w:p>
      <w:pPr>
        <w:ind w:left="340" w:right="120" w:hanging="308"/>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for the second and first quarters of fiscal 2008 include charges of $15 million and $62 million, respectively, to write down the carrying value of work in process and finished goods inventories of memory products to their estimated fair market values.</w:t>
      </w:r>
    </w:p>
    <w:p>
      <w:pPr>
        <w:spacing w:after="0" w:line="197" w:lineRule="exact"/>
        <w:rPr>
          <w:rFonts w:ascii="Arial" w:cs="Arial" w:eastAsia="Arial" w:hAnsi="Arial"/>
          <w:sz w:val="18"/>
          <w:szCs w:val="18"/>
          <w:color w:val="auto"/>
        </w:rPr>
      </w:pPr>
    </w:p>
    <w:p>
      <w:pPr>
        <w:ind w:left="340" w:hanging="308"/>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the second quarter of fiscal 2008, in accordance with FASB Statement No. 142, “Goodwill and Other Intangible Assets,” the company performed a test to determine whether or not its goodwill was impaired. Based on the results of the test, the company wrote off all of the $463 million of goodwill associated with its Memory segment as of February 28, 2008. Final determination of the fair value of goodwill is expected to be completed in the third quarter of fiscal 2008 and any adjustments to reach the final amount will be included in that period.</w:t>
      </w:r>
    </w:p>
    <w:p>
      <w:pPr>
        <w:spacing w:after="0" w:line="213" w:lineRule="exact"/>
        <w:rPr>
          <w:rFonts w:ascii="Arial" w:cs="Arial" w:eastAsia="Arial" w:hAnsi="Arial"/>
          <w:sz w:val="18"/>
          <w:szCs w:val="18"/>
          <w:color w:val="auto"/>
        </w:rPr>
      </w:pPr>
    </w:p>
    <w:p>
      <w:pPr>
        <w:ind w:left="340" w:hanging="308"/>
        <w:spacing w:after="0" w:line="25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operating (income) expense for the second quarter of fiscal 2008 includes gains of $47 million on disposals of semiconductor equipment. Other operating (income) expense for the first quarter of fiscal 2008 includes $38 million in receipts from the U.S. government in connection with anti-dumping tariffs, losses of $27 million from changes in currency exchange rates and gains of $10 million on disposals of semiconductor equipment. Other operating expense for the first six months of fiscal 2007 includes a gain of $30 million from the sale of certain intellectual property to Toshiba Corporation and $10 million from gains on disposals of semiconductor equipment.</w:t>
      </w:r>
    </w:p>
    <w:p>
      <w:pPr>
        <w:spacing w:after="0" w:line="215" w:lineRule="exact"/>
        <w:rPr>
          <w:rFonts w:ascii="Arial" w:cs="Arial" w:eastAsia="Arial" w:hAnsi="Arial"/>
          <w:sz w:val="18"/>
          <w:szCs w:val="18"/>
          <w:color w:val="auto"/>
        </w:rPr>
      </w:pPr>
    </w:p>
    <w:p>
      <w:pPr>
        <w:ind w:left="340" w:right="120" w:hanging="308"/>
        <w:spacing w:after="0" w:line="276"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the fourth quarter of fiscal 2007, the company announced it was pursuing a number of initiatives to drive greater cost efficiencies and revenue growth across its operations. During the second and first quarters of fiscal 2008 and the fourth quarter of fiscal 2007, the company recorded restructure charges of $8 million, $13 million and $19 million, respectively, consisting primarily of employee severance and related costs resulting from a reduction in the company’s workforce. The first quarter charge also included a write-down of the carrying value of certain facilities to their estimated fair values. At the end of the second quarter of fiscal 2008, liabilities for unpaid portions of the restructure charge were $6 million.</w:t>
      </w:r>
    </w:p>
    <w:p>
      <w:pPr>
        <w:spacing w:after="0" w:line="199" w:lineRule="exact"/>
        <w:rPr>
          <w:rFonts w:ascii="Arial" w:cs="Arial" w:eastAsia="Arial" w:hAnsi="Arial"/>
          <w:sz w:val="17"/>
          <w:szCs w:val="17"/>
          <w:color w:val="auto"/>
        </w:rPr>
      </w:pPr>
    </w:p>
    <w:p>
      <w:pPr>
        <w:ind w:left="340" w:right="40" w:hanging="308"/>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Income taxes for fiscal 2008 and 2007 primarily reflect taxes on the company’s non-U.S. operations and U.S. alternative minimum tax. The company has a valuation allowance for its net deferred tax asset associated with its U.S. operations. Tax attributable to U.S. operations in fiscal 2008 and 2007 were substantially offset by changes in the valuation allowance.</w:t>
      </w:r>
    </w:p>
    <w:p>
      <w:pPr>
        <w:spacing w:after="0" w:line="208" w:lineRule="exact"/>
        <w:rPr>
          <w:rFonts w:ascii="Arial" w:cs="Arial" w:eastAsia="Arial" w:hAnsi="Arial"/>
          <w:sz w:val="18"/>
          <w:szCs w:val="18"/>
          <w:color w:val="auto"/>
        </w:rPr>
      </w:pPr>
    </w:p>
    <w:p>
      <w:pPr>
        <w:ind w:left="340" w:right="40"/>
        <w:spacing w:after="0" w:line="257" w:lineRule="auto"/>
        <w:rPr>
          <w:rFonts w:ascii="Arial" w:cs="Arial" w:eastAsia="Arial" w:hAnsi="Arial"/>
          <w:sz w:val="18"/>
          <w:szCs w:val="18"/>
          <w:color w:val="auto"/>
        </w:rPr>
      </w:pPr>
      <w:r>
        <w:rPr>
          <w:rFonts w:ascii="Arial" w:cs="Arial" w:eastAsia="Arial" w:hAnsi="Arial"/>
          <w:sz w:val="18"/>
          <w:szCs w:val="18"/>
          <w:color w:val="auto"/>
        </w:rPr>
        <w:t>Effective at the beginning of the first quarter of fiscal 2008, the company adopted the provisions of FIN 48. In connection with the adoption of FIN 48, the company increased its liability and decreased retained earnings by $1 million for net unrecognized tax benefits at August 31, 2007. Due to certain foreign statutes of limitations which expired on December 31, 2007, the company recognized approximately $15 million of previously unrecognized tax benefits in the second quarter of fiscal 2008. The company does not expect to recognize any additional previously unrecognized tax benefits during fiscal 2008.</w:t>
      </w:r>
    </w:p>
    <w:p>
      <w:pPr>
        <w:spacing w:after="0" w:line="215" w:lineRule="exact"/>
        <w:rPr>
          <w:rFonts w:ascii="Arial" w:cs="Arial" w:eastAsia="Arial" w:hAnsi="Arial"/>
          <w:sz w:val="18"/>
          <w:szCs w:val="18"/>
          <w:color w:val="auto"/>
        </w:rPr>
      </w:pPr>
    </w:p>
    <w:p>
      <w:pPr>
        <w:ind w:left="340" w:right="60" w:hanging="308"/>
        <w:spacing w:after="0" w:line="273"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supplement our consolidated financial statements presented on a GAAP basis, the company uses non-GAAP measures of net income and earnings per share, which are adjusted to exclude goodwill impairment charges. Management does not consider these charges in evaluating the core operational activities of the company. In addition, management believes these non-GAAP measures are useful to investors in enabling them to better assess changes in the company’s operating results across different time periods. These measures should be considered in addition to results prepared in accordance with GAAP, but should not be considered a substitute for or superior to GAAP results. The non-GAAP financial measures presented by the company may be different than the non-GAAP financial measures presented by other companies.</w:t>
      </w:r>
    </w:p>
    <w:p>
      <w:pPr>
        <w:sectPr>
          <w:pgSz w:w="11900" w:h="16838" w:orient="portrait"/>
          <w:cols w:equalWidth="0" w:num="1">
            <w:col w:w="11420"/>
          </w:cols>
          <w:pgMar w:left="240" w:top="513" w:right="239" w:bottom="0" w:gutter="0" w:footer="0" w:header="0"/>
        </w:sectPr>
      </w:pPr>
    </w:p>
    <w:bookmarkStart w:id="8" w:name="page9"/>
    <w:bookmarkEnd w:id="8"/>
    <w:p>
      <w:pPr>
        <w:ind w:left="308" w:hanging="308"/>
        <w:spacing w:after="0" w:line="297" w:lineRule="auto"/>
        <w:tabs>
          <w:tab w:leader="none" w:pos="308"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the second quarter of fiscal 2008, the company’s TECH subsidiary borrowed $240 million against a credit facility at Singapore Interbank Offered Rate ("SIBOR") plus 2.5%, subject to customary covenants. On March 31, 2008, TECH entered into a new credit facility that enables it to borrow up to $600 million at SIBOR plus 2.5%, subject to customary covenants. Payments under the new facility are due in approximately equal installments over 13 quarters commencing in May 2009. Commencing in May 2009, the amount available under the credit facility declines quarterly through May 2012. The company has guaranteed approximately 73% of the outstanding facility, which will increase to 100% upon the occurrence of certain conditions.</w:t>
      </w:r>
    </w:p>
    <w:sectPr>
      <w:pgSz w:w="11900" w:h="16838" w:orient="portrait"/>
      <w:cols w:equalWidth="0" w:num="1">
        <w:col w:w="11348"/>
      </w:cols>
      <w:pgMar w:left="272"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7"/>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2019-12-13T12:59:57Z</dcterms:created>
  <dcterms:modified xsi:type="dcterms:W3CDTF">2019-12-13T12:59:57Z</dcterms:modified>
</cp:coreProperties>
</file>