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290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2908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Thorsen Steven L.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04/23/2012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VP of WW Sales &amp; Marketing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0000FF"/>
              </w:rPr>
              <w:t>224,705</w:t>
            </w:r>
          </w:p>
        </w:tc>
        <w:tc>
          <w:tcPr>
            <w:tcW w:w="1180" w:type="dxa"/>
            <w:vAlign w:val="bottom"/>
          </w:tcPr>
          <w:p>
            <w:pPr>
              <w:ind w:left="90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4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Amount or</w:t>
            </w:r>
          </w:p>
        </w:tc>
        <w:tc>
          <w:tcPr>
            <w:tcW w:w="8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700" w:type="dxa"/>
            <w:vAlign w:val="bottom"/>
            <w:vMerge w:val="continue"/>
          </w:tcPr>
          <w:p>
            <w:pPr>
              <w:spacing w:after="0"/>
              <w:rPr>
                <w:sz w:val="15"/>
                <w:szCs w:val="15"/>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4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10/16/2003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10/16/2012</w:t>
            </w:r>
          </w:p>
        </w:tc>
        <w:tc>
          <w:tcPr>
            <w:tcW w:w="17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7"/>
              </w:rPr>
              <w:t>Common Stock</w:t>
            </w:r>
          </w:p>
        </w:tc>
        <w:tc>
          <w:tcPr>
            <w:tcW w:w="1180" w:type="dxa"/>
            <w:vAlign w:val="bottom"/>
            <w:tcBorders>
              <w:bottom w:val="single" w:sz="8" w:color="2C2C2C"/>
            </w:tcBorders>
          </w:tcPr>
          <w:p>
            <w:pPr>
              <w:jc w:val="center"/>
              <w:ind w:left="278"/>
              <w:spacing w:after="0"/>
              <w:rPr>
                <w:sz w:val="20"/>
                <w:szCs w:val="20"/>
                <w:color w:val="auto"/>
              </w:rPr>
            </w:pPr>
            <w:r>
              <w:rPr>
                <w:rFonts w:ascii="Arial" w:cs="Arial" w:eastAsia="Arial" w:hAnsi="Arial"/>
                <w:sz w:val="18"/>
                <w:szCs w:val="18"/>
                <w:color w:val="0000FF"/>
                <w:w w:val="84"/>
              </w:rPr>
              <w:t>35,000</w:t>
            </w:r>
            <w:r>
              <w:rPr>
                <w:rFonts w:ascii="Arial" w:cs="Arial" w:eastAsia="Arial" w:hAnsi="Arial"/>
                <w:sz w:val="22"/>
                <w:szCs w:val="22"/>
                <w:color w:val="008000"/>
                <w:w w:val="84"/>
                <w:vertAlign w:val="superscript"/>
              </w:rPr>
              <w:t>(1)</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4"/>
              </w:rPr>
              <w:t>12.44</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480" w:type="dxa"/>
            <w:vAlign w:val="bottom"/>
            <w:tcBorders>
              <w:bottom w:val="single" w:sz="8" w:color="2C2C2C"/>
            </w:tcBorders>
            <w:gridSpan w:val="2"/>
          </w:tcPr>
          <w:p>
            <w:pPr>
              <w:jc w:val="right"/>
              <w:ind w:right="89"/>
              <w:spacing w:after="0"/>
              <w:rPr>
                <w:sz w:val="20"/>
                <w:szCs w:val="20"/>
                <w:color w:val="auto"/>
              </w:rPr>
            </w:pPr>
            <w:r>
              <w:rPr>
                <w:rFonts w:ascii="Arial" w:cs="Arial" w:eastAsia="Arial" w:hAnsi="Arial"/>
                <w:sz w:val="14"/>
                <w:szCs w:val="14"/>
                <w:color w:val="0000FF"/>
              </w:rPr>
              <w:t>11/19/2003</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11/19/2013</w:t>
            </w:r>
          </w:p>
        </w:tc>
        <w:tc>
          <w:tcPr>
            <w:tcW w:w="17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7"/>
              </w:rPr>
              <w:t>Common Stock</w:t>
            </w:r>
          </w:p>
        </w:tc>
        <w:tc>
          <w:tcPr>
            <w:tcW w:w="1180" w:type="dxa"/>
            <w:vAlign w:val="bottom"/>
            <w:tcBorders>
              <w:bottom w:val="single" w:sz="8" w:color="2C2C2C"/>
            </w:tcBorders>
          </w:tcPr>
          <w:p>
            <w:pPr>
              <w:jc w:val="center"/>
              <w:ind w:left="278"/>
              <w:spacing w:after="0"/>
              <w:rPr>
                <w:sz w:val="20"/>
                <w:szCs w:val="20"/>
                <w:color w:val="auto"/>
              </w:rPr>
            </w:pPr>
            <w:r>
              <w:rPr>
                <w:rFonts w:ascii="Arial" w:cs="Arial" w:eastAsia="Arial" w:hAnsi="Arial"/>
                <w:sz w:val="18"/>
                <w:szCs w:val="18"/>
                <w:color w:val="0000FF"/>
                <w:w w:val="84"/>
              </w:rPr>
              <w:t>37,500</w:t>
            </w:r>
            <w:r>
              <w:rPr>
                <w:rFonts w:ascii="Arial" w:cs="Arial" w:eastAsia="Arial" w:hAnsi="Arial"/>
                <w:sz w:val="22"/>
                <w:szCs w:val="22"/>
                <w:color w:val="008000"/>
                <w:w w:val="84"/>
                <w:vertAlign w:val="superscript"/>
              </w:rPr>
              <w:t>(1)</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4"/>
              </w:rPr>
              <w:t>12.52</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4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09/01/2004</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09/01/2014</w:t>
            </w:r>
          </w:p>
        </w:tc>
        <w:tc>
          <w:tcPr>
            <w:tcW w:w="17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7"/>
              </w:rPr>
              <w:t>Common Stock</w:t>
            </w:r>
          </w:p>
        </w:tc>
        <w:tc>
          <w:tcPr>
            <w:tcW w:w="1180" w:type="dxa"/>
            <w:vAlign w:val="bottom"/>
            <w:tcBorders>
              <w:bottom w:val="single" w:sz="8" w:color="2C2C2C"/>
            </w:tcBorders>
          </w:tcPr>
          <w:p>
            <w:pPr>
              <w:jc w:val="center"/>
              <w:ind w:left="278"/>
              <w:spacing w:after="0"/>
              <w:rPr>
                <w:sz w:val="20"/>
                <w:szCs w:val="20"/>
                <w:color w:val="auto"/>
              </w:rPr>
            </w:pPr>
            <w:r>
              <w:rPr>
                <w:rFonts w:ascii="Arial" w:cs="Arial" w:eastAsia="Arial" w:hAnsi="Arial"/>
                <w:sz w:val="18"/>
                <w:szCs w:val="18"/>
                <w:color w:val="0000FF"/>
                <w:w w:val="84"/>
              </w:rPr>
              <w:t>40,000</w:t>
            </w:r>
            <w:r>
              <w:rPr>
                <w:rFonts w:ascii="Arial" w:cs="Arial" w:eastAsia="Arial" w:hAnsi="Arial"/>
                <w:sz w:val="22"/>
                <w:szCs w:val="22"/>
                <w:color w:val="008000"/>
                <w:w w:val="84"/>
                <w:vertAlign w:val="superscript"/>
              </w:rPr>
              <w:t>(1)</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4"/>
              </w:rPr>
              <w:t>11.51</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4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10/03/2008</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10/03/2014</w:t>
            </w:r>
          </w:p>
        </w:tc>
        <w:tc>
          <w:tcPr>
            <w:tcW w:w="17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7"/>
              </w:rPr>
              <w:t>Common Stock</w:t>
            </w:r>
          </w:p>
        </w:tc>
        <w:tc>
          <w:tcPr>
            <w:tcW w:w="1180" w:type="dxa"/>
            <w:vAlign w:val="bottom"/>
            <w:tcBorders>
              <w:bottom w:val="single" w:sz="8" w:color="2C2C2C"/>
            </w:tcBorders>
          </w:tcPr>
          <w:p>
            <w:pPr>
              <w:jc w:val="center"/>
              <w:ind w:left="278"/>
              <w:spacing w:after="0"/>
              <w:rPr>
                <w:sz w:val="20"/>
                <w:szCs w:val="20"/>
                <w:color w:val="auto"/>
              </w:rPr>
            </w:pPr>
            <w:r>
              <w:rPr>
                <w:rFonts w:ascii="Arial" w:cs="Arial" w:eastAsia="Arial" w:hAnsi="Arial"/>
                <w:sz w:val="18"/>
                <w:szCs w:val="18"/>
                <w:color w:val="0000FF"/>
                <w:w w:val="84"/>
              </w:rPr>
              <w:t>63,000</w:t>
            </w:r>
            <w:r>
              <w:rPr>
                <w:rFonts w:ascii="Arial" w:cs="Arial" w:eastAsia="Arial" w:hAnsi="Arial"/>
                <w:sz w:val="22"/>
                <w:szCs w:val="22"/>
                <w:color w:val="008000"/>
                <w:w w:val="84"/>
                <w:vertAlign w:val="superscript"/>
              </w:rPr>
              <w:t>(1)</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5"/>
              </w:rPr>
              <w:t>4.48</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48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10/05/2009</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10/05/2015</w:t>
            </w:r>
          </w:p>
        </w:tc>
        <w:tc>
          <w:tcPr>
            <w:tcW w:w="17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7"/>
              </w:rPr>
              <w:t>Common Stock</w:t>
            </w:r>
          </w:p>
        </w:tc>
        <w:tc>
          <w:tcPr>
            <w:tcW w:w="1180" w:type="dxa"/>
            <w:vAlign w:val="bottom"/>
            <w:tcBorders>
              <w:bottom w:val="single" w:sz="8" w:color="2C2C2C"/>
            </w:tcBorders>
          </w:tcPr>
          <w:p>
            <w:pPr>
              <w:jc w:val="center"/>
              <w:ind w:left="278"/>
              <w:spacing w:after="0"/>
              <w:rPr>
                <w:sz w:val="20"/>
                <w:szCs w:val="20"/>
                <w:color w:val="auto"/>
              </w:rPr>
            </w:pPr>
            <w:r>
              <w:rPr>
                <w:rFonts w:ascii="Arial" w:cs="Arial" w:eastAsia="Arial" w:hAnsi="Arial"/>
                <w:sz w:val="18"/>
                <w:szCs w:val="18"/>
                <w:color w:val="0000FF"/>
                <w:w w:val="84"/>
              </w:rPr>
              <w:t>63,000</w:t>
            </w:r>
            <w:r>
              <w:rPr>
                <w:rFonts w:ascii="Arial" w:cs="Arial" w:eastAsia="Arial" w:hAnsi="Arial"/>
                <w:sz w:val="22"/>
                <w:szCs w:val="22"/>
                <w:color w:val="008000"/>
                <w:w w:val="84"/>
                <w:vertAlign w:val="superscript"/>
              </w:rPr>
              <w:t>(1)</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5"/>
              </w:rPr>
              <w:t>7.46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480" w:type="dxa"/>
            <w:vAlign w:val="bottom"/>
            <w:tcBorders>
              <w:bottom w:val="single" w:sz="8" w:color="2C2C2C"/>
            </w:tcBorders>
            <w:gridSpan w:val="2"/>
          </w:tcPr>
          <w:p>
            <w:pPr>
              <w:jc w:val="right"/>
              <w:ind w:right="89"/>
              <w:spacing w:after="0"/>
              <w:rPr>
                <w:sz w:val="20"/>
                <w:szCs w:val="20"/>
                <w:color w:val="auto"/>
              </w:rPr>
            </w:pPr>
            <w:r>
              <w:rPr>
                <w:rFonts w:ascii="Arial" w:cs="Arial" w:eastAsia="Arial" w:hAnsi="Arial"/>
                <w:sz w:val="14"/>
                <w:szCs w:val="14"/>
                <w:color w:val="0000FF"/>
              </w:rPr>
              <w:t>10/11/2010</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10/11/2016</w:t>
            </w:r>
          </w:p>
        </w:tc>
        <w:tc>
          <w:tcPr>
            <w:tcW w:w="17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7"/>
              </w:rPr>
              <w:t>Common Stock</w:t>
            </w:r>
          </w:p>
        </w:tc>
        <w:tc>
          <w:tcPr>
            <w:tcW w:w="1180" w:type="dxa"/>
            <w:vAlign w:val="bottom"/>
            <w:tcBorders>
              <w:bottom w:val="single" w:sz="8" w:color="2C2C2C"/>
            </w:tcBorders>
          </w:tcPr>
          <w:p>
            <w:pPr>
              <w:jc w:val="center"/>
              <w:ind w:left="278"/>
              <w:spacing w:after="0"/>
              <w:rPr>
                <w:sz w:val="20"/>
                <w:szCs w:val="20"/>
                <w:color w:val="auto"/>
              </w:rPr>
            </w:pPr>
            <w:r>
              <w:rPr>
                <w:rFonts w:ascii="Arial" w:cs="Arial" w:eastAsia="Arial" w:hAnsi="Arial"/>
                <w:sz w:val="18"/>
                <w:szCs w:val="18"/>
                <w:color w:val="0000FF"/>
                <w:w w:val="84"/>
              </w:rPr>
              <w:t>65,000</w:t>
            </w:r>
            <w:r>
              <w:rPr>
                <w:rFonts w:ascii="Arial" w:cs="Arial" w:eastAsia="Arial" w:hAnsi="Arial"/>
                <w:sz w:val="22"/>
                <w:szCs w:val="22"/>
                <w:color w:val="008000"/>
                <w:w w:val="84"/>
                <w:vertAlign w:val="superscript"/>
              </w:rPr>
              <w:t>(1)</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5"/>
              </w:rPr>
              <w:t>7.59</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Non-Qualified Stock Option</w:t>
            </w:r>
          </w:p>
        </w:tc>
        <w:tc>
          <w:tcPr>
            <w:tcW w:w="1480" w:type="dxa"/>
            <w:vAlign w:val="bottom"/>
            <w:tcBorders>
              <w:bottom w:val="single" w:sz="8" w:color="2C2C2C"/>
            </w:tcBorders>
            <w:gridSpan w:val="2"/>
          </w:tcPr>
          <w:p>
            <w:pPr>
              <w:jc w:val="right"/>
              <w:ind w:right="89"/>
              <w:spacing w:after="0"/>
              <w:rPr>
                <w:sz w:val="20"/>
                <w:szCs w:val="20"/>
                <w:color w:val="auto"/>
              </w:rPr>
            </w:pPr>
            <w:r>
              <w:rPr>
                <w:rFonts w:ascii="Arial" w:cs="Arial" w:eastAsia="Arial" w:hAnsi="Arial"/>
                <w:sz w:val="14"/>
                <w:szCs w:val="14"/>
                <w:color w:val="0000FF"/>
              </w:rPr>
              <w:t>10/11/2011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10/11/2017</w:t>
            </w:r>
          </w:p>
        </w:tc>
        <w:tc>
          <w:tcPr>
            <w:tcW w:w="170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w w:val="97"/>
              </w:rPr>
              <w:t>Common Stock</w:t>
            </w:r>
          </w:p>
        </w:tc>
        <w:tc>
          <w:tcPr>
            <w:tcW w:w="1180" w:type="dxa"/>
            <w:vAlign w:val="bottom"/>
            <w:tcBorders>
              <w:bottom w:val="single" w:sz="8" w:color="2C2C2C"/>
            </w:tcBorders>
          </w:tcPr>
          <w:p>
            <w:pPr>
              <w:jc w:val="center"/>
              <w:ind w:left="278"/>
              <w:spacing w:after="0"/>
              <w:rPr>
                <w:sz w:val="20"/>
                <w:szCs w:val="20"/>
                <w:color w:val="auto"/>
              </w:rPr>
            </w:pPr>
            <w:r>
              <w:rPr>
                <w:rFonts w:ascii="Arial" w:cs="Arial" w:eastAsia="Arial" w:hAnsi="Arial"/>
                <w:sz w:val="18"/>
                <w:szCs w:val="18"/>
                <w:color w:val="0000FF"/>
                <w:w w:val="84"/>
              </w:rPr>
              <w:t>138,000</w:t>
            </w:r>
            <w:r>
              <w:rPr>
                <w:rFonts w:ascii="Arial" w:cs="Arial" w:eastAsia="Arial" w:hAnsi="Arial"/>
                <w:sz w:val="22"/>
                <w:szCs w:val="22"/>
                <w:color w:val="008000"/>
                <w:w w:val="84"/>
                <w:vertAlign w:val="superscript"/>
              </w:rPr>
              <w:t>(1)</w:t>
            </w:r>
          </w:p>
        </w:tc>
        <w:tc>
          <w:tcPr>
            <w:tcW w:w="820" w:type="dxa"/>
            <w:vAlign w:val="bottom"/>
            <w:tcBorders>
              <w:bottom w:val="single" w:sz="8" w:color="2C2C2C"/>
            </w:tcBorders>
          </w:tcPr>
          <w:p>
            <w:pPr>
              <w:jc w:val="center"/>
              <w:ind w:left="2"/>
              <w:spacing w:after="0"/>
              <w:rPr>
                <w:sz w:val="20"/>
                <w:szCs w:val="20"/>
                <w:color w:val="auto"/>
              </w:rPr>
            </w:pPr>
            <w:r>
              <w:rPr>
                <w:rFonts w:ascii="Arial" w:cs="Arial" w:eastAsia="Arial" w:hAnsi="Arial"/>
                <w:sz w:val="18"/>
                <w:szCs w:val="18"/>
                <w:color w:val="0000FF"/>
                <w:w w:val="85"/>
              </w:rPr>
              <w:t>5.16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3"/>
          </w:tcPr>
          <w:p>
            <w:pPr>
              <w:ind w:left="20"/>
              <w:spacing w:after="0"/>
              <w:rPr>
                <w:sz w:val="20"/>
                <w:szCs w:val="20"/>
                <w:color w:val="auto"/>
              </w:rPr>
            </w:pPr>
            <w:r>
              <w:rPr>
                <w:rFonts w:ascii="Arial" w:cs="Arial" w:eastAsia="Arial" w:hAnsi="Arial"/>
                <w:sz w:val="14"/>
                <w:szCs w:val="14"/>
                <w:color w:val="008000"/>
                <w:w w:val="88"/>
              </w:rPr>
              <w:t>1. Stock Options vest in 25% increments annually on anniversary date of grant.</w:t>
            </w: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w w:val="92"/>
              </w:rPr>
              <w:t>Katie Reid, Attorney-in-fact</w:t>
            </w:r>
          </w:p>
        </w:tc>
        <w:tc>
          <w:tcPr>
            <w:tcW w:w="60" w:type="dxa"/>
            <w:vAlign w:val="bottom"/>
          </w:tcPr>
          <w:p>
            <w:pPr>
              <w:spacing w:after="0"/>
              <w:rPr>
                <w:sz w:val="24"/>
                <w:szCs w:val="24"/>
                <w:color w:val="auto"/>
              </w:rPr>
            </w:pPr>
          </w:p>
        </w:tc>
        <w:tc>
          <w:tcPr>
            <w:tcW w:w="2480" w:type="dxa"/>
            <w:vAlign w:val="bottom"/>
            <w:gridSpan w:val="4"/>
          </w:tcPr>
          <w:p>
            <w:pPr>
              <w:ind w:left="240"/>
              <w:spacing w:after="0"/>
              <w:rPr>
                <w:sz w:val="20"/>
                <w:szCs w:val="20"/>
                <w:color w:val="auto"/>
              </w:rPr>
            </w:pPr>
            <w:r>
              <w:rPr>
                <w:rFonts w:ascii="Arial" w:cs="Arial" w:eastAsia="Arial" w:hAnsi="Arial"/>
                <w:sz w:val="18"/>
                <w:szCs w:val="18"/>
                <w:color w:val="0000FF"/>
              </w:rPr>
              <w:t>05/04/2012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w w:val="97"/>
              </w:rPr>
              <w:t>** Signature of Reporting Person</w:t>
            </w:r>
          </w:p>
        </w:tc>
        <w:tc>
          <w:tcPr>
            <w:tcW w:w="60" w:type="dxa"/>
            <w:vAlign w:val="bottom"/>
          </w:tcPr>
          <w:p>
            <w:pPr>
              <w:spacing w:after="0"/>
              <w:rPr>
                <w:sz w:val="20"/>
                <w:szCs w:val="20"/>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5"/>
          </w:tcPr>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4"/>
          </w:tcPr>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Compensation, Equity and Payroll Manager, Katie Reid; Compensation and Equity Supervisor, Robert Case and General Counsel, Rod Lewis,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right="2099"/>
        <w:spacing w:after="0" w:line="540" w:lineRule="auto"/>
        <w:rPr>
          <w:sz w:val="20"/>
          <w:szCs w:val="20"/>
          <w:color w:val="auto"/>
        </w:rPr>
      </w:pPr>
      <w:r>
        <w:rPr>
          <w:rFonts w:ascii="Courier New" w:cs="Courier New" w:eastAsia="Courier New" w:hAnsi="Courier New"/>
          <w:sz w:val="16"/>
          <w:szCs w:val="16"/>
          <w:color w:val="auto"/>
        </w:rPr>
        <w:t>1.complete and execute Forms 4 and 5 and other forms, and all amendments thereto, as such attorney-in-fact shall in his or her discretion determine to be required or advisable pursuant to Section 16 of the Securities Exchange Act of 1934 as amendedand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5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2419"/>
        <w:spacing w:after="0" w:line="53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orcause to be done by virtue hereof. The undersigned acknowledges that the foregoing attorneysinfact,in serving in such capacity at the request of the undersigned, are not assuming, nor is</w:t>
      </w:r>
    </w:p>
    <w:p>
      <w:pPr>
        <w:spacing w:after="0" w:line="1" w:lineRule="exact"/>
        <w:rPr>
          <w:sz w:val="20"/>
          <w:szCs w:val="20"/>
          <w:color w:val="auto"/>
        </w:rPr>
      </w:pPr>
    </w:p>
    <w:p>
      <w:pPr>
        <w:ind w:right="3359"/>
        <w:spacing w:after="0" w:line="473"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283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 to be executed as of this 23rd day of April, 2012.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Steven L. Thorsen,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Steven L. Thorsen, Jr</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8545"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2019-12-16T04:14:19Z</dcterms:created>
  <dcterms:modified xsi:type="dcterms:W3CDTF">2019-12-16T04:14:19Z</dcterms:modified>
</cp:coreProperties>
</file>