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21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1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2960" w:right="2419" w:hanging="2636"/>
        <w:spacing w:after="0" w:line="235" w:lineRule="auto"/>
        <w:tabs>
          <w:tab w:leader="none" w:pos="85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For the quarterly period ended December 3, 1998</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jc w:val="center"/>
        <w:ind w:right="2199"/>
        <w:spacing w:after="0"/>
        <w:tabs>
          <w:tab w:leader="none" w:pos="18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TRANSITION REPORT PURSUANT TO SECTION 13 OR 15(d) OF THE SECURITIES</w:t>
      </w:r>
    </w:p>
    <w:p>
      <w:pPr>
        <w:jc w:val="center"/>
        <w:ind w:right="2199"/>
        <w:spacing w:after="0" w:line="238" w:lineRule="auto"/>
        <w:rPr>
          <w:sz w:val="20"/>
          <w:szCs w:val="20"/>
          <w:color w:val="auto"/>
        </w:rPr>
      </w:pPr>
      <w:r>
        <w:rPr>
          <w:rFonts w:ascii="Courier New" w:cs="Courier New" w:eastAsia="Courier New" w:hAnsi="Courier New"/>
          <w:sz w:val="18"/>
          <w:szCs w:val="18"/>
          <w:color w:val="auto"/>
        </w:rPr>
        <w:t>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320"/>
        <w:spacing w:after="0"/>
        <w:tabs>
          <w:tab w:leader="none" w:pos="494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1-10658</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4"/>
          <w:szCs w:val="24"/>
          <w:color w:val="auto"/>
        </w:rPr>
      </w:pPr>
    </w:p>
    <w:p>
      <w:pPr>
        <w:jc w:val="center"/>
        <w:ind w:right="2199"/>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State or other</w:t>
        <w:tab/>
        <w:t>jurisdiction of incorporation or organization:</w:t>
      </w:r>
      <w:r>
        <w:rPr>
          <w:sz w:val="20"/>
          <w:szCs w:val="20"/>
          <w:color w:val="auto"/>
        </w:rPr>
        <w:tab/>
      </w:r>
      <w:r>
        <w:rPr>
          <w:rFonts w:ascii="Courier New" w:cs="Courier New" w:eastAsia="Courier New" w:hAnsi="Courier New"/>
          <w:sz w:val="16"/>
          <w:szCs w:val="16"/>
          <w:color w:val="auto"/>
        </w:rPr>
        <w:t>Delaware</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Internal Revenue Service -- Employer Identification No. 75-1618004</w:t>
      </w:r>
    </w:p>
    <w:p>
      <w:pPr>
        <w:spacing w:after="0" w:line="200" w:lineRule="exact"/>
        <w:rPr>
          <w:sz w:val="24"/>
          <w:szCs w:val="24"/>
          <w:color w:val="auto"/>
        </w:rPr>
      </w:pPr>
    </w:p>
    <w:p>
      <w:pPr>
        <w:spacing w:after="0" w:line="204" w:lineRule="exact"/>
        <w:rPr>
          <w:sz w:val="24"/>
          <w:szCs w:val="24"/>
          <w:color w:val="auto"/>
        </w:rPr>
      </w:pPr>
    </w:p>
    <w:p>
      <w:pPr>
        <w:ind w:left="1700"/>
        <w:spacing w:after="0"/>
        <w:tabs>
          <w:tab w:leader="none" w:pos="5360" w:val="left"/>
        </w:tabs>
        <w:rPr>
          <w:sz w:val="20"/>
          <w:szCs w:val="20"/>
          <w:color w:val="auto"/>
        </w:rPr>
      </w:pPr>
      <w:r>
        <w:rPr>
          <w:rFonts w:ascii="Courier New" w:cs="Courier New" w:eastAsia="Courier New" w:hAnsi="Courier New"/>
          <w:sz w:val="18"/>
          <w:szCs w:val="18"/>
          <w:color w:val="auto"/>
        </w:rPr>
        <w:t>8000 S. Federal Way, Boise, Idaho</w:t>
      </w:r>
      <w:r>
        <w:rPr>
          <w:sz w:val="20"/>
          <w:szCs w:val="20"/>
          <w:color w:val="auto"/>
        </w:rPr>
        <w:tab/>
      </w:r>
      <w:r>
        <w:rPr>
          <w:rFonts w:ascii="Courier New" w:cs="Courier New" w:eastAsia="Courier New" w:hAnsi="Courier New"/>
          <w:sz w:val="16"/>
          <w:szCs w:val="16"/>
          <w:color w:val="auto"/>
        </w:rPr>
        <w:t>83716-9632</w:t>
      </w:r>
    </w:p>
    <w:p>
      <w:pPr>
        <w:ind w:left="3900" w:hanging="626"/>
        <w:spacing w:after="0" w:line="238" w:lineRule="auto"/>
        <w:tabs>
          <w:tab w:leader="none" w:pos="3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368-4000</w:t>
      </w:r>
    </w:p>
    <w:p>
      <w:pPr>
        <w:spacing w:after="0" w:line="201" w:lineRule="exact"/>
        <w:rPr>
          <w:rFonts w:ascii="Courier New" w:cs="Courier New" w:eastAsia="Courier New" w:hAnsi="Courier New"/>
          <w:sz w:val="18"/>
          <w:szCs w:val="18"/>
          <w:color w:val="auto"/>
        </w:rPr>
      </w:pPr>
    </w:p>
    <w:p>
      <w:pPr>
        <w:ind w:left="3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649" w:right="1440" w:bottom="1440" w:gutter="0" w:footer="0" w:header="0"/>
        </w:sectPr>
      </w:pPr>
    </w:p>
    <w:p>
      <w:pPr>
        <w:spacing w:after="0"/>
        <w:tabs>
          <w:tab w:leader="none" w:pos="94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4"/>
          <w:szCs w:val="24"/>
          <w:color w:val="auto"/>
        </w:rPr>
      </w:pPr>
    </w:p>
    <w:p>
      <w:pPr>
        <w:sectPr>
          <w:pgSz w:w="11900" w:h="16838" w:orient="portrait"/>
          <w:cols w:equalWidth="0" w:num="2">
            <w:col w:w="1160" w:space="0"/>
            <w:col w:w="9059"/>
          </w:cols>
          <w:pgMar w:left="240" w:top="649" w:right="1440" w:bottom="1440" w:gutter="0" w:footer="0" w:header="0"/>
          <w:type w:val="continuous"/>
        </w:sectPr>
      </w:pPr>
    </w:p>
    <w:p>
      <w:pPr>
        <w:spacing w:after="0" w:line="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number of outstanding shares of the registrant's Common Stock as of January 5, 1999, was 247,656,782.</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left="2440"/>
        <w:spacing w:after="0"/>
        <w:rPr>
          <w:sz w:val="20"/>
          <w:szCs w:val="20"/>
          <w:color w:val="auto"/>
        </w:rPr>
      </w:pPr>
      <w:r>
        <w:rPr>
          <w:rFonts w:ascii="Courier New" w:cs="Courier New" w:eastAsia="Courier New" w:hAnsi="Courier New"/>
          <w:sz w:val="16"/>
          <w:szCs w:val="16"/>
          <w:color w:val="auto"/>
        </w:rPr>
        <w:t>Part 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FINANCIAL INFORMATION</w:t>
      </w:r>
    </w:p>
    <w:p>
      <w:pPr>
        <w:spacing w:after="0" w:line="200" w:lineRule="exact"/>
        <w:rPr>
          <w:sz w:val="20"/>
          <w:szCs w:val="20"/>
          <w:color w:val="auto"/>
        </w:rPr>
      </w:pPr>
    </w:p>
    <w:p>
      <w:pPr>
        <w:sectPr>
          <w:pgSz w:w="11900" w:h="16838" w:orient="portrait"/>
          <w:cols w:equalWidth="0" w:num="2">
            <w:col w:w="3160" w:space="220"/>
            <w:col w:w="6839"/>
          </w:cols>
          <w:pgMar w:left="240" w:top="723" w:right="1440" w:bottom="1440" w:gutter="0" w:footer="0" w:header="0"/>
        </w:sectPr>
      </w:pP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Consolidated Balance Sheets</w:t>
      </w:r>
    </w:p>
    <w:p>
      <w:pPr>
        <w:jc w:val="center"/>
        <w:ind w:right="2199"/>
        <w:spacing w:after="0" w:line="238" w:lineRule="auto"/>
        <w:rPr>
          <w:sz w:val="20"/>
          <w:szCs w:val="20"/>
          <w:color w:val="auto"/>
        </w:rPr>
      </w:pPr>
      <w:r>
        <w:rPr>
          <w:rFonts w:ascii="Courier New" w:cs="Courier New" w:eastAsia="Courier New" w:hAnsi="Courier New"/>
          <w:sz w:val="18"/>
          <w:szCs w:val="18"/>
          <w:color w:val="auto"/>
        </w:rPr>
        <w:t>(Dollars in millions, except for par value data)</w:t>
      </w:r>
    </w:p>
    <w:p>
      <w:pPr>
        <w:spacing w:after="0" w:line="200" w:lineRule="exact"/>
        <w:rPr>
          <w:sz w:val="20"/>
          <w:szCs w:val="20"/>
          <w:color w:val="auto"/>
        </w:rPr>
      </w:pPr>
    </w:p>
    <w:p>
      <w:pPr>
        <w:spacing w:after="0" w:line="204" w:lineRule="exact"/>
        <w:rPr>
          <w:sz w:val="20"/>
          <w:szCs w:val="20"/>
          <w:color w:val="auto"/>
        </w:rPr>
      </w:pPr>
    </w:p>
    <w:p>
      <w:pPr>
        <w:ind w:left="5800"/>
        <w:spacing w:after="0"/>
        <w:tabs>
          <w:tab w:leader="none" w:pos="7160" w:val="left"/>
        </w:tabs>
        <w:rPr>
          <w:sz w:val="20"/>
          <w:szCs w:val="20"/>
          <w:color w:val="auto"/>
        </w:rPr>
      </w:pPr>
      <w:r>
        <w:rPr>
          <w:rFonts w:ascii="Courier New" w:cs="Courier New" w:eastAsia="Courier New" w:hAnsi="Courier New"/>
          <w:sz w:val="18"/>
          <w:szCs w:val="18"/>
          <w:color w:val="auto"/>
        </w:rPr>
        <w:t>December 3,</w:t>
      </w:r>
      <w:r>
        <w:rPr>
          <w:sz w:val="20"/>
          <w:szCs w:val="20"/>
          <w:color w:val="auto"/>
        </w:rPr>
        <w:tab/>
      </w:r>
      <w:r>
        <w:rPr>
          <w:rFonts w:ascii="Courier New" w:cs="Courier New" w:eastAsia="Courier New" w:hAnsi="Courier New"/>
          <w:sz w:val="16"/>
          <w:szCs w:val="16"/>
          <w:color w:val="auto"/>
        </w:rPr>
        <w:t>September 3,</w:t>
      </w:r>
    </w:p>
    <w:p>
      <w:pPr>
        <w:spacing w:after="0"/>
        <w:tabs>
          <w:tab w:leader="none" w:pos="6100" w:val="left"/>
          <w:tab w:leader="none" w:pos="7580" w:val="left"/>
        </w:tabs>
        <w:rPr>
          <w:sz w:val="20"/>
          <w:szCs w:val="20"/>
          <w:color w:val="auto"/>
        </w:rPr>
      </w:pPr>
      <w:r>
        <w:rPr>
          <w:rFonts w:ascii="Courier New" w:cs="Courier New" w:eastAsia="Courier New" w:hAnsi="Courier New"/>
          <w:sz w:val="18"/>
          <w:szCs w:val="18"/>
          <w:color w:val="auto"/>
        </w:rPr>
        <w:t>As of</w:t>
      </w:r>
      <w:r>
        <w:rPr>
          <w:sz w:val="20"/>
          <w:szCs w:val="20"/>
          <w:color w:val="auto"/>
        </w:rPr>
        <w:tab/>
      </w: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6"/>
          <w:szCs w:val="16"/>
          <w:color w:val="auto"/>
        </w:rPr>
        <w:t>1998</w:t>
      </w:r>
    </w:p>
    <w:p>
      <w:pPr>
        <w:sectPr>
          <w:pgSz w:w="11900" w:h="16838" w:orient="portrait"/>
          <w:cols w:equalWidth="0" w:num="1">
            <w:col w:w="10219"/>
          </w:cols>
          <w:pgMar w:left="240" w:top="723" w:right="1440" w:bottom="1440" w:gutter="0" w:footer="0" w:header="0"/>
          <w:type w:val="continuous"/>
        </w:sectPr>
      </w:pPr>
    </w:p>
    <w:p>
      <w:pPr>
        <w:spacing w:after="0" w:line="5"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3"/>
        </w:trPr>
        <w:tc>
          <w:tcPr>
            <w:tcW w:w="58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767.7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558.8</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Liquid investments</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1,157.1</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90.8</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481.6</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489.5</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360.4</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291.6</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15.7</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67.2</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61.7</w:t>
            </w:r>
          </w:p>
        </w:tc>
      </w:tr>
      <w:tr>
        <w:trPr>
          <w:trHeight w:val="203"/>
        </w:trPr>
        <w:tc>
          <w:tcPr>
            <w:tcW w:w="580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2,849.7</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1,500.9</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Product and process technology, net</w:t>
            </w:r>
          </w:p>
        </w:tc>
        <w:tc>
          <w:tcPr>
            <w:tcW w:w="32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219.6</w:t>
            </w:r>
          </w:p>
        </w:tc>
        <w:tc>
          <w:tcPr>
            <w:tcW w:w="3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84.9</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3,602.3</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3,035.3</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116.0</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82.4</w:t>
            </w:r>
          </w:p>
        </w:tc>
      </w:tr>
      <w:tr>
        <w:trPr>
          <w:trHeight w:val="203"/>
        </w:trPr>
        <w:tc>
          <w:tcPr>
            <w:tcW w:w="580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assets</w:t>
            </w: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$6,787.6</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$4,703.5</w:t>
            </w:r>
          </w:p>
        </w:tc>
      </w:tr>
      <w:tr>
        <w:trPr>
          <w:trHeight w:val="203"/>
        </w:trPr>
        <w:tc>
          <w:tcPr>
            <w:tcW w:w="580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627.8</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460.7</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debt</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11.1</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 purchase contracts</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113.2</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168.8</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103.4</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98.6</w:t>
            </w:r>
          </w:p>
        </w:tc>
      </w:tr>
      <w:tr>
        <w:trPr>
          <w:trHeight w:val="203"/>
        </w:trPr>
        <w:tc>
          <w:tcPr>
            <w:tcW w:w="580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861.7</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745.7</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32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1,597.6</w:t>
            </w:r>
          </w:p>
        </w:tc>
        <w:tc>
          <w:tcPr>
            <w:tcW w:w="3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758.8</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264.5</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284.2</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product and process technology</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12.0</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57.7</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50.1</w:t>
            </w:r>
          </w:p>
        </w:tc>
      </w:tr>
      <w:tr>
        <w:trPr>
          <w:trHeight w:val="203"/>
        </w:trPr>
        <w:tc>
          <w:tcPr>
            <w:tcW w:w="580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2,793.5</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1,850.1</w:t>
            </w:r>
          </w:p>
        </w:tc>
      </w:tr>
      <w:tr>
        <w:trPr>
          <w:trHeight w:val="203"/>
        </w:trPr>
        <w:tc>
          <w:tcPr>
            <w:tcW w:w="580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interests</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157.9</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152.1</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Common stock, $0.10 par value, authorized 1.0 billion</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issued and outstanding 247.3 million and</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217.1 million shares, respectively</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24.7</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capital</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1,743.6</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565.4</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2,068.1</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2,114.3</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other comprehensive loss</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w:t>
            </w:r>
          </w:p>
        </w:tc>
        <w:tc>
          <w:tcPr>
            <w:tcW w:w="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580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3,836.2</w:t>
            </w:r>
          </w:p>
        </w:tc>
        <w:tc>
          <w:tcPr>
            <w:tcW w:w="3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2,701.3</w:t>
            </w:r>
          </w:p>
        </w:tc>
      </w:tr>
      <w:tr>
        <w:trPr>
          <w:trHeight w:val="203"/>
        </w:trPr>
        <w:tc>
          <w:tcPr>
            <w:tcW w:w="580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$6,787.6</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$4,703.5</w:t>
            </w:r>
          </w:p>
        </w:tc>
      </w:tr>
      <w:tr>
        <w:trPr>
          <w:trHeight w:val="203"/>
        </w:trPr>
        <w:tc>
          <w:tcPr>
            <w:tcW w:w="580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Certain fiscal 1998 amounts have been restated as a result of a pooling-of-interests merger.</w:t>
      </w: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23" w:right="1440" w:bottom="1440" w:gutter="0" w:footer="0" w:header="0"/>
          <w:type w:val="continuous"/>
        </w:sectPr>
      </w:pPr>
    </w:p>
    <w:bookmarkStart w:id="2" w:name="page3"/>
    <w:bookmarkEnd w:id="2"/>
    <w:p>
      <w:pPr>
        <w:jc w:val="center"/>
        <w:ind w:right="16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Consolidated Statements of Operations</w:t>
      </w:r>
    </w:p>
    <w:p>
      <w:pPr>
        <w:ind w:left="1800"/>
        <w:spacing w:after="0" w:line="238" w:lineRule="auto"/>
        <w:rPr>
          <w:sz w:val="20"/>
          <w:szCs w:val="20"/>
          <w:color w:val="auto"/>
        </w:rPr>
      </w:pPr>
      <w:r>
        <w:rPr>
          <w:rFonts w:ascii="Courier New" w:cs="Courier New" w:eastAsia="Courier New" w:hAnsi="Courier New"/>
          <w:sz w:val="18"/>
          <w:szCs w:val="18"/>
          <w:color w:val="auto"/>
        </w:rPr>
        <w:t>(Amounts in millions, except for per share data)</w:t>
      </w: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00"/>
        <w:spacing w:after="0"/>
        <w:tabs>
          <w:tab w:leader="none" w:pos="7160" w:val="left"/>
        </w:tabs>
        <w:rPr>
          <w:sz w:val="20"/>
          <w:szCs w:val="20"/>
          <w:color w:val="auto"/>
        </w:rPr>
      </w:pPr>
      <w:r>
        <w:rPr>
          <w:rFonts w:ascii="Courier New" w:cs="Courier New" w:eastAsia="Courier New" w:hAnsi="Courier New"/>
          <w:sz w:val="18"/>
          <w:szCs w:val="18"/>
          <w:color w:val="auto"/>
        </w:rPr>
        <w:t>December 3,</w:t>
      </w:r>
      <w:r>
        <w:rPr>
          <w:sz w:val="20"/>
          <w:szCs w:val="20"/>
          <w:color w:val="auto"/>
        </w:rPr>
        <w:tab/>
      </w:r>
      <w:r>
        <w:rPr>
          <w:rFonts w:ascii="Courier New" w:cs="Courier New" w:eastAsia="Courier New" w:hAnsi="Courier New"/>
          <w:sz w:val="16"/>
          <w:szCs w:val="16"/>
          <w:color w:val="auto"/>
        </w:rPr>
        <w:t>November 27,</w:t>
      </w:r>
    </w:p>
    <w:p>
      <w:pPr>
        <w:spacing w:after="0"/>
        <w:tabs>
          <w:tab w:leader="none" w:pos="6100" w:val="left"/>
          <w:tab w:leader="none" w:pos="7580" w:val="left"/>
        </w:tabs>
        <w:rPr>
          <w:sz w:val="20"/>
          <w:szCs w:val="20"/>
          <w:color w:val="auto"/>
        </w:rPr>
      </w:pPr>
      <w:r>
        <w:rPr>
          <w:rFonts w:ascii="Courier New" w:cs="Courier New" w:eastAsia="Courier New" w:hAnsi="Courier New"/>
          <w:sz w:val="18"/>
          <w:szCs w:val="18"/>
          <w:color w:val="auto"/>
        </w:rPr>
        <w:t>For the quarter ended</w:t>
      </w:r>
      <w:r>
        <w:rPr>
          <w:sz w:val="20"/>
          <w:szCs w:val="20"/>
          <w:color w:val="auto"/>
        </w:rPr>
        <w:tab/>
      </w: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6"/>
          <w:szCs w:val="16"/>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$ 793.6</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$ 957.3</w:t>
            </w:r>
          </w:p>
        </w:tc>
      </w:tr>
      <w:tr>
        <w:trPr>
          <w:trHeight w:val="203"/>
        </w:trPr>
        <w:tc>
          <w:tcPr>
            <w:tcW w:w="560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677.7</w:t>
            </w:r>
          </w:p>
        </w:tc>
        <w:tc>
          <w:tcPr>
            <w:tcW w:w="4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747.1</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103.0</w:t>
            </w:r>
          </w:p>
        </w:tc>
        <w:tc>
          <w:tcPr>
            <w:tcW w:w="4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126.0</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67.7</w:t>
            </w:r>
          </w:p>
        </w:tc>
        <w:tc>
          <w:tcPr>
            <w:tcW w:w="4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67.2</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operating expense</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w:t>
            </w:r>
          </w:p>
        </w:tc>
        <w:tc>
          <w:tcPr>
            <w:tcW w:w="4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560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856.2</w:t>
            </w:r>
          </w:p>
        </w:tc>
        <w:tc>
          <w:tcPr>
            <w:tcW w:w="4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944.9</w:t>
            </w:r>
          </w:p>
        </w:tc>
      </w:tr>
      <w:tr>
        <w:trPr>
          <w:trHeight w:val="203"/>
        </w:trPr>
        <w:tc>
          <w:tcPr>
            <w:tcW w:w="560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(62.6)</w:t>
            </w:r>
          </w:p>
        </w:tc>
        <w:tc>
          <w:tcPr>
            <w:tcW w:w="4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on sale of investments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w:t>
            </w:r>
          </w:p>
        </w:tc>
        <w:tc>
          <w:tcPr>
            <w:tcW w:w="4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on issuance of subsidiary stock, net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w:t>
            </w:r>
          </w:p>
        </w:tc>
        <w:tc>
          <w:tcPr>
            <w:tcW w:w="4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560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 taxes and minority</w:t>
            </w: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(69.5)</w:t>
            </w:r>
          </w:p>
        </w:tc>
        <w:tc>
          <w:tcPr>
            <w:tcW w:w="4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Income tax benefit (provision)</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27.6</w:t>
            </w: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(4.5)</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interests in net income</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560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(46.2)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560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Earnings (loss) per share:</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(0.19)</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(0.19)</w:t>
            </w:r>
          </w:p>
        </w:tc>
        <w:tc>
          <w:tcPr>
            <w:tcW w:w="4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 per share calculations:</w:t>
            </w: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245.7</w:t>
            </w:r>
          </w:p>
        </w:tc>
        <w:tc>
          <w:tcPr>
            <w:tcW w:w="4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214.7</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245.7</w:t>
            </w:r>
          </w:p>
        </w:tc>
        <w:tc>
          <w:tcPr>
            <w:tcW w:w="4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217.8</w:t>
            </w:r>
          </w:p>
        </w:tc>
      </w:tr>
    </w:tbl>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Certain fiscal 1998 amounts have been restated as a result of a pooling-of-interests merger.</w:t>
      </w: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Statements of Cash Flows</w:t>
      </w:r>
    </w:p>
    <w:p>
      <w:pPr>
        <w:jc w:val="center"/>
        <w:ind w:right="1879"/>
        <w:spacing w:after="0" w:line="238" w:lineRule="auto"/>
        <w:rPr>
          <w:sz w:val="20"/>
          <w:szCs w:val="20"/>
          <w:color w:val="auto"/>
        </w:rPr>
      </w:pPr>
      <w:r>
        <w:rPr>
          <w:rFonts w:ascii="Courier New" w:cs="Courier New" w:eastAsia="Courier New" w:hAnsi="Courier New"/>
          <w:sz w:val="18"/>
          <w:szCs w:val="18"/>
          <w:color w:val="auto"/>
        </w:rPr>
        <w:t>(Dollars in millions)</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ind w:left="5700"/>
        <w:spacing w:after="0"/>
        <w:tabs>
          <w:tab w:leader="none" w:pos="7160" w:val="left"/>
        </w:tabs>
        <w:rPr>
          <w:sz w:val="20"/>
          <w:szCs w:val="20"/>
          <w:color w:val="auto"/>
        </w:rPr>
      </w:pPr>
      <w:r>
        <w:rPr>
          <w:rFonts w:ascii="Courier New" w:cs="Courier New" w:eastAsia="Courier New" w:hAnsi="Courier New"/>
          <w:sz w:val="18"/>
          <w:szCs w:val="18"/>
          <w:color w:val="auto"/>
        </w:rPr>
        <w:t>December 3,</w:t>
      </w:r>
      <w:r>
        <w:rPr>
          <w:sz w:val="20"/>
          <w:szCs w:val="20"/>
          <w:color w:val="auto"/>
        </w:rPr>
        <w:tab/>
      </w:r>
      <w:r>
        <w:rPr>
          <w:rFonts w:ascii="Courier New" w:cs="Courier New" w:eastAsia="Courier New" w:hAnsi="Courier New"/>
          <w:sz w:val="16"/>
          <w:szCs w:val="16"/>
          <w:color w:val="auto"/>
        </w:rPr>
        <w:t>November 27,</w:t>
      </w:r>
    </w:p>
    <w:p>
      <w:pPr>
        <w:spacing w:after="0"/>
        <w:tabs>
          <w:tab w:leader="none" w:pos="6000" w:val="left"/>
          <w:tab w:leader="none" w:pos="7460" w:val="left"/>
        </w:tabs>
        <w:rPr>
          <w:sz w:val="20"/>
          <w:szCs w:val="20"/>
          <w:color w:val="auto"/>
        </w:rPr>
      </w:pPr>
      <w:r>
        <w:rPr>
          <w:rFonts w:ascii="Courier New" w:cs="Courier New" w:eastAsia="Courier New" w:hAnsi="Courier New"/>
          <w:sz w:val="18"/>
          <w:szCs w:val="18"/>
          <w:color w:val="auto"/>
        </w:rPr>
        <w:t>For the quarter ended</w:t>
      </w:r>
      <w:r>
        <w:rPr>
          <w:sz w:val="20"/>
          <w:szCs w:val="20"/>
          <w:color w:val="auto"/>
        </w:rPr>
        <w:tab/>
      </w: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6"/>
          <w:szCs w:val="16"/>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  (46.2)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(loss) to net</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189.5</w:t>
            </w:r>
          </w:p>
        </w:tc>
        <w:tc>
          <w:tcPr>
            <w:tcW w:w="52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136.3</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Change in assets and liabilities, net of effects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acquisition</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 receivables</w:t>
            </w:r>
          </w:p>
        </w:tc>
        <w:tc>
          <w:tcPr>
            <w:tcW w:w="2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112.3</w:t>
            </w:r>
          </w:p>
        </w:tc>
        <w:tc>
          <w:tcPr>
            <w:tcW w:w="52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w:t>
            </w:r>
          </w:p>
        </w:tc>
      </w:tr>
      <w:tr>
        <w:trPr>
          <w:trHeight w:val="203"/>
        </w:trPr>
        <w:tc>
          <w:tcPr>
            <w:tcW w:w="5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(36.4)</w:t>
            </w:r>
          </w:p>
        </w:tc>
        <w:tc>
          <w:tcPr>
            <w:tcW w:w="5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w:t>
            </w:r>
          </w:p>
        </w:tc>
      </w:tr>
      <w:tr>
        <w:trPr>
          <w:trHeight w:val="203"/>
        </w:trPr>
        <w:tc>
          <w:tcPr>
            <w:tcW w:w="5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in accounts payable and accrued</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expenses, net of plant and equipment</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40" w:type="dxa"/>
            <w:vAlign w:val="bottom"/>
          </w:tcPr>
          <w:p>
            <w:pPr>
              <w:jc w:val="right"/>
              <w:ind w:right="3852"/>
              <w:spacing w:after="0" w:line="203" w:lineRule="exact"/>
              <w:rPr>
                <w:sz w:val="20"/>
                <w:szCs w:val="20"/>
                <w:color w:val="auto"/>
              </w:rPr>
            </w:pPr>
            <w:r>
              <w:rPr>
                <w:rFonts w:ascii="Courier New" w:cs="Courier New" w:eastAsia="Courier New" w:hAnsi="Courier New"/>
                <w:sz w:val="18"/>
                <w:szCs w:val="18"/>
                <w:color w:val="auto"/>
              </w:rPr>
              <w:t>purchases</w:t>
            </w:r>
          </w:p>
        </w:tc>
        <w:tc>
          <w:tcPr>
            <w:tcW w:w="2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65.8</w:t>
            </w:r>
          </w:p>
        </w:tc>
        <w:tc>
          <w:tcPr>
            <w:tcW w:w="52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59.1</w:t>
            </w: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(29.4)</w:t>
            </w:r>
          </w:p>
        </w:tc>
        <w:tc>
          <w:tcPr>
            <w:tcW w:w="5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w:t>
            </w:r>
          </w:p>
        </w:tc>
      </w:tr>
      <w:tr>
        <w:trPr>
          <w:trHeight w:val="203"/>
        </w:trPr>
        <w:tc>
          <w:tcPr>
            <w:tcW w:w="564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2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255.6</w:t>
            </w:r>
          </w:p>
        </w:tc>
        <w:tc>
          <w:tcPr>
            <w:tcW w:w="52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182.1</w:t>
            </w:r>
          </w:p>
        </w:tc>
      </w:tr>
      <w:tr>
        <w:trPr>
          <w:trHeight w:val="203"/>
        </w:trPr>
        <w:tc>
          <w:tcPr>
            <w:tcW w:w="564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Expenditures for property, plant and equipment</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(117.5)</w:t>
            </w:r>
          </w:p>
        </w:tc>
        <w:tc>
          <w:tcPr>
            <w:tcW w:w="5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(187.9)</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of available-for-sale and held-to-maturity</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securities</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(1,273.5)</w:t>
            </w:r>
          </w:p>
        </w:tc>
        <w:tc>
          <w:tcPr>
            <w:tcW w:w="5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(362.0)</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sales and maturities of securities</w:t>
            </w:r>
          </w:p>
        </w:tc>
        <w:tc>
          <w:tcPr>
            <w:tcW w:w="2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211.5</w:t>
            </w:r>
          </w:p>
        </w:tc>
        <w:tc>
          <w:tcPr>
            <w:tcW w:w="52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151.5</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w:t>
            </w:r>
          </w:p>
        </w:tc>
        <w:tc>
          <w:tcPr>
            <w:tcW w:w="5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564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(1,181.0)</w:t>
            </w:r>
          </w:p>
        </w:tc>
        <w:tc>
          <w:tcPr>
            <w:tcW w:w="5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(410.8)</w:t>
            </w:r>
          </w:p>
        </w:tc>
      </w:tr>
      <w:tr>
        <w:trPr>
          <w:trHeight w:val="203"/>
        </w:trPr>
        <w:tc>
          <w:tcPr>
            <w:tcW w:w="564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Cash received in conjunction with acquisition</w:t>
            </w:r>
          </w:p>
        </w:tc>
        <w:tc>
          <w:tcPr>
            <w:tcW w:w="260" w:type="dxa"/>
            <w:vAlign w:val="bottom"/>
          </w:tcPr>
          <w:p>
            <w:pPr>
              <w:spacing w:after="0"/>
              <w:rPr>
                <w:sz w:val="24"/>
                <w:szCs w:val="24"/>
                <w:color w:val="auto"/>
              </w:rPr>
            </w:pP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681.1</w:t>
            </w:r>
          </w:p>
        </w:tc>
        <w:tc>
          <w:tcPr>
            <w:tcW w:w="52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stock rights</w:t>
            </w:r>
          </w:p>
        </w:tc>
        <w:tc>
          <w:tcPr>
            <w:tcW w:w="2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500.0</w:t>
            </w:r>
          </w:p>
        </w:tc>
        <w:tc>
          <w:tcPr>
            <w:tcW w:w="52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debt</w:t>
            </w:r>
          </w:p>
        </w:tc>
        <w:tc>
          <w:tcPr>
            <w:tcW w:w="2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34.0</w:t>
            </w:r>
          </w:p>
        </w:tc>
        <w:tc>
          <w:tcPr>
            <w:tcW w:w="52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debt</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(28.3)</w:t>
            </w:r>
          </w:p>
        </w:tc>
        <w:tc>
          <w:tcPr>
            <w:tcW w:w="5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(49.7)</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issuance of common stock</w:t>
            </w:r>
          </w:p>
        </w:tc>
        <w:tc>
          <w:tcPr>
            <w:tcW w:w="2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19.1</w:t>
            </w:r>
          </w:p>
        </w:tc>
        <w:tc>
          <w:tcPr>
            <w:tcW w:w="52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Payments on equipment purchase contracts</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(73.9)</w:t>
            </w:r>
          </w:p>
        </w:tc>
        <w:tc>
          <w:tcPr>
            <w:tcW w:w="5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w:t>
            </w:r>
          </w:p>
        </w:tc>
        <w:tc>
          <w:tcPr>
            <w:tcW w:w="52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564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for) financing activities</w:t>
            </w:r>
          </w:p>
        </w:tc>
        <w:tc>
          <w:tcPr>
            <w:tcW w:w="2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1,134.3</w:t>
            </w:r>
          </w:p>
        </w:tc>
        <w:tc>
          <w:tcPr>
            <w:tcW w:w="5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(48.4)</w:t>
            </w:r>
          </w:p>
        </w:tc>
      </w:tr>
      <w:tr>
        <w:trPr>
          <w:trHeight w:val="203"/>
        </w:trPr>
        <w:tc>
          <w:tcPr>
            <w:tcW w:w="564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 and equivalents</w:t>
            </w:r>
          </w:p>
        </w:tc>
        <w:tc>
          <w:tcPr>
            <w:tcW w:w="260" w:type="dxa"/>
            <w:vAlign w:val="bottom"/>
          </w:tcPr>
          <w:p>
            <w:pPr>
              <w:spacing w:after="0"/>
              <w:rPr>
                <w:sz w:val="24"/>
                <w:szCs w:val="24"/>
                <w:color w:val="auto"/>
              </w:rPr>
            </w:pP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208.9</w:t>
            </w:r>
          </w:p>
        </w:tc>
        <w:tc>
          <w:tcPr>
            <w:tcW w:w="5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(277.1)</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 at beginning of period</w:t>
            </w:r>
          </w:p>
        </w:tc>
        <w:tc>
          <w:tcPr>
            <w:tcW w:w="2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558.8</w:t>
            </w:r>
          </w:p>
        </w:tc>
        <w:tc>
          <w:tcPr>
            <w:tcW w:w="52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619.5</w:t>
            </w:r>
          </w:p>
        </w:tc>
      </w:tr>
      <w:tr>
        <w:trPr>
          <w:trHeight w:val="203"/>
        </w:trPr>
        <w:tc>
          <w:tcPr>
            <w:tcW w:w="564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767.7</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342.4</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equivalents at end of period</w:t>
            </w: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SUPPLEMENTAL DISCLOSURES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paid</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refunded (paid), net</w:t>
            </w:r>
          </w:p>
        </w:tc>
        <w:tc>
          <w:tcPr>
            <w:tcW w:w="2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183.2</w:t>
            </w:r>
          </w:p>
        </w:tc>
        <w:tc>
          <w:tcPr>
            <w:tcW w:w="5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Noncash investing and financing activities: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Equipment acquisitions on contracts payable and</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40" w:type="dxa"/>
            <w:vAlign w:val="bottom"/>
          </w:tcPr>
          <w:p>
            <w:pPr>
              <w:jc w:val="right"/>
              <w:ind w:right="3852"/>
              <w:spacing w:after="0" w:line="203" w:lineRule="exact"/>
              <w:rPr>
                <w:sz w:val="20"/>
                <w:szCs w:val="20"/>
                <w:color w:val="auto"/>
              </w:rPr>
            </w:pPr>
            <w:r>
              <w:rPr>
                <w:rFonts w:ascii="Courier New" w:cs="Courier New" w:eastAsia="Courier New" w:hAnsi="Courier New"/>
                <w:sz w:val="18"/>
                <w:szCs w:val="18"/>
                <w:color w:val="auto"/>
              </w:rPr>
              <w:t>capital leases</w:t>
            </w:r>
          </w:p>
        </w:tc>
        <w:tc>
          <w:tcPr>
            <w:tcW w:w="2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18.3</w:t>
            </w:r>
          </w:p>
        </w:tc>
        <w:tc>
          <w:tcPr>
            <w:tcW w:w="52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24.6</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received in conjunction with acquisition:</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Fair value of assets acquired</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949.3</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Liabilities assumed</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(138.0)</w:t>
            </w:r>
          </w:p>
        </w:tc>
        <w:tc>
          <w:tcPr>
            <w:tcW w:w="52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Debt issued</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(836.0)</w:t>
            </w:r>
          </w:p>
        </w:tc>
        <w:tc>
          <w:tcPr>
            <w:tcW w:w="52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issued</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(656.4)</w:t>
            </w:r>
          </w:p>
        </w:tc>
        <w:tc>
          <w:tcPr>
            <w:tcW w:w="52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681.1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Certain fiscal 1998 amounts have been restated as a result of a pooling-of-interests merger.</w:t>
      </w: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362" w:gutter="0" w:footer="0" w:header="0"/>
        </w:sectPr>
      </w:pPr>
    </w:p>
    <w:bookmarkStart w:id="4" w:name="page5"/>
    <w:bookmarkEnd w:id="4"/>
    <w:p>
      <w:pPr>
        <w:ind w:left="1900"/>
        <w:spacing w:after="0"/>
        <w:rPr>
          <w:sz w:val="20"/>
          <w:szCs w:val="20"/>
          <w:color w:val="auto"/>
        </w:rPr>
      </w:pPr>
      <w:r>
        <w:rPr>
          <w:rFonts w:ascii="Courier New" w:cs="Courier New" w:eastAsia="Courier New" w:hAnsi="Courier New"/>
          <w:sz w:val="18"/>
          <w:szCs w:val="18"/>
          <w:color w:val="auto"/>
        </w:rPr>
        <w:t>Notes to Consolidated Financial Statements</w:t>
      </w:r>
    </w:p>
    <w:p>
      <w:pPr>
        <w:ind w:left="1480"/>
        <w:spacing w:after="0" w:line="238" w:lineRule="auto"/>
        <w:rPr>
          <w:sz w:val="20"/>
          <w:szCs w:val="20"/>
          <w:color w:val="auto"/>
        </w:rPr>
      </w:pPr>
      <w:r>
        <w:rPr>
          <w:rFonts w:ascii="Courier New" w:cs="Courier New" w:eastAsia="Courier New" w:hAnsi="Courier New"/>
          <w:sz w:val="18"/>
          <w:szCs w:val="18"/>
          <w:color w:val="auto"/>
        </w:rPr>
        <w:t>(All tabular dollar amounts are stated in millions)</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Unaudited interim financial statements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or "MTI"), and their consolidated results of operations and cash flows. The Company has restated its prior period financial statements, as a result of the merger with Rendition, Inc. ("Rendition") which was accounted for as a pooling-of-interests.</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unaudited interim financial statements for the quarter ended December 3, 1998, should be read in conjunction with the consolidated financial statements and accompanying notes included in the Company's Form 10-K for the year ended September 3, 1998.</w:t>
      </w:r>
    </w:p>
    <w:p>
      <w:pPr>
        <w:sectPr>
          <w:pgSz w:w="11900" w:h="16838" w:orient="portrait"/>
          <w:cols w:equalWidth="0" w:num="1">
            <w:col w:w="10219"/>
          </w:cols>
          <w:pgMar w:left="240" w:top="717" w:right="1440" w:bottom="767"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Supplemental balance sheet information</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December 3,</w:t>
      </w:r>
      <w:r>
        <w:rPr>
          <w:sz w:val="20"/>
          <w:szCs w:val="20"/>
          <w:color w:val="auto"/>
        </w:rPr>
        <w:tab/>
      </w:r>
      <w:r>
        <w:rPr>
          <w:rFonts w:ascii="Courier New" w:cs="Courier New" w:eastAsia="Courier New" w:hAnsi="Courier New"/>
          <w:sz w:val="16"/>
          <w:szCs w:val="16"/>
          <w:color w:val="auto"/>
        </w:rPr>
        <w:t>September 3,</w:t>
      </w:r>
    </w:p>
    <w:p>
      <w:pPr>
        <w:ind w:left="320"/>
        <w:spacing w:after="0" w:line="238" w:lineRule="auto"/>
        <w:tabs>
          <w:tab w:leader="none" w:pos="178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1998</w:t>
      </w:r>
    </w:p>
    <w:p>
      <w:pPr>
        <w:spacing w:after="0" w:line="5" w:lineRule="exact"/>
        <w:rPr>
          <w:sz w:val="20"/>
          <w:szCs w:val="20"/>
          <w:color w:val="auto"/>
        </w:rPr>
      </w:pPr>
    </w:p>
    <w:p>
      <w:pPr>
        <w:sectPr>
          <w:pgSz w:w="11900" w:h="16838" w:orient="portrait"/>
          <w:cols w:equalWidth="0" w:num="2">
            <w:col w:w="5080" w:space="720"/>
            <w:col w:w="4419"/>
          </w:cols>
          <w:pgMar w:left="240" w:top="717" w:right="1440" w:bottom="767"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Receivables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680" w:type="dxa"/>
            <w:vAlign w:val="bottom"/>
          </w:tcPr>
          <w:p>
            <w:pPr>
              <w:spacing w:after="0"/>
              <w:rPr>
                <w:sz w:val="20"/>
                <w:szCs w:val="20"/>
                <w:color w:val="auto"/>
              </w:rPr>
            </w:pPr>
            <w:r>
              <w:rPr>
                <w:rFonts w:ascii="Courier New" w:cs="Courier New" w:eastAsia="Courier New" w:hAnsi="Courier New"/>
                <w:sz w:val="18"/>
                <w:szCs w:val="18"/>
                <w:color w:val="auto"/>
              </w:rPr>
              <w:t>Trade receivables</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404.2</w:t>
            </w:r>
          </w:p>
        </w:tc>
        <w:tc>
          <w:tcPr>
            <w:tcW w:w="4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294.4</w:t>
            </w:r>
          </w:p>
        </w:tc>
      </w:tr>
      <w:tr>
        <w:trPr>
          <w:trHeight w:val="203"/>
        </w:trPr>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receivable</w:t>
            </w:r>
          </w:p>
        </w:tc>
        <w:tc>
          <w:tcPr>
            <w:tcW w:w="12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46.5</w:t>
            </w:r>
          </w:p>
        </w:tc>
        <w:tc>
          <w:tcPr>
            <w:tcW w:w="4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191.9</w:t>
            </w:r>
          </w:p>
        </w:tc>
      </w:tr>
      <w:tr>
        <w:trPr>
          <w:trHeight w:val="203"/>
        </w:trPr>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rPr>
              <w:t>Allowance for returns and discounts</w:t>
            </w:r>
          </w:p>
        </w:tc>
        <w:tc>
          <w:tcPr>
            <w:tcW w:w="12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(15.3)</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w:t>
            </w:r>
          </w:p>
        </w:tc>
      </w:tr>
      <w:tr>
        <w:trPr>
          <w:trHeight w:val="203"/>
        </w:trPr>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rPr>
              <w:t>Allowance for doubtful accounts</w:t>
            </w:r>
          </w:p>
        </w:tc>
        <w:tc>
          <w:tcPr>
            <w:tcW w:w="12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receivables</w:t>
            </w:r>
          </w:p>
        </w:tc>
        <w:tc>
          <w:tcPr>
            <w:tcW w:w="12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52.3</w:t>
            </w:r>
          </w:p>
        </w:tc>
        <w:tc>
          <w:tcPr>
            <w:tcW w:w="4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w:t>
            </w:r>
          </w:p>
        </w:tc>
      </w:tr>
      <w:tr>
        <w:trPr>
          <w:trHeight w:val="203"/>
        </w:trPr>
        <w:tc>
          <w:tcPr>
            <w:tcW w:w="4680" w:type="dxa"/>
            <w:vAlign w:val="bottom"/>
          </w:tcPr>
          <w:p>
            <w:pPr>
              <w:spacing w:after="0"/>
              <w:rPr>
                <w:sz w:val="17"/>
                <w:szCs w:val="17"/>
                <w:color w:val="auto"/>
              </w:rPr>
            </w:pPr>
          </w:p>
        </w:tc>
        <w:tc>
          <w:tcPr>
            <w:tcW w:w="22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80" w:type="dxa"/>
            <w:vAlign w:val="bottom"/>
          </w:tcPr>
          <w:p>
            <w:pPr>
              <w:spacing w:after="0"/>
              <w:rPr>
                <w:sz w:val="17"/>
                <w:szCs w:val="17"/>
                <w:color w:val="auto"/>
              </w:rPr>
            </w:pP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481.6</w:t>
            </w:r>
          </w:p>
        </w:tc>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489.5</w:t>
            </w:r>
          </w:p>
        </w:tc>
      </w:tr>
      <w:tr>
        <w:trPr>
          <w:trHeight w:val="203"/>
        </w:trPr>
        <w:tc>
          <w:tcPr>
            <w:tcW w:w="4680" w:type="dxa"/>
            <w:vAlign w:val="bottom"/>
          </w:tcPr>
          <w:p>
            <w:pPr>
              <w:spacing w:after="0"/>
              <w:rPr>
                <w:sz w:val="17"/>
                <w:szCs w:val="17"/>
                <w:color w:val="auto"/>
              </w:rPr>
            </w:pPr>
          </w:p>
        </w:tc>
        <w:tc>
          <w:tcPr>
            <w:tcW w:w="22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121.9</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93.3</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progress</w:t>
            </w:r>
          </w:p>
        </w:tc>
        <w:tc>
          <w:tcPr>
            <w:tcW w:w="174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189.1</w:t>
            </w:r>
          </w:p>
        </w:tc>
        <w:tc>
          <w:tcPr>
            <w:tcW w:w="5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139.6</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 and supplies</w:t>
            </w:r>
          </w:p>
        </w:tc>
        <w:tc>
          <w:tcPr>
            <w:tcW w:w="174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49.4</w:t>
            </w:r>
          </w:p>
        </w:tc>
        <w:tc>
          <w:tcPr>
            <w:tcW w:w="5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58.7</w:t>
            </w:r>
          </w:p>
        </w:tc>
      </w:tr>
      <w:tr>
        <w:trPr>
          <w:trHeight w:val="203"/>
        </w:trPr>
        <w:tc>
          <w:tcPr>
            <w:tcW w:w="4220" w:type="dxa"/>
            <w:vAlign w:val="bottom"/>
          </w:tcPr>
          <w:p>
            <w:pPr>
              <w:spacing w:after="0"/>
              <w:rPr>
                <w:sz w:val="17"/>
                <w:szCs w:val="17"/>
                <w:color w:val="auto"/>
              </w:rPr>
            </w:pPr>
          </w:p>
        </w:tc>
        <w:tc>
          <w:tcPr>
            <w:tcW w:w="2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360.4</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291.6</w:t>
            </w:r>
          </w:p>
        </w:tc>
      </w:tr>
      <w:tr>
        <w:trPr>
          <w:trHeight w:val="203"/>
        </w:trPr>
        <w:tc>
          <w:tcPr>
            <w:tcW w:w="4220" w:type="dxa"/>
            <w:vAlign w:val="bottom"/>
          </w:tcPr>
          <w:p>
            <w:pPr>
              <w:spacing w:after="0"/>
              <w:rPr>
                <w:sz w:val="17"/>
                <w:szCs w:val="17"/>
                <w:color w:val="auto"/>
              </w:rPr>
            </w:pPr>
          </w:p>
        </w:tc>
        <w:tc>
          <w:tcPr>
            <w:tcW w:w="2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and process technology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900" w:type="dxa"/>
            <w:vAlign w:val="bottom"/>
          </w:tcPr>
          <w:p>
            <w:pPr>
              <w:spacing w:after="0"/>
              <w:rPr>
                <w:sz w:val="20"/>
                <w:szCs w:val="20"/>
                <w:color w:val="auto"/>
              </w:rPr>
            </w:pPr>
            <w:r>
              <w:rPr>
                <w:rFonts w:ascii="Courier New" w:cs="Courier New" w:eastAsia="Courier New" w:hAnsi="Courier New"/>
                <w:sz w:val="18"/>
                <w:szCs w:val="18"/>
                <w:color w:val="auto"/>
              </w:rPr>
              <w:t>Product and process technology, at cost</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304.5</w:t>
            </w:r>
          </w:p>
        </w:tc>
        <w:tc>
          <w:tcPr>
            <w:tcW w:w="4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161.7</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amortization</w:t>
            </w:r>
          </w:p>
        </w:tc>
        <w:tc>
          <w:tcPr>
            <w:tcW w:w="10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(84.9)</w:t>
            </w:r>
          </w:p>
        </w:tc>
        <w:tc>
          <w:tcPr>
            <w:tcW w:w="4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(76.8)</w:t>
            </w:r>
          </w:p>
        </w:tc>
      </w:tr>
      <w:tr>
        <w:trPr>
          <w:trHeight w:val="203"/>
        </w:trPr>
        <w:tc>
          <w:tcPr>
            <w:tcW w:w="4900" w:type="dxa"/>
            <w:vAlign w:val="bottom"/>
          </w:tcPr>
          <w:p>
            <w:pPr>
              <w:spacing w:after="0"/>
              <w:rPr>
                <w:sz w:val="17"/>
                <w:szCs w:val="17"/>
                <w:color w:val="auto"/>
              </w:rPr>
            </w:pPr>
          </w:p>
        </w:tc>
        <w:tc>
          <w:tcPr>
            <w:tcW w:w="2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219.6</w:t>
            </w:r>
          </w:p>
        </w:tc>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84.9</w:t>
            </w:r>
          </w:p>
        </w:tc>
      </w:tr>
      <w:tr>
        <w:trPr>
          <w:trHeight w:val="203"/>
        </w:trPr>
        <w:tc>
          <w:tcPr>
            <w:tcW w:w="4900" w:type="dxa"/>
            <w:vAlign w:val="bottom"/>
          </w:tcPr>
          <w:p>
            <w:pPr>
              <w:spacing w:after="0"/>
              <w:rPr>
                <w:sz w:val="17"/>
                <w:szCs w:val="17"/>
                <w:color w:val="auto"/>
              </w:rPr>
            </w:pPr>
          </w:p>
        </w:tc>
        <w:tc>
          <w:tcPr>
            <w:tcW w:w="2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plant and equipment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5260" w:type="dxa"/>
            <w:vAlign w:val="bottom"/>
          </w:tcPr>
          <w:p>
            <w:pPr>
              <w:spacing w:after="0"/>
              <w:rPr>
                <w:sz w:val="20"/>
                <w:szCs w:val="20"/>
                <w:color w:val="auto"/>
              </w:rPr>
            </w:pPr>
            <w:r>
              <w:rPr>
                <w:rFonts w:ascii="Courier New" w:cs="Courier New" w:eastAsia="Courier New" w:hAnsi="Courier New"/>
                <w:sz w:val="18"/>
                <w:szCs w:val="18"/>
                <w:color w:val="auto"/>
              </w:rPr>
              <w:t>Land</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42.4</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34.8</w:t>
            </w:r>
          </w:p>
        </w:tc>
      </w:tr>
      <w:tr>
        <w:trPr>
          <w:trHeight w:val="203"/>
        </w:trPr>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5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1,111.2</w:t>
            </w:r>
          </w:p>
        </w:tc>
        <w:tc>
          <w:tcPr>
            <w:tcW w:w="3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915.5</w:t>
            </w:r>
          </w:p>
        </w:tc>
      </w:tr>
      <w:tr>
        <w:trPr>
          <w:trHeight w:val="203"/>
        </w:trPr>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w:t>
            </w:r>
          </w:p>
        </w:tc>
        <w:tc>
          <w:tcPr>
            <w:tcW w:w="5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3,529.2</w:t>
            </w:r>
          </w:p>
        </w:tc>
        <w:tc>
          <w:tcPr>
            <w:tcW w:w="3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3,025.7</w:t>
            </w:r>
          </w:p>
        </w:tc>
      </w:tr>
      <w:tr>
        <w:trPr>
          <w:trHeight w:val="203"/>
        </w:trPr>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5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722.1</w:t>
            </w:r>
          </w:p>
        </w:tc>
        <w:tc>
          <w:tcPr>
            <w:tcW w:w="3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704.6</w:t>
            </w:r>
          </w:p>
        </w:tc>
      </w:tr>
      <w:tr>
        <w:trPr>
          <w:trHeight w:val="203"/>
        </w:trPr>
        <w:tc>
          <w:tcPr>
            <w:tcW w:w="526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5,404.9</w:t>
            </w:r>
          </w:p>
        </w:tc>
        <w:tc>
          <w:tcPr>
            <w:tcW w:w="3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4,680.6</w:t>
            </w:r>
          </w:p>
        </w:tc>
      </w:tr>
      <w:tr>
        <w:trPr>
          <w:trHeight w:val="203"/>
        </w:trPr>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5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(1,802.6)</w:t>
            </w:r>
          </w:p>
        </w:tc>
        <w:tc>
          <w:tcPr>
            <w:tcW w:w="3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(1,645.3)</w:t>
            </w:r>
          </w:p>
        </w:tc>
      </w:tr>
      <w:tr>
        <w:trPr>
          <w:trHeight w:val="203"/>
        </w:trPr>
        <w:tc>
          <w:tcPr>
            <w:tcW w:w="526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6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$ 3,602.3</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$ 3,035.3</w:t>
            </w:r>
          </w:p>
        </w:tc>
      </w:tr>
      <w:tr>
        <w:trPr>
          <w:trHeight w:val="203"/>
        </w:trPr>
        <w:tc>
          <w:tcPr>
            <w:tcW w:w="5260" w:type="dxa"/>
            <w:vAlign w:val="bottom"/>
          </w:tcPr>
          <w:p>
            <w:pPr>
              <w:spacing w:after="0"/>
              <w:rPr>
                <w:sz w:val="17"/>
                <w:szCs w:val="17"/>
                <w:color w:val="auto"/>
              </w:rPr>
            </w:pP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right="2199" w:firstLine="211"/>
        <w:spacing w:after="0" w:line="236" w:lineRule="auto"/>
        <w:rPr>
          <w:sz w:val="20"/>
          <w:szCs w:val="20"/>
          <w:color w:val="auto"/>
        </w:rPr>
      </w:pPr>
      <w:r>
        <w:rPr>
          <w:rFonts w:ascii="Courier New" w:cs="Courier New" w:eastAsia="Courier New" w:hAnsi="Courier New"/>
          <w:sz w:val="18"/>
          <w:szCs w:val="18"/>
          <w:color w:val="auto"/>
        </w:rPr>
        <w:t>As of December 3, 1998, property, plant and equipment included unamortized costs of $706.7 million for the Company's semiconductor memory manufacturing facility in Lehi, Utah, of which $646.0 million has not been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767"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placed in service and is not being depreciated. Timing of the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The Company continues to evaluate the carrying value of the facility and as of December 3, 1998, it was determined to have no impairment.</w:t>
      </w:r>
    </w:p>
    <w:p>
      <w:pPr>
        <w:spacing w:after="0" w:line="211"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Depreciation expense was $181.1 million and $129.5 million for the first quarter of 1999 and 1998, respectively.</w:t>
      </w:r>
    </w:p>
    <w:p>
      <w:pPr>
        <w:spacing w:after="0" w:line="203" w:lineRule="exact"/>
        <w:rPr>
          <w:sz w:val="20"/>
          <w:szCs w:val="20"/>
          <w:color w:val="auto"/>
        </w:rPr>
      </w:pPr>
    </w:p>
    <w:p>
      <w:pPr>
        <w:ind w:left="5800"/>
        <w:spacing w:after="0"/>
        <w:tabs>
          <w:tab w:leader="none" w:pos="7160" w:val="left"/>
        </w:tabs>
        <w:rPr>
          <w:sz w:val="20"/>
          <w:szCs w:val="20"/>
          <w:color w:val="auto"/>
        </w:rPr>
      </w:pPr>
      <w:r>
        <w:rPr>
          <w:rFonts w:ascii="Courier New" w:cs="Courier New" w:eastAsia="Courier New" w:hAnsi="Courier New"/>
          <w:sz w:val="18"/>
          <w:szCs w:val="18"/>
          <w:color w:val="auto"/>
        </w:rPr>
        <w:t>December 3,</w:t>
      </w:r>
      <w:r>
        <w:rPr>
          <w:sz w:val="20"/>
          <w:szCs w:val="20"/>
          <w:color w:val="auto"/>
        </w:rPr>
        <w:tab/>
      </w:r>
      <w:r>
        <w:rPr>
          <w:rFonts w:ascii="Courier New" w:cs="Courier New" w:eastAsia="Courier New" w:hAnsi="Courier New"/>
          <w:sz w:val="16"/>
          <w:szCs w:val="16"/>
          <w:color w:val="auto"/>
        </w:rPr>
        <w:t>September 3,</w:t>
      </w:r>
    </w:p>
    <w:p>
      <w:pPr>
        <w:ind w:left="6120"/>
        <w:spacing w:after="0" w:line="238" w:lineRule="auto"/>
        <w:tabs>
          <w:tab w:leader="none" w:pos="758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Accounts payable and accrued expenses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800" w:type="dxa"/>
            <w:vAlign w:val="bottom"/>
          </w:tcPr>
          <w:p>
            <w:pPr>
              <w:spacing w:after="0"/>
              <w:rPr>
                <w:sz w:val="20"/>
                <w:szCs w:val="20"/>
                <w:color w:val="auto"/>
              </w:rPr>
            </w:pPr>
            <w:r>
              <w:rPr>
                <w:rFonts w:ascii="Courier New" w:cs="Courier New" w:eastAsia="Courier New" w:hAnsi="Courier New"/>
                <w:sz w:val="18"/>
                <w:szCs w:val="18"/>
                <w:color w:val="auto"/>
              </w:rPr>
              <w:t>Accounts payable</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312.4</w:t>
            </w: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235.6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Salaries, wages and benefits</w:t>
            </w:r>
          </w:p>
        </w:tc>
        <w:tc>
          <w:tcPr>
            <w:tcW w:w="1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116.0</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and process technology payable</w:t>
            </w:r>
          </w:p>
        </w:tc>
        <w:tc>
          <w:tcPr>
            <w:tcW w:w="1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68.9</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46.4</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 payable other than income</w:t>
            </w:r>
          </w:p>
        </w:tc>
        <w:tc>
          <w:tcPr>
            <w:tcW w:w="1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49.2</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44.5</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w:t>
            </w:r>
          </w:p>
        </w:tc>
        <w:tc>
          <w:tcPr>
            <w:tcW w:w="1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24.3</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57.0</w:t>
            </w:r>
          </w:p>
        </w:tc>
        <w:tc>
          <w:tcPr>
            <w:tcW w:w="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w:t>
            </w:r>
          </w:p>
        </w:tc>
      </w:tr>
      <w:tr>
        <w:trPr>
          <w:trHeight w:val="203"/>
        </w:trPr>
        <w:tc>
          <w:tcPr>
            <w:tcW w:w="4800" w:type="dxa"/>
            <w:vAlign w:val="bottom"/>
          </w:tcPr>
          <w:p>
            <w:pPr>
              <w:spacing w:after="0"/>
              <w:rPr>
                <w:sz w:val="17"/>
                <w:szCs w:val="17"/>
                <w:color w:val="auto"/>
              </w:rPr>
            </w:pPr>
          </w:p>
        </w:tc>
        <w:tc>
          <w:tcPr>
            <w:tcW w:w="2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627.8</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460.7</w:t>
            </w:r>
          </w:p>
        </w:tc>
      </w:tr>
      <w:tr>
        <w:trPr>
          <w:trHeight w:val="203"/>
        </w:trPr>
        <w:tc>
          <w:tcPr>
            <w:tcW w:w="4800" w:type="dxa"/>
            <w:vAlign w:val="bottom"/>
          </w:tcPr>
          <w:p>
            <w:pPr>
              <w:spacing w:after="0"/>
              <w:rPr>
                <w:sz w:val="17"/>
                <w:szCs w:val="17"/>
                <w:color w:val="auto"/>
              </w:rPr>
            </w:pPr>
          </w:p>
        </w:tc>
        <w:tc>
          <w:tcPr>
            <w:tcW w:w="20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Debt</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Convertible Notes payable, due October 2005, with</w:t>
      </w:r>
    </w:p>
    <w:tbl>
      <w:tblPr>
        <w:tblLayout w:type="fixed"/>
        <w:tblInd w:w="220" w:type="dxa"/>
        <w:tblCellMar>
          <w:top w:w="0" w:type="dxa"/>
          <w:left w:w="0" w:type="dxa"/>
          <w:bottom w:w="0" w:type="dxa"/>
          <w:right w:w="0" w:type="dxa"/>
        </w:tblCellMar>
      </w:tblPr>
      <w:tr>
        <w:trPr>
          <w:trHeight w:val="203"/>
        </w:trPr>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 effective yield-to-maturity of 8.4%, net of</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unamortized discount of $70.8 million</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669.2</w:t>
            </w:r>
          </w:p>
        </w:tc>
        <w:tc>
          <w:tcPr>
            <w:tcW w:w="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Convertible Subordinated Notes payable, due July</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2004, interest rate of 7%</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Subordinated Notes payable, due October 2005, with</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 effective yield-to-maturity of 10.6%, net of</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unamortized discount of $41.4 million</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168.6</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Notes payable in periodic installments through July</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2015, weighted average interest rate of 7.39% and</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7.38%, respectively</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325.5</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315.2</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Capitalized lease obligations payable in monthly</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installments through August 2004, weighted average</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interest rate of 7.59% and 7.61%, respectively</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39.7</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42.2</w:t>
            </w:r>
          </w:p>
        </w:tc>
      </w:tr>
      <w:tr>
        <w:trPr>
          <w:trHeight w:val="203"/>
        </w:trPr>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1,701.0</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857.4</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current portion</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(103.4)</w:t>
            </w:r>
          </w:p>
        </w:tc>
        <w:tc>
          <w:tcPr>
            <w:tcW w:w="4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(98.6)</w:t>
            </w:r>
          </w:p>
        </w:tc>
      </w:tr>
      <w:tr>
        <w:trPr>
          <w:trHeight w:val="203"/>
        </w:trPr>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$ 1,597.6</w:t>
            </w:r>
          </w:p>
        </w:tc>
        <w:tc>
          <w:tcPr>
            <w:tcW w:w="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758.8</w:t>
            </w:r>
          </w:p>
        </w:tc>
      </w:tr>
      <w:tr>
        <w:trPr>
          <w:trHeight w:val="203"/>
        </w:trPr>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convertible notes due October 2005 (the "Convertible Notes") with a</w:t>
      </w:r>
    </w:p>
    <w:p>
      <w:pPr>
        <w:spacing w:after="0" w:line="238" w:lineRule="auto"/>
        <w:rPr>
          <w:sz w:val="20"/>
          <w:szCs w:val="20"/>
          <w:color w:val="auto"/>
        </w:rPr>
      </w:pPr>
      <w:r>
        <w:rPr>
          <w:rFonts w:ascii="Courier New" w:cs="Courier New" w:eastAsia="Courier New" w:hAnsi="Courier New"/>
          <w:sz w:val="18"/>
          <w:szCs w:val="18"/>
          <w:color w:val="auto"/>
        </w:rPr>
        <w:t>yield-to-maturity of 8.4% have a face value of $740 million, a stated interest</w:t>
      </w:r>
    </w:p>
    <w:p>
      <w:pPr>
        <w:spacing w:after="0"/>
        <w:rPr>
          <w:sz w:val="20"/>
          <w:szCs w:val="20"/>
          <w:color w:val="auto"/>
        </w:rPr>
      </w:pPr>
      <w:r>
        <w:rPr>
          <w:rFonts w:ascii="Courier New" w:cs="Courier New" w:eastAsia="Courier New" w:hAnsi="Courier New"/>
          <w:sz w:val="18"/>
          <w:szCs w:val="18"/>
          <w:color w:val="auto"/>
        </w:rPr>
        <w:t>rate of 6.5% and are convertible into shares of the Company's common stock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 per share. The notes are not subject to redemption prior to October 2000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 redeemable from that date through October 2002 only if the common stock</w:t>
      </w:r>
    </w:p>
    <w:p>
      <w:pPr>
        <w:spacing w:after="0" w:line="238" w:lineRule="auto"/>
        <w:rPr>
          <w:sz w:val="20"/>
          <w:szCs w:val="20"/>
          <w:color w:val="auto"/>
        </w:rPr>
      </w:pPr>
      <w:r>
        <w:rPr>
          <w:rFonts w:ascii="Courier New" w:cs="Courier New" w:eastAsia="Courier New" w:hAnsi="Courier New"/>
          <w:sz w:val="18"/>
          <w:szCs w:val="18"/>
          <w:color w:val="auto"/>
        </w:rPr>
        <w:t>price is at least $78.00 for a specified trading period. The Convertible Notes</w:t>
      </w:r>
    </w:p>
    <w:p>
      <w:pPr>
        <w:spacing w:after="0"/>
        <w:rPr>
          <w:sz w:val="20"/>
          <w:szCs w:val="20"/>
          <w:color w:val="auto"/>
        </w:rPr>
      </w:pPr>
      <w:r>
        <w:rPr>
          <w:rFonts w:ascii="Courier New" w:cs="Courier New" w:eastAsia="Courier New" w:hAnsi="Courier New"/>
          <w:sz w:val="18"/>
          <w:szCs w:val="18"/>
          <w:color w:val="auto"/>
        </w:rPr>
        <w:t>have not been registered with the Securities and Exchange Commission, however</w:t>
      </w:r>
    </w:p>
    <w:p>
      <w:pPr>
        <w:spacing w:after="0" w:line="237" w:lineRule="auto"/>
        <w:rPr>
          <w:sz w:val="20"/>
          <w:szCs w:val="20"/>
          <w:color w:val="auto"/>
        </w:rPr>
      </w:pPr>
      <w:r>
        <w:rPr>
          <w:rFonts w:ascii="Courier New" w:cs="Courier New" w:eastAsia="Courier New" w:hAnsi="Courier New"/>
          <w:sz w:val="18"/>
          <w:szCs w:val="18"/>
          <w:color w:val="auto"/>
        </w:rPr>
        <w:t>the holder has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registration rights which begin April 1999. (See "Acquisition"). The subordinated notes due October 2005 with a yield-to-maturity of 10.6% have a face value of $210 million and a stated interest rate of 6.5%.</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7% convertible subordinated notes due July 2004 are convertible into shares of the Company's common stock at $67.44 per share. The notes are not subject to redemption prior to July 1999 and are redeemable from that date through July 2001 only if the common stock price is at least $87.67 for a specified trading period. The notes were offered under a $1 billion shelf registration statement pursuant to which the Company may issue from time to time up to $500 million of additional debt or equity securities.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a $400 million revolving credit agreement which expires May 2000. The interest rate on borrowed funds is based on various pricing options at the time of borrowing. The agreement contains certain restrictive covenants pertaining to the Company's semiconductor operations, including a maximum debt to equity covenant. As of December 3, 1998, MTI had no borrowings outstanding under the agreement.</w:t>
      </w:r>
    </w:p>
    <w:p>
      <w:pPr>
        <w:spacing w:after="0" w:line="210"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Micron Electronics, Inc., an approximately 63% owned subsidiary of the Company ("MEI"), has a $100 million unsecured credit facility expiring in June 2001 and an additional unsecured revolving credit facility expiring in June 1999 providing for borrowings of up to 1.5 billion Japanese yen (US $12.6 million at December 3, 1998). Under the credit facilities, MEI is subject to certain financial and other covenants including certain financial ratios and limitations on the amount of dividends paid by MEI. As of December 3, 1998, MEI was eligible to borrow the full amount under its credit agreements and had aggregate borrowings of approximately $9.3 million outstanding under its credit agreements.</w:t>
      </w:r>
    </w:p>
    <w:p>
      <w:pPr>
        <w:spacing w:after="0" w:line="209"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effective tax rate approximated 40% for the first quarter of 1999 and 1998. The effective tax rate primarily reflects the statutory corporate income tax rate and the net effect of state taxation. Taxes on earnings of domestic subsidiaries not consolidated for tax purposes may cause the effective tax rate to vary significantly from period to period.</w:t>
      </w: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(loss) per share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Basic earnings per share is calculated using the average number of common shares outstanding. Diluted earnings per share is computed on the basis of the average number of common shares outstanding plus the effect of outstanding stock options using the "treasury stock method" and convertible debentures using the "if-converted" method.</w:t>
      </w:r>
    </w:p>
    <w:p>
      <w:pPr>
        <w:ind w:left="5700"/>
        <w:spacing w:after="0"/>
        <w:tabs>
          <w:tab w:leader="none" w:pos="7160" w:val="left"/>
        </w:tabs>
        <w:rPr>
          <w:sz w:val="20"/>
          <w:szCs w:val="20"/>
          <w:color w:val="auto"/>
        </w:rPr>
      </w:pPr>
      <w:r>
        <w:rPr>
          <w:rFonts w:ascii="Courier New" w:cs="Courier New" w:eastAsia="Courier New" w:hAnsi="Courier New"/>
          <w:sz w:val="18"/>
          <w:szCs w:val="18"/>
          <w:color w:val="auto"/>
        </w:rPr>
        <w:t>December 3,</w:t>
      </w:r>
      <w:r>
        <w:rPr>
          <w:sz w:val="20"/>
          <w:szCs w:val="20"/>
          <w:color w:val="auto"/>
        </w:rPr>
        <w:tab/>
      </w:r>
      <w:r>
        <w:rPr>
          <w:rFonts w:ascii="Courier New" w:cs="Courier New" w:eastAsia="Courier New" w:hAnsi="Courier New"/>
          <w:sz w:val="16"/>
          <w:szCs w:val="16"/>
          <w:color w:val="auto"/>
        </w:rPr>
        <w:t>November 27,</w:t>
      </w:r>
    </w:p>
    <w:p>
      <w:pPr>
        <w:spacing w:after="0"/>
        <w:tabs>
          <w:tab w:leader="none" w:pos="6000" w:val="left"/>
          <w:tab w:leader="none" w:pos="7460" w:val="left"/>
        </w:tabs>
        <w:rPr>
          <w:sz w:val="20"/>
          <w:szCs w:val="20"/>
          <w:color w:val="auto"/>
        </w:rPr>
      </w:pPr>
      <w:r>
        <w:rPr>
          <w:rFonts w:ascii="Courier New" w:cs="Courier New" w:eastAsia="Courier New" w:hAnsi="Courier New"/>
          <w:sz w:val="18"/>
          <w:szCs w:val="18"/>
          <w:color w:val="auto"/>
        </w:rPr>
        <w:t>For the quarter ended</w:t>
      </w:r>
      <w:r>
        <w:rPr>
          <w:sz w:val="20"/>
          <w:szCs w:val="20"/>
          <w:color w:val="auto"/>
        </w:rPr>
        <w:tab/>
      </w: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6"/>
          <w:szCs w:val="16"/>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20"/>
                <w:szCs w:val="20"/>
                <w:color w:val="auto"/>
              </w:rPr>
            </w:pPr>
            <w:r>
              <w:rPr>
                <w:rFonts w:ascii="Courier New" w:cs="Courier New" w:eastAsia="Courier New" w:hAnsi="Courier New"/>
                <w:sz w:val="18"/>
                <w:szCs w:val="18"/>
                <w:color w:val="auto"/>
              </w:rPr>
              <w:t>Net income (loss) available for common</w:t>
            </w: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shareholders, Basic and Diluted</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(46.2)</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5480" w:type="dxa"/>
            <w:vAlign w:val="bottom"/>
          </w:tcPr>
          <w:p>
            <w:pPr>
              <w:spacing w:after="0"/>
              <w:rPr>
                <w:sz w:val="17"/>
                <w:szCs w:val="17"/>
                <w:color w:val="auto"/>
              </w:rPr>
            </w:pP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Weighted average common stock outstanding -- Basic</w:t>
            </w:r>
          </w:p>
        </w:tc>
        <w:tc>
          <w:tcPr>
            <w:tcW w:w="480" w:type="dxa"/>
            <w:vAlign w:val="bottom"/>
          </w:tcPr>
          <w:p>
            <w:pPr>
              <w:spacing w:after="0"/>
              <w:rPr>
                <w:sz w:val="24"/>
                <w:szCs w:val="24"/>
                <w:color w:val="auto"/>
              </w:rPr>
            </w:pP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245.7</w:t>
            </w:r>
          </w:p>
        </w:tc>
        <w:tc>
          <w:tcPr>
            <w:tcW w:w="5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214.7</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effect of dilutive stock options</w:t>
            </w:r>
          </w:p>
        </w:tc>
        <w:tc>
          <w:tcPr>
            <w:tcW w:w="48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5480" w:type="dxa"/>
            <w:vAlign w:val="bottom"/>
          </w:tcPr>
          <w:p>
            <w:pPr>
              <w:spacing w:after="0"/>
              <w:rPr>
                <w:sz w:val="17"/>
                <w:szCs w:val="17"/>
                <w:color w:val="auto"/>
              </w:rPr>
            </w:pP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 stock and common</w:t>
            </w: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stock equivalents -- Diluted</w:t>
            </w:r>
          </w:p>
        </w:tc>
        <w:tc>
          <w:tcPr>
            <w:tcW w:w="480" w:type="dxa"/>
            <w:vAlign w:val="bottom"/>
          </w:tcPr>
          <w:p>
            <w:pPr>
              <w:spacing w:after="0"/>
              <w:rPr>
                <w:sz w:val="17"/>
                <w:szCs w:val="17"/>
                <w:color w:val="auto"/>
              </w:rPr>
            </w:pP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245.7</w:t>
            </w:r>
          </w:p>
        </w:tc>
        <w:tc>
          <w:tcPr>
            <w:tcW w:w="5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217.8</w:t>
            </w:r>
          </w:p>
        </w:tc>
      </w:tr>
      <w:tr>
        <w:trPr>
          <w:trHeight w:val="203"/>
        </w:trPr>
        <w:tc>
          <w:tcPr>
            <w:tcW w:w="5480" w:type="dxa"/>
            <w:vAlign w:val="bottom"/>
          </w:tcPr>
          <w:p>
            <w:pPr>
              <w:spacing w:after="0"/>
              <w:rPr>
                <w:sz w:val="17"/>
                <w:szCs w:val="17"/>
                <w:color w:val="auto"/>
              </w:rPr>
            </w:pP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Basic earnings (loss) per share</w:t>
            </w:r>
          </w:p>
        </w:tc>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(0.19)</w:t>
            </w:r>
          </w:p>
        </w:tc>
        <w:tc>
          <w:tcPr>
            <w:tcW w:w="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0.03</w:t>
            </w:r>
          </w:p>
        </w:tc>
      </w:tr>
      <w:tr>
        <w:trPr>
          <w:trHeight w:val="203"/>
        </w:trPr>
        <w:tc>
          <w:tcPr>
            <w:tcW w:w="5480" w:type="dxa"/>
            <w:vAlign w:val="bottom"/>
          </w:tcPr>
          <w:p>
            <w:pPr>
              <w:spacing w:after="0"/>
              <w:rPr>
                <w:sz w:val="17"/>
                <w:szCs w:val="17"/>
                <w:color w:val="auto"/>
              </w:rPr>
            </w:pP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(loss) per share</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(0.19)</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5480" w:type="dxa"/>
            <w:vAlign w:val="bottom"/>
          </w:tcPr>
          <w:p>
            <w:pPr>
              <w:spacing w:after="0"/>
              <w:rPr>
                <w:sz w:val="17"/>
                <w:szCs w:val="17"/>
                <w:color w:val="auto"/>
              </w:rPr>
            </w:pP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80" w:type="dxa"/>
            <w:vAlign w:val="bottom"/>
          </w:tcPr>
          <w:p>
            <w:pPr>
              <w:ind w:left="4120"/>
              <w:spacing w:after="0"/>
              <w:rPr>
                <w:sz w:val="20"/>
                <w:szCs w:val="20"/>
                <w:color w:val="auto"/>
              </w:rPr>
            </w:pPr>
            <w:r>
              <w:rPr>
                <w:rFonts w:ascii="Courier New" w:cs="Courier New" w:eastAsia="Courier New" w:hAnsi="Courier New"/>
                <w:sz w:val="18"/>
                <w:szCs w:val="18"/>
                <w:color w:val="auto"/>
              </w:rPr>
              <w:t>6</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Earnings per share computations exclude stock options and potential shares for convertible debentures to the extent that their effect would have been antidilutive.</w:t>
      </w:r>
    </w:p>
    <w:p>
      <w:pPr>
        <w:spacing w:after="0" w:line="203"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 Income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adopted Statement of Financial Accounting Standards ("SFAS") No. 130, "Reporting Comprehensive Income," as of the first quarter of 1999. SFAS No. 130 establishes new rules for the reporting and display of comprehensive income and its components, however it has no impact on the Company's net income or shareholders' equity.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components of comprehensive income are as follows:</w:t>
      </w:r>
    </w:p>
    <w:p>
      <w:pPr>
        <w:spacing w:after="0" w:line="201" w:lineRule="exact"/>
        <w:rPr>
          <w:sz w:val="20"/>
          <w:szCs w:val="20"/>
          <w:color w:val="auto"/>
        </w:rPr>
      </w:pPr>
    </w:p>
    <w:p>
      <w:pPr>
        <w:ind w:left="5600"/>
        <w:spacing w:after="0"/>
        <w:tabs>
          <w:tab w:leader="none" w:pos="7160" w:val="left"/>
        </w:tabs>
        <w:rPr>
          <w:sz w:val="20"/>
          <w:szCs w:val="20"/>
          <w:color w:val="auto"/>
        </w:rPr>
      </w:pPr>
      <w:r>
        <w:rPr>
          <w:rFonts w:ascii="Courier New" w:cs="Courier New" w:eastAsia="Courier New" w:hAnsi="Courier New"/>
          <w:sz w:val="18"/>
          <w:szCs w:val="18"/>
          <w:color w:val="auto"/>
        </w:rPr>
        <w:t>December 3,</w:t>
      </w:r>
      <w:r>
        <w:rPr>
          <w:sz w:val="20"/>
          <w:szCs w:val="20"/>
          <w:color w:val="auto"/>
        </w:rPr>
        <w:tab/>
      </w:r>
      <w:r>
        <w:rPr>
          <w:rFonts w:ascii="Courier New" w:cs="Courier New" w:eastAsia="Courier New" w:hAnsi="Courier New"/>
          <w:sz w:val="16"/>
          <w:szCs w:val="16"/>
          <w:color w:val="auto"/>
        </w:rPr>
        <w:t>November 27,</w:t>
      </w:r>
    </w:p>
    <w:p>
      <w:pPr>
        <w:spacing w:after="0"/>
        <w:tabs>
          <w:tab w:leader="none" w:pos="5880" w:val="left"/>
          <w:tab w:leader="none" w:pos="7460" w:val="left"/>
        </w:tabs>
        <w:rPr>
          <w:sz w:val="20"/>
          <w:szCs w:val="20"/>
          <w:color w:val="auto"/>
        </w:rPr>
      </w:pPr>
      <w:r>
        <w:rPr>
          <w:rFonts w:ascii="Courier New" w:cs="Courier New" w:eastAsia="Courier New" w:hAnsi="Courier New"/>
          <w:sz w:val="18"/>
          <w:szCs w:val="18"/>
          <w:color w:val="auto"/>
        </w:rPr>
        <w:t>For the quarter ended</w:t>
      </w:r>
      <w:r>
        <w:rPr>
          <w:sz w:val="20"/>
          <w:szCs w:val="20"/>
          <w:color w:val="auto"/>
        </w:rPr>
        <w:tab/>
      </w: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6"/>
          <w:szCs w:val="16"/>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900" w:type="dxa"/>
            <w:vAlign w:val="bottom"/>
          </w:tcPr>
          <w:p>
            <w:pPr>
              <w:spacing w:after="0"/>
              <w:rPr>
                <w:sz w:val="20"/>
                <w:szCs w:val="20"/>
                <w:color w:val="auto"/>
              </w:rPr>
            </w:pPr>
            <w:r>
              <w:rPr>
                <w:rFonts w:ascii="Courier New" w:cs="Courier New" w:eastAsia="Courier New" w:hAnsi="Courier New"/>
                <w:sz w:val="18"/>
                <w:szCs w:val="18"/>
                <w:color w:val="auto"/>
              </w:rPr>
              <w:t>Net income (loss)</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(46.2)</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6.5</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currency translation adjustments</w:t>
            </w:r>
          </w:p>
        </w:tc>
        <w:tc>
          <w:tcPr>
            <w:tcW w:w="900" w:type="dxa"/>
            <w:vAlign w:val="bottom"/>
          </w:tcPr>
          <w:p>
            <w:pPr>
              <w:spacing w:after="0"/>
              <w:rPr>
                <w:sz w:val="17"/>
                <w:szCs w:val="17"/>
                <w:color w:val="auto"/>
              </w:rPr>
            </w:pP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(0.2)</w:t>
            </w:r>
          </w:p>
        </w:tc>
        <w:tc>
          <w:tcPr>
            <w:tcW w:w="6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4900" w:type="dxa"/>
            <w:vAlign w:val="bottom"/>
          </w:tcPr>
          <w:p>
            <w:pPr>
              <w:spacing w:after="0"/>
              <w:rPr>
                <w:sz w:val="17"/>
                <w:szCs w:val="17"/>
                <w:color w:val="auto"/>
              </w:rPr>
            </w:pPr>
          </w:p>
        </w:tc>
        <w:tc>
          <w:tcPr>
            <w:tcW w:w="20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comprehensive income</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(46.4)</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4900" w:type="dxa"/>
            <w:vAlign w:val="bottom"/>
          </w:tcPr>
          <w:p>
            <w:pPr>
              <w:spacing w:after="0"/>
              <w:rPr>
                <w:sz w:val="17"/>
                <w:szCs w:val="17"/>
                <w:color w:val="auto"/>
              </w:rPr>
            </w:pPr>
          </w:p>
        </w:tc>
        <w:tc>
          <w:tcPr>
            <w:tcW w:w="20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September 30, 1998, the Company completed its acquisition (the "Acquisition") of substantially all of the memory operations of Texas Instruments, Inc. ("TI") for a net purchase price of approximately $832.8 million. The Acquisition was consummated through the issuance of debt and equity securities. In connection with the transaction, the Company issued 28.9 million shares of MTI common stock, $740 million principal amount of Convertible Notes and $210 million principal amount of Subordinated Notes. In addition to TI's net memory assets, the Company received $681.1 million in cash. The Acquisition was accounted for as a business combination using the purchase method of accounting. The purchase price was allocated to the assets acquired and liabilities assumed based on their estimated fair values. The Company and TI also entered into a ten-year, royalty-free, life-of-patents, patent cross license that commenced on January 1, 1999. The Company will make royalty payments to TI under a prior cross license agreement for operations through December 31, 1998.</w:t>
      </w:r>
    </w:p>
    <w:p>
      <w:pPr>
        <w:spacing w:after="0" w:line="208"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following unaudited pro forma information presents the consolidated results of operations of the Company as if the Acquisition had taken place at the beginning of each period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December</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w:t>
            </w:r>
          </w:p>
        </w:tc>
        <w:tc>
          <w:tcPr>
            <w:tcW w:w="14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November 27,</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quarter ended</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42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0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9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  848.9</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$1,211.2</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2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loss per share</w:t>
            </w:r>
          </w:p>
        </w:tc>
        <w:tc>
          <w:tcPr>
            <w:tcW w:w="2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(0.23)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(0.08)</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loss per share</w:t>
            </w:r>
          </w:p>
        </w:tc>
        <w:tc>
          <w:tcPr>
            <w:tcW w:w="2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(0.23)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(0.08)</w:t>
            </w:r>
          </w:p>
        </w:tc>
      </w:tr>
    </w:tbl>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These pro forma results of operations have been prepared for comparative purposes only and do not purport to be indicative of the results of operations which actually would have resulted had the Acquisition occurred on the dates indicated, or which may result in the future.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September 14, 1998, the Company completed its merger with Rendition. The Company issued approximately 3.6 million shares of Common Stock in exchange for all of the outstanding stock of Rendition. The merger qualified as a tax-free exchange and was accounted for as a business combination using the "pooling-of-interests" method. Accordingly, the Company's financial statements have been restated to include the results of Rendition for all periods presented. The following table presents a reconciliation of net sales and net income (loss) as previously reported by the Company for the quarter ended November 27, 1997 to those presented in the accompanying consolidated financial statements.</w:t>
      </w:r>
    </w:p>
    <w:p>
      <w:pPr>
        <w:spacing w:after="0" w:line="178" w:lineRule="exact"/>
        <w:rPr>
          <w:sz w:val="20"/>
          <w:szCs w:val="20"/>
          <w:color w:val="auto"/>
        </w:rPr>
      </w:pPr>
    </w:p>
    <w:p>
      <w:pPr>
        <w:ind w:left="3380"/>
        <w:spacing w:after="0"/>
        <w:tabs>
          <w:tab w:leader="none" w:pos="5040" w:val="left"/>
          <w:tab w:leader="none" w:pos="7160" w:val="left"/>
        </w:tabs>
        <w:rPr>
          <w:sz w:val="20"/>
          <w:szCs w:val="20"/>
          <w:color w:val="auto"/>
        </w:rPr>
      </w:pPr>
      <w:r>
        <w:rPr>
          <w:rFonts w:ascii="Courier New" w:cs="Courier New" w:eastAsia="Courier New" w:hAnsi="Courier New"/>
          <w:sz w:val="18"/>
          <w:szCs w:val="18"/>
          <w:color w:val="auto"/>
        </w:rPr>
        <w:t>MTI</w:t>
      </w:r>
      <w:r>
        <w:rPr>
          <w:sz w:val="20"/>
          <w:szCs w:val="20"/>
          <w:color w:val="auto"/>
        </w:rPr>
        <w:tab/>
      </w:r>
      <w:r>
        <w:rPr>
          <w:rFonts w:ascii="Courier New" w:cs="Courier New" w:eastAsia="Courier New" w:hAnsi="Courier New"/>
          <w:sz w:val="18"/>
          <w:szCs w:val="18"/>
          <w:color w:val="auto"/>
        </w:rPr>
        <w:t>Rendition</w:t>
      </w:r>
      <w:r>
        <w:rPr>
          <w:sz w:val="20"/>
          <w:szCs w:val="20"/>
          <w:color w:val="auto"/>
        </w:rPr>
        <w:tab/>
      </w:r>
      <w:r>
        <w:rPr>
          <w:rFonts w:ascii="Courier New" w:cs="Courier New" w:eastAsia="Courier New" w:hAnsi="Courier New"/>
          <w:sz w:val="16"/>
          <w:szCs w:val="16"/>
          <w:color w:val="auto"/>
        </w:rPr>
        <w:t>Combined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Net</w:t>
            </w:r>
          </w:p>
        </w:tc>
        <w:tc>
          <w:tcPr>
            <w:tcW w:w="2100" w:type="dxa"/>
            <w:vAlign w:val="bottom"/>
          </w:tcPr>
          <w:p>
            <w:pPr>
              <w:ind w:left="40"/>
              <w:spacing w:after="0"/>
              <w:rPr>
                <w:sz w:val="20"/>
                <w:szCs w:val="20"/>
                <w:color w:val="auto"/>
              </w:rPr>
            </w:pPr>
            <w:r>
              <w:rPr>
                <w:rFonts w:ascii="Courier New" w:cs="Courier New" w:eastAsia="Courier New" w:hAnsi="Courier New"/>
                <w:sz w:val="18"/>
                <w:szCs w:val="18"/>
                <w:color w:val="auto"/>
              </w:rPr>
              <w:t>sales</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954.6</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2.7</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957.3</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income (loss)</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9.5</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bl>
    <w:p>
      <w:pPr>
        <w:spacing w:after="0" w:line="20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 investment</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October 19, 1998, the Company issued to Intel Corporation ("Intel") approximately 15.8 million stock rights exchangeable into non-voting Class A Common Stock (upon MTI shareholder approval of such class of stock) or into common stock of the Company for a purchase price of $500 million. The Rights at the time of issuance represented approximately 6% of the Company's outstanding common stock. The Rights (or Class A Common Stock) will automatically be exchanged for (or converted into) the Company's common stock upon a transfer to a holder other than Intel or a 90% owned subsidiary of Intel. The Company has agreed to seek shareholder approval to amend its Certificate of Incorporation to create the non-voting Class A Common Stock at the Company's next Annual Meeting of Shareholders. In the event the Company's shareholders approve the amendment, the Rights will be automatically exchanged for Class A Common Stock upon the filing in Delaware of the amended Certificate of Incorporation. In the event the Company's shareholders do not approve the amendment, the Rights will remain exchangeable into the Company's common stock. In order to exchange the Rights for the Company's common stock, Intel would be required to provide the Company with written evidence of compliance with the Hart-Scott-Rodino Act ("HSR") filing requirements or that no HSR filings are required. The MTI stock to be issued to Intel has not been registered under the Securities Act of 1933, as amended, and is therefore subject to certain restrictions on resale. The Company and Intel entered into a securities rights and restrictions agreement which provides Intel with certain registration rights and places certain restrictions on Intel's voting rights and other activities with respect to the shares of MTI Class A Common Stock or common stock. Intel's registration rights begin in April 1999. Intel also has the right to designate a nominee acceptable to the Company to the Company's Board of Directors. Proceeds from the issuance of these stock rights are reflected in "Additional Capital" in the Company's balance sheet dated as of December 3, 1998.</w:t>
      </w: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consideration for Intel's investment, the Company has agreed to commit to the development of direct Rambus DRAM ("RDRAM") and to certain production and capital expenditure milestones and to make available to Intel a certain percentage of its semiconductor memory output over a five-year period, subject to certain limitations. The exchange ratio of the Rights and conversion ratio of the Class A Common Stock is subject to adjustment under certain formulae at the election of Intel in the event the Company fails to meet the production or capital expenditure milestones. No adjustment will occur to the exchange ratio or conversion ratio under such formulae (i) unless the price of the Company's common stock for a twenty day period ending two days prior to such milestone dates is lower than $31.625 (the market price of the Company's common stock at the time of investment), or (ii) if the Company achieves the production and capital expenditure milestones. In addition, if an adjustment occurs, in no event will the Company be obligated to issue more than: (a) a number of additional shares of Class A Common Stock or common stock having a value exceeding $150 million, or (b) a number of additional shares exceeding the number of Rights originally issued.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ventures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Acquisition, the Company acquired a 30% ownership in the TECH Singapore Semiconductor Pte. Ltd. ("TECH") and a 25% ownership in the KTI Semiconductor Limited ("KTI") joint ventures (collectively, the "JVs"), each of which operates wafer fabrication facilities for the manufacture of DRAM products. TECH, which operates in Singapore, is a joint venture between the Company, the Singapore Economic Development Board, Canon Inc., and Hewlett-Packard Company. KTI, which operates in Japan, is a joint venture between the Company and Kobe Steel, Ltd.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rights and obligations to purchase 100% of the JVs' production meeting the Company's specifications at pricing determined quarterly which generally results in discounts from the Company's average worldwide selling prices. Certain partners of the JVs have product purchase rights with the Company. The Company charges a fee to the joint ventures for its estimated costs to transfer product and manufacturing process technology to the joint ventures. The Company accounts for its investments in these JVs under the equity method.</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Product purchases from the JVs aggregated $46.1 million in the first quarter of 1999. The Company performed assembly/test services for the JVs totaling $12.9 million for the first quarter of 1999. Receivables from and payables to the JVs were $11.8 million and $27.6 million, respectively, as of December 3, 1998.</w:t>
      </w:r>
    </w:p>
    <w:p>
      <w:pPr>
        <w:spacing w:after="0" w:line="203"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As of December 3, 1998, the Company had commitments of approximately $423.9 million for equipment purchases and $18.5 million for the construction of buildings.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has from time to time received, and may in the future receive, communications alleging that its products or its processes may infringe on product or process technology rights held by others. The Company has accrued a liability and charged operations for the estimated costs of settlement or adjudication of asserted and unasserted claims for alleged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w:t>
      </w:r>
    </w:p>
    <w:p>
      <w:pPr>
        <w:spacing w:after="0" w:line="18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 is currently a party to various other legal actions arising out of the normal course of business, none of which are expected to have a material effect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10" w:name="page11"/>
    <w:bookmarkEnd w:id="10"/>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 RESULTS</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OPERATIONS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following discussion contains trend information and other forward looking statements (including statements regarding future operating results, future capital expenditures and facility expansion, new product introductions, technological developments, acquisitions and the effect thereof and industry trends) that involve a number of risks and uncertainties. The Company's actual results could differ materially from the Company's historical results of operations and those discussed in the forward looking statements. Factors that could cause actual results to differ materially include, but are not limited to, those identified in "Certain Factors." This discussion should be read in conjunction with the Company's Annual Report on Form 10-K for the year ended September 3, 1998. All period references are to the Company's fiscal periods ended December 3, 1998, September 3, 1998, or November 27, 1997, unless otherwise indicated. All per share amounts are presented on a diluted basis unless otherwise stated. All 1998 financial data of the Company has been restated to include the results of operations of Rendition, Inc., which was merged with the Company on September 11, 1998.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Micron Technology, Inc. and its subsidiaries are hereinafter referred to collectively as the "Company" or "MTI." The Company designs, develops, manufactures and markets semiconductor memory products, primarily DRAM, and through its approximately 63% owned subsidiary, Micron Electronics, Inc. ("MEI"), develops, markets, manufactures and supports PC systems.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semiconductor industry in general, and the DRAM market in particular, experienced severe price declines in recent years. Per megabit prices declined approximately 60% in 1998 following a 75% decline in fiscal 1997 and a 45% decline in fiscal 1996. These extreme market conditions have had an adverse effect on the Company's results of operations. Although the Company experienced an 18% increase in per megabit average selling prices for the first quarter of 1999 as compared to the fourth quarter of 1998, the Company is unable to predict whether such improved pricing is indicative of future periods.</w:t>
      </w:r>
    </w:p>
    <w:p>
      <w:pPr>
        <w:spacing w:after="0" w:line="18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September 30, 1998, the Company completed the acquisition (the "Acquisition") of substantially all of the semiconductor memory operations of Texas Instruments, Inc. ("TI"). The Company's results of operations for the first quarter of 1999 reflect two months for the acquired operations. On October 19, 1998, the Company also issued to Intel Corporation ("Intel") approximately 15.8 million stock rights (the "Rights") exchangeable into non-voting Class A Common Stock (upon MTI shareholder approval of such class of stock) or into common stock of the Company for an aggregate amount of $500 million. (See "Significant Transactions")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Net loss for the first quarter of 1999 was $46 million, or $0.19 per share, on net sales of $794 million. For the first quarter of 1998 net income was $7 million, or $0.03 per share, on net sales of $957 million. For the fourth quarter of 1998, net loss was $93 million, or $0.43 per share, on net sales of $692 million.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ind w:left="220"/>
              <w:spacing w:after="0"/>
              <w:rPr>
                <w:sz w:val="20"/>
                <w:szCs w:val="20"/>
                <w:color w:val="auto"/>
              </w:rPr>
            </w:pPr>
            <w:r>
              <w:rPr>
                <w:rFonts w:ascii="Courier New" w:cs="Courier New" w:eastAsia="Courier New" w:hAnsi="Courier New"/>
                <w:sz w:val="18"/>
                <w:szCs w:val="18"/>
                <w:color w:val="auto"/>
              </w:rPr>
              <w:t>NET SALES</w:t>
            </w: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First Quarter</w:t>
            </w:r>
          </w:p>
        </w:tc>
        <w:tc>
          <w:tcPr>
            <w:tcW w:w="68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41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7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68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41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Net sales</w:t>
            </w: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sales</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Semiconductor memory products</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409.5</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51.6</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$ 440.1</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46.0</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PC systems</w:t>
            </w:r>
          </w:p>
        </w:tc>
        <w:tc>
          <w:tcPr>
            <w:tcW w:w="86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352.1</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44.4</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445.1</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46.5</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86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32.0</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72.1</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3580" w:type="dxa"/>
            <w:vAlign w:val="bottom"/>
          </w:tcPr>
          <w:p>
            <w:pPr>
              <w:spacing w:after="0"/>
              <w:rPr>
                <w:sz w:val="17"/>
                <w:szCs w:val="17"/>
                <w:color w:val="auto"/>
              </w:rPr>
            </w:pP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sales</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793.6</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100.0</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$ 957.3</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3580" w:type="dxa"/>
            <w:vAlign w:val="bottom"/>
          </w:tcPr>
          <w:p>
            <w:pPr>
              <w:spacing w:after="0"/>
              <w:rPr>
                <w:sz w:val="17"/>
                <w:szCs w:val="17"/>
                <w:color w:val="auto"/>
              </w:rPr>
            </w:pPr>
          </w:p>
        </w:tc>
        <w:tc>
          <w:tcPr>
            <w:tcW w:w="23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Net sales of "Semiconductor memory products" include sales of $10.3 million and $12.4 million in the first quarters of 1999 and 1998, respectively, of sales of MTI semiconductor memory products incorporated in MEI PC products. "Other " net sales for the first quarter of 1999 include revenue of $18.6 million for</w:t>
      </w:r>
    </w:p>
    <w:p>
      <w:pPr>
        <w:sectPr>
          <w:pgSz w:w="11900" w:h="16838" w:orient="portrait"/>
          <w:cols w:equalWidth="0" w:num="1">
            <w:col w:w="10219"/>
          </w:cols>
          <w:pgMar w:left="240" w:top="717" w:right="1440" w:bottom="0" w:gutter="0" w:footer="0" w:header="0"/>
        </w:sectPr>
      </w:pPr>
    </w:p>
    <w:bookmarkStart w:id="11" w:name="page12"/>
    <w:bookmarkEnd w:id="11"/>
    <w:p>
      <w:pPr>
        <w:ind w:right="1879"/>
        <w:spacing w:after="0" w:line="236" w:lineRule="auto"/>
        <w:rPr>
          <w:sz w:val="20"/>
          <w:szCs w:val="20"/>
          <w:color w:val="auto"/>
        </w:rPr>
      </w:pPr>
      <w:r>
        <w:rPr>
          <w:rFonts w:ascii="Courier New" w:cs="Courier New" w:eastAsia="Courier New" w:hAnsi="Courier New"/>
          <w:sz w:val="18"/>
          <w:szCs w:val="18"/>
          <w:color w:val="auto"/>
        </w:rPr>
        <w:t>test and assembly services performed by the Company. "Other" net sales for the first quarter of 1998 include revenue of approximately $61 million from MEI's contract manufacturing subsidiary, which was sold in February 1998.</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42" w:right="1440" w:bottom="1440" w:gutter="0" w:footer="0" w:header="0"/>
        </w:sectPr>
      </w:pPr>
    </w:p>
    <w:bookmarkStart w:id="12" w:name="page13"/>
    <w:bookmarkEnd w:id="12"/>
    <w:p>
      <w:pPr>
        <w:ind w:right="1779" w:firstLine="527"/>
        <w:spacing w:after="0" w:line="238" w:lineRule="auto"/>
        <w:rPr>
          <w:sz w:val="20"/>
          <w:szCs w:val="20"/>
          <w:color w:val="auto"/>
        </w:rPr>
      </w:pPr>
      <w:r>
        <w:rPr>
          <w:rFonts w:ascii="Courier New" w:cs="Courier New" w:eastAsia="Courier New" w:hAnsi="Courier New"/>
          <w:sz w:val="18"/>
          <w:szCs w:val="18"/>
          <w:color w:val="auto"/>
        </w:rPr>
        <w:t>Net sales of semiconductor memory products for the first quarter of 1999 decreased by 7% as compared to the first quarter of 1998, principally due to a 52% decline in average selling price per megabit of memory, partially offset by an 89% increase in megabits shipped. This increase in megabits shipped was due to production increases principally resulting from shifts in the Company's mix of semiconductor memory products to higher average density products, ongoing transitions to successive reduced die size ("shrink") versions of existing memory products and additional output from the acquired operations. The Company's principal memory product in the first quarter of 1999 was the 64 Meg DRAM, which comprised approximately 65% of the net sales of semiconductor memory products. Approximately 87% of the 64 Meg DRAM sales were synchronous DRAM ("SDRAM") products.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Net sales of semiconductor memory products increased by 10% in the first quarter of 1999 as compared to the fourth quarter of 1998 principally due to an approximate 18% increase in average selling price per megabit of memory sold, partially offset by a 10% decline in megabits shipped. During the first quarter of 1999 prices for the Company's 16 Meg DRAM product increased significantly as that device reached the end of its product life cycle and customers sought lifetime-buy arrangements. The average selling price for the 64 Meg SDRAM increased 8% in the first quarter of 1999 as compared to the fourth quarter of 1998. The decrease in megabits shipped was primarily due to backend production constraints associated with the Company's rapid transition to the .21u shrink version of its 64 Meg DRAM product. The effects of these constraints were partially offset by the additional sales of semiconductor memory products arising from the Company's newly acquired operations. These constraints are expected to be resolved in the second quarter of 1999.</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Net sales of PC systems were lower in the first quarter of 1999 compared to the first quarter of 1998 primarily as a result of an 18% decline in average selling prices which was partially offset by a 2% increase in unit sales. In addition during the first quarter of 1998, the Company disposed of excess PC component inventories, which also contributed to the comparative decline. Net sales of PC systems for the first quarter of 1999 were 20% higher than for the fourth quarter of 1998 primarily as a result of a 21% increase in unit sales, which was partially offset by a 5% decrease in average selling prices.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ind w:left="120"/>
              <w:spacing w:after="0"/>
              <w:rPr>
                <w:sz w:val="20"/>
                <w:szCs w:val="20"/>
                <w:color w:val="auto"/>
              </w:rPr>
            </w:pPr>
            <w:r>
              <w:rPr>
                <w:rFonts w:ascii="Courier New" w:cs="Courier New" w:eastAsia="Courier New" w:hAnsi="Courier New"/>
                <w:sz w:val="18"/>
                <w:szCs w:val="18"/>
                <w:color w:val="auto"/>
              </w:rPr>
              <w:t>GROSS MARGIN</w:t>
            </w:r>
          </w:p>
        </w:tc>
        <w:tc>
          <w:tcPr>
            <w:tcW w:w="2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First Quarter</w:t>
            </w:r>
          </w:p>
        </w:tc>
        <w:tc>
          <w:tcPr>
            <w:tcW w:w="112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5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rPr>
                <w:sz w:val="17"/>
                <w:szCs w:val="17"/>
                <w:color w:val="auto"/>
              </w:rPr>
            </w:pPr>
          </w:p>
        </w:tc>
        <w:tc>
          <w:tcPr>
            <w:tcW w:w="2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1999</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Change</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80" w:type="dxa"/>
            <w:vAlign w:val="bottom"/>
          </w:tcPr>
          <w:p>
            <w:pPr>
              <w:spacing w:after="0"/>
              <w:rPr>
                <w:sz w:val="17"/>
                <w:szCs w:val="17"/>
                <w:color w:val="auto"/>
              </w:rPr>
            </w:pPr>
          </w:p>
        </w:tc>
        <w:tc>
          <w:tcPr>
            <w:tcW w:w="5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2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$ 115.9</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(44.9)%</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$ 210.2</w:t>
            </w:r>
          </w:p>
        </w:tc>
      </w:tr>
      <w:tr>
        <w:trPr>
          <w:trHeight w:val="203"/>
        </w:trPr>
        <w:tc>
          <w:tcPr>
            <w:tcW w:w="3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 % of net sales</w:t>
            </w:r>
          </w:p>
        </w:tc>
        <w:tc>
          <w:tcPr>
            <w:tcW w:w="2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w:t>
            </w:r>
          </w:p>
        </w:tc>
        <w:tc>
          <w:tcPr>
            <w:tcW w:w="17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w:t>
            </w:r>
          </w:p>
        </w:tc>
      </w:tr>
    </w:tbl>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Company's gross margin percentage was lower for the first quarter of 1999 compared to the first quarter of 1998 principally due to lower gross margin percentages on sales of the Company's semiconductor memory products which resulted primarily from a severe decline in average sales prices per megabit.</w:t>
      </w:r>
    </w:p>
    <w:p>
      <w:pPr>
        <w:spacing w:after="0" w:line="18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Company's gross margin percentage on sales of semiconductor memory products for the first quarter of 1999 was 9%, compared to 32% for the first quarter of 1998. The decrease in gross margin percentage on sales of semiconductor memory products for the first quarter of 1999 compared to the first quarter of 1998 was primarily the result of the 52% decline in average selling prices, and to a lesser extent, the inclusion of two months of results for the acquired operations which have higher per-unit manufacturing costs. These factors were partially offset by decreases in per megabit manufacturing costs during the same period. Comparative decreases in per megabit manufacturing costs were achieved primarily through shifts in the Company's mix of semiconductor memory products to higher average density products and transitions to shrink versions of existing products.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gross margin percentage for the fourth quarter of 1998 was 6%. The gross margin percentage on sales of semiconductor memory products for the fourth quarter of 1998 was negative 10%. The increase in gross margin percentage for semiconductor memory products sold in the first quarter of 1999 as compared to the fourth quarter of 1998 was primarily the result of the 18% increase in average selling prices per megabit of memory. The Company's cost per megabit of semiconductor memory sold remained unchanged comparing the first quarter of 1999 with the fourth quarter of 1998 as cost improvements achieved by the Company's Boise operations were offset by higher costs per megabit incurred at the acquired operations.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362" w:gutter="0" w:footer="0" w:header="0"/>
        </w:sectPr>
      </w:pPr>
    </w:p>
    <w:bookmarkStart w:id="13" w:name="page14"/>
    <w:bookmarkEnd w:id="13"/>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the Acquisition, the Company acquired the right and obligation to purchase 100% of the production output of two joint ventures, TECH Semiconductor Singapore Pte. Ltd. ("TECH") and KTI Semiconductor Limited ("KTI"), which meets the Company's specifications. The Company purchases assembled and tested components from the joint ventures at prices determined quarterly, which generally results in discounts from the Company's worldwide average sales prices. These discounts are higher than gross margins realized by the Company in recent periods on similar products manufactured in the Company's wholly-owned facilities, but are lower than gross margins historically realized in periods of relatively constrained supply. At any future reporting period, gross margins for semiconductor memory products resulting from the Company's purchase of joint venture products may positively or negatively impact gross margins depending on the then existing relationship of average selling prices to the Company's cost per unit sold for product manufactured in its wholly-owned facilities.</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Company's PC gross margins in the first quarter of 1999 were 15%, compared to 13% in the first quarter of 1998 and 22% in the fourth quarter of 1998. PC gross margins in the first quarter of 1998 were adversely affected by significant losses recognized from disposition of excess PC component inventories. PC gross margins in the fourth quarter of 1998 were favorably affected by revisions of estimates for certain product and process technology costs. In addition, the Company experienced intense price pressure on its PC products resulting in a lower gross margin provided by such products in the first quarter of 1999 when compared to the fourth quarter of 1998. PC gross margins in the first quarter of 1999 were also affected by a more aggressive pricing strategy, particularly on notebook products. The Company expects to continue experiencing significant pressure on its gross margins on sales of its PC systems, particularly for desktop and notebook products, as a result of intense competition in the PC industry and consumer expectations of more powerful PC systems at lower prices.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ind w:left="120"/>
              <w:spacing w:after="0"/>
              <w:rPr>
                <w:sz w:val="20"/>
                <w:szCs w:val="20"/>
                <w:color w:val="auto"/>
              </w:rPr>
            </w:pPr>
            <w:r>
              <w:rPr>
                <w:rFonts w:ascii="Courier New" w:cs="Courier New" w:eastAsia="Courier New" w:hAnsi="Courier New"/>
                <w:sz w:val="18"/>
                <w:szCs w:val="18"/>
                <w:color w:val="auto"/>
              </w:rPr>
              <w:t>SELLING, GENERAL AND ADMINISTRATIVE</w:t>
            </w: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First Quarter</w:t>
            </w:r>
          </w:p>
        </w:tc>
        <w:tc>
          <w:tcPr>
            <w:tcW w:w="112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4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Change</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120" w:type="dxa"/>
            <w:vAlign w:val="bottom"/>
          </w:tcPr>
          <w:p>
            <w:pPr>
              <w:spacing w:after="0"/>
              <w:rPr>
                <w:sz w:val="17"/>
                <w:szCs w:val="17"/>
                <w:color w:val="auto"/>
              </w:rPr>
            </w:pPr>
          </w:p>
        </w:tc>
        <w:tc>
          <w:tcPr>
            <w:tcW w:w="4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$ 103.0</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(18.3)%</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$ 126.0</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 % of net sales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w:t>
            </w:r>
          </w:p>
        </w:tc>
        <w:tc>
          <w:tcPr>
            <w:tcW w:w="17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w:t>
            </w:r>
          </w:p>
        </w:tc>
      </w:tr>
    </w:tbl>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expenses were lower in the first quarter of 1999 as compared to the first quarter of 1998 primarily as a result of enhanced operational efficiencies and cost reductions at MEI and the sale of 90% of MEI's interest in its contract manufacturing subsidiary in fiscal 1998. Selling, general and administrative expenses for the first quarter of 1999 include approximately $7 million in expense associated with the acquired semiconductor operations. Selling, general and administrative expenses for the first quarter of 1998 reflect a $6 million contribution to a university in support of engineering education.</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expenses for the first quarter of 1999 increased by 3% as compared to the fourth quarter of 1998, primarily due to increased costs associated with the acquired semiconductor operations. This increase in selling, general and administrative expenses over the immediately preceding quarter was partially offset by a decrease in expense associated with the Company's PC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ind w:left="120"/>
              <w:spacing w:after="0"/>
              <w:rPr>
                <w:sz w:val="20"/>
                <w:szCs w:val="20"/>
                <w:color w:val="auto"/>
              </w:rPr>
            </w:pPr>
            <w:r>
              <w:rPr>
                <w:rFonts w:ascii="Courier New" w:cs="Courier New" w:eastAsia="Courier New" w:hAnsi="Courier New"/>
                <w:sz w:val="18"/>
                <w:szCs w:val="18"/>
                <w:color w:val="auto"/>
              </w:rPr>
              <w:t>RESEARCH AND DEVELOPMENT</w:t>
            </w: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First Quarter</w:t>
            </w:r>
          </w:p>
        </w:tc>
        <w:tc>
          <w:tcPr>
            <w:tcW w:w="10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4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1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1999</w:t>
            </w:r>
          </w:p>
        </w:tc>
        <w:tc>
          <w:tcPr>
            <w:tcW w:w="1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Change</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540" w:type="dxa"/>
            <w:vAlign w:val="bottom"/>
          </w:tcPr>
          <w:p>
            <w:pPr>
              <w:spacing w:after="0"/>
              <w:rPr>
                <w:sz w:val="17"/>
                <w:szCs w:val="17"/>
                <w:color w:val="auto"/>
              </w:rPr>
            </w:pPr>
          </w:p>
        </w:tc>
        <w:tc>
          <w:tcPr>
            <w:tcW w:w="4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$ 67.7</w:t>
            </w:r>
          </w:p>
        </w:tc>
        <w:tc>
          <w:tcPr>
            <w:tcW w:w="1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$ 67.2</w:t>
            </w:r>
          </w:p>
        </w:tc>
      </w:tr>
      <w:tr>
        <w:trPr>
          <w:trHeight w:val="203"/>
        </w:trPr>
        <w:tc>
          <w:tcPr>
            <w:tcW w:w="3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 a % of net sales</w:t>
            </w: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w:t>
            </w:r>
          </w:p>
        </w:tc>
        <w:tc>
          <w:tcPr>
            <w:tcW w:w="18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r>
    </w:tbl>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Research and development expenses relating to the Company's semiconductor memory operations, which constitute substantially all of the Company's research and development expenses, vary primarily with the number of wafers processed, personnel costs, and the cost of advanced equipment dedicated to new product and process development. Research and development efforts are focused on advanced process technology, which is the primary determinant in transitioning to next generation products. Application of advanced process technology currently is concentrated on shrink versions of the Company's 64 Meg SDRAM and development of the Company's 128 Meg SDRAM and direct Rambus DRAM ("RDRAM"), Double Data Rate ("DDR"), SyncLink DRAM ("SLDRAM"),</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0" w:gutter="0" w:footer="0" w:header="0"/>
        </w:sectPr>
      </w:pPr>
    </w:p>
    <w:bookmarkStart w:id="14" w:name="page15"/>
    <w:bookmarkEnd w:id="14"/>
    <w:p>
      <w:pPr>
        <w:ind w:right="2199"/>
        <w:spacing w:after="0" w:line="236" w:lineRule="auto"/>
        <w:rPr>
          <w:sz w:val="20"/>
          <w:szCs w:val="20"/>
          <w:color w:val="auto"/>
        </w:rPr>
      </w:pPr>
      <w:r>
        <w:rPr>
          <w:rFonts w:ascii="Courier New" w:cs="Courier New" w:eastAsia="Courier New" w:hAnsi="Courier New"/>
          <w:sz w:val="18"/>
          <w:szCs w:val="18"/>
          <w:color w:val="auto"/>
        </w:rPr>
        <w:t>Flash and SRAM memory products. Other research and development efforts are currently devoted to the design and development of RIC, flat panel displays, graphics accelerator products and PC systems.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Research and development expenses in the first quarter of 1999 include additional costs of resources obtained in the Acquisition being utilized to broaden the Company's range of DRAM product offerings. The expansion of product offerings is considered necessary to support the customer base associated with the Company's anticipated increased market share.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completed its transition from .25u to .21u at its Boise site in the fourth quarter of calendar 1998 and expects the transition from .21u to .18u to occur at its Boise site in calendar 1999. The Company anticipates that process technology will move to .15u line widths in the next few years as needed for the development of future generation semiconductor products. Transitions to smaller line widths at the acquired operations are expected to lag behind transitions at the Boise site as process development will be conducted primarily in Boise.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effective tax rate approximated 40% for the first quarter of 1999 and 1998. The effective tax rate primarily reflects the statutory corporate income tax rate and the net effect of state taxation. Taxes on earnings of domestic subsidiaries not consolidated for tax purposes may cause the effective tax rate to vary significantly from period to period.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RECENTLY ISSUED ACCOUNTING STANDARDS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Recently issued accounting standards include Statement of Financial Accounting Standards ("SFAS") No. 131 "Disclosures about Segments of an Enterprise and Related Information," issued by the FASB in June 1997, Statement of Position ("SOP") 98-1 "Accounting for the Costs of Computer Software Developed or Obtained for Internal Use," issued by the AICPA in March 1998 and SFAS No. 133 "Accounting for Derivative Instruments and Hedging Activities," issued by the FASB in June 1998.</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SFAS No. 131 will require the Company to provide additional disclosures for its year end 1999. The Company is currently evaluating the impact of SOP 98-1, required by year end 2000 and SFAS No. 133, which is required for the first quarter of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 1998, the Company had cash and liquid investments totaling $1,925 million, representing an increase of $1,275 million during the first quarter of 1999. In the first quarter of 1999 the Company received $681 million in conjunction with the Acquisition and $500 million from the sale of stock rights. The Company's other principal source of liquidity during the first quarter of 1999 was net cash flow from operations of $256 million. The principal uses of funds during the first quarter of 1999 were $118 million for property, plant and equipment expenditures and $102 million for repayments of equipment contracts and long-term debt.</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believes that in order to transition the acquired operations to the Company's product and process technology,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currently estimates it will spend approximately $1 billion in 1999 for purchases of equipment and construction and improvement of buildings. As of December 3, 1998, the Company had entered into contracts extending into 2000 for approximately $424 million for equipment purchases and approximately $18 million for the construction of facilities.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an aggregate of $513 million in revolving credit agreements, including a $400 million agreement expiring in May 2000 which contains certain restrictive covenants pertaining to the Company's semiconductor memory operations, including a maximum total debt to equity ratio. As of December 3, 1998, the Company was in compliance with all covenants under the facilities and had borrowings totaling approximately $9</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564" w:gutter="0" w:footer="0" w:header="0"/>
        </w:sectPr>
      </w:pPr>
    </w:p>
    <w:bookmarkStart w:id="15" w:name="page16"/>
    <w:bookmarkEnd w:id="15"/>
    <w:p>
      <w:pPr>
        <w:ind w:right="2099"/>
        <w:spacing w:after="0" w:line="237" w:lineRule="auto"/>
        <w:rPr>
          <w:sz w:val="20"/>
          <w:szCs w:val="20"/>
          <w:color w:val="auto"/>
        </w:rPr>
      </w:pPr>
      <w:r>
        <w:rPr>
          <w:rFonts w:ascii="Courier New" w:cs="Courier New" w:eastAsia="Courier New" w:hAnsi="Courier New"/>
          <w:sz w:val="18"/>
          <w:szCs w:val="18"/>
          <w:color w:val="auto"/>
        </w:rPr>
        <w:t>million outstanding under the agreements. There can be no assurance that the Company will continue to be able to meet the terms of the covenants and conditions in the agreements, borrow under the agreements or negotiate satisfactory successor agreements.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As of December 3, 1998, approximately $370 million of the Company's consolidated cash and liquid investments were held by MEI. Cash generated by MEI is not readily available or anticipated to be available to finance operations or other expenditures of MTI's semiconductor memory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TRANSACTIONS</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September 30, 1998, the Company completed its acquisition of substantially all of TI's memory operations. The Acquisition was consummated through the issuance of debt and equity securities. TI received 28.9 million shares of MTI common stock, $740 million principal amount of Convertible Notes and $210 million principal amount of Subordinated Notes. In addition to TI's net memory assets, the Company received $681 million in cash. The Company and TI also entered into a ten-year, royalty-free, life-of-patents, patent cross license that commenced on January 1, 1999.</w:t>
      </w:r>
    </w:p>
    <w:p>
      <w:pPr>
        <w:spacing w:after="0" w:line="212"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MTI common stock and Convertible Notes issued in the transaction have not been registered under the Securities Act of 1933, as amended, and are therefore subject to certain restrictions on resale. The Company and TI entered into a securities rights and restrictions agreement as part of the transaction which provides TI with certain registration rights and places certain restrictions on TI's voting rights and other activities with respect to shares of MTI common stock. TI's registration rights begin in April 1999. The Convertible Notes and the Subordinated Notes issued in the transaction bear interest at the rate of 6.5% and have a term of seven years. The Convertible Notes are convertible into 12.3 million shares of MTI common stock at a conversion price of $60 per share. The Convertible Notes are not subject to redemption prior to October 2000 and are redeemable from that date through October 2002 only if the common stock price is at least $78.00 for a specified trading period. The Subordinated Notes are subordinated to the Convertible Notes, the Company's outstanding 7% Convertible Subordinated Notes due July, 2004, and substantially all of the Company's other indebtedness.</w:t>
      </w:r>
    </w:p>
    <w:p>
      <w:pPr>
        <w:spacing w:after="0" w:line="39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assets acquired by the Company in the Acquisition include a wafer fabrication operation in Avezzano, Italy, an assembly/test operation in Singapore, and a wafer fabrication facility in Richardson, Texas. TI closed the Richardson memory manufacturing operation in June 1998. Also included in the Acquisition was TI's interest in two joint ventures and TI's rights and obligations to purchase 100% of the joint venture production meeting the Company's specifications. TECH in Singapore is owned by TI, Canon, Inc., Hewlett-Packard Singapore (Private) Limited, a subsidiary of Hewlett Packard Company, and EDB Investments Pte. Ltd., which is controlled by the Economic Development Board of the Singapore government; and KTI in Japan is owned by TI and Kobe Steel, Ltd. MTI acquired a 30% interest in TECH and a 25% interest in KTI. The Company filed Form 8-K/A on October 16, 1998, which incorporates historical and pro forma financial information with respect to the Acquisition. Pro forma financial information is also included in the notes to the financial statements in this Form 10-Q.</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Although the Company believes the Acquisition further leverages its technology, the Company anticipates that the Acquisition will continue to have a near term adverse impact upon the Company's results of operations and cash flows. The Company has begun to transfer its product and process technology into the acquired operations (primarily the wholly-owned fabrication facilities in Avezzano, Italy and the joint-venture facilities, KTI and TECH) and expects the transfer to be substantially complete in the next nine to twelve months. Output of the Company's semiconductor memory products will increase directly as a result of the manufacturing capacity obtained in the Acquisition and should increase further as a result of the transfer of the Company's product and process technology to the acquired operations. Until the Company is able to complete the transfer of its product and process technology into the acquired operations, the Company expects that the per unit costs associated with products manufactured at the acquired operations will continue to significantly exceed the per unit costs of products manufactured at the Company's Boise, Idaho facility, resulting in a near-term adverse impact on the Company's gross margin percentage. The ten-year, royalty-free, life-of-patents, patent cross license entered into with TI will result in a reduction in the Company's royalty expenses beginning January, 1999.</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EQUITY INVESTMENT</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October 19, 1998, the Company issued to Intel approximately 15.8 million Rights exchangeable into non-voting Class A Common Stock (upon MTI shareholder approval of such class of stock) or into common stock of the Company for a purchase price of $500 million. The Rights at the time of issuance represented approximately 6% of the Company's outstanding common stock. The Rights (or Class A Common Stock) will automatically be exchanged for (or converted into) the Company's common stock upon a transfer to a holder other than Intel or a 90% owned subsidiary of Intel. The Company has agreed to seek shareholder approval to amend its Certificate of Incorporation to create the non-voting Class A Common Stock at the Company's next Annual Meeting of Shareholders. In the event the Company's shareholders approve the amendment, the Rights will be automatically exchanged for Class A Common Stock upon the filing in Delaware of the amended Certificate of Incorporation. In the event the Company's shareholders do not approve the amendment, the Rights will remain exchangeable into the Company's common stock. In order to exchange the Rights for the Company's common stock, Intel would be required to provide the Company with written evidence of compliance with the Hart-Scott-Rodino Act ("HSR") filing requirements or that no HSR filings are required. The MTI tock to be issued to Intel has not been registered under the Securities Act of 1933, as amended, and is therefore subject to certain restrictions on resale. The Company and Intel entered into a securities rights and restrictions agreement which provides Intel with certain registration rights and places certain restrictions on Intel's voting rights and other activities with respect to the shares of MTI Class A Common Stock or common stock. Intel's registration rights begin in April 1999. Intel also has the right to designate a director nominee, acceptable to the Company, to the Company's Board of Directors.</w:t>
      </w:r>
    </w:p>
    <w:p>
      <w:pPr>
        <w:spacing w:after="0" w:line="200" w:lineRule="exact"/>
        <w:rPr>
          <w:sz w:val="20"/>
          <w:szCs w:val="20"/>
          <w:color w:val="auto"/>
        </w:rPr>
      </w:pPr>
    </w:p>
    <w:p>
      <w:pPr>
        <w:spacing w:after="0" w:line="39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consideration for Intel's investment, the Company has agreed to commit to the development of RDRAM and to certain production and capital expenditure milestones and to make available to Intel a certain percentage of its semiconductor memory output over a five-year period, subject to certain limitations. The exchange ratio of the Rights and conversion ratio of the Class A Common Stock is subject to adjustment under certain formulae at the election of Intel in the event MTI fails to meet the production or capital expenditure milestones. No adjustment will occur to the exchange ratio or conversion ratio under such formulae (i) unless the price of the Company's common stock for a twenty day period ending two days prior to such milestone dates is lower than $31.625 (the market price of the Company's common stock at the time of investment), or (ii) if the Company achieves the production and capital expenditure milestones. In addition, if an adjustment occurs, in no event will the Company be obligated to issue more than: (a) a number of additional shares of Class A Common Stock or common stock having a value exceeding $150 million, or (b) a number of additional shares exceeding the number of Rights originally issued.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Like many other companies, the Year 2000 computer issue creates risks for the Company. If internal systems do not correctly recognize and process date information beyond the year 1999, the Company's operations could be adversely impacted as a result of system failures and business process interruption.</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been addressing the Year 2000 computer issue with a plan that began in early 1996. To manage its Year 2000 program, the Company has divided its efforts into the primary program areas of: (i) information technology ("IT"), which includes computer and network hardware, operating systems, purchased development tools, third-party and internally developed software, files and databases, end-user extracts and electronic interfaces; (ii) manufacturing and facilitation equipment; and (iii) external dependencies, which include relationships with suppliers and customers.</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is following four general steps for each of these program areas: "Ownership," wherein each department manager is responsible for assigning ownership for the various Year 2000 issues to be tested; "Identification" of systems and equipment and the collection of Year 2000 data in a centralized place to track results of compliance testing and subsequent remediation; "Compliance Testing," which includes the determination of the specific test routine to be performed on the software or equipment and determination of year 2000 compliance for the item being tested; and "Remediation," which involves implementation of corrective action, verification of successful implementation, finalization of, and, if need be, execution of, contingency plans.</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59" w:gutter="0" w:footer="0" w:header="0"/>
        </w:sectPr>
      </w:pPr>
    </w:p>
    <w:bookmarkStart w:id="17" w:name="page18"/>
    <w:bookmarkEnd w:id="17"/>
    <w:p>
      <w:pPr>
        <w:ind w:right="1999" w:firstLine="527"/>
        <w:spacing w:after="0" w:line="273" w:lineRule="auto"/>
        <w:rPr>
          <w:sz w:val="20"/>
          <w:szCs w:val="20"/>
          <w:color w:val="auto"/>
        </w:rPr>
      </w:pPr>
      <w:r>
        <w:rPr>
          <w:rFonts w:ascii="Courier New" w:cs="Courier New" w:eastAsia="Courier New" w:hAnsi="Courier New"/>
          <w:sz w:val="16"/>
          <w:szCs w:val="16"/>
          <w:color w:val="auto"/>
        </w:rPr>
        <w:t>As of December 3, 1998, the Ownership and Identification steps were essentially complete for all three program areas: IT, manufacturing equipment and external dependencies. The Compliance Testing and Remediation steps are substantially complete for the IT area at the Boise site and the Company is evaluating the status of the IT areas for the acquired operations.</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Compliance Testing of manufacturing and facilitation equipment is over fifty percent complete. Remediation efforts for equipment thus tested is in excess of sixty percent complete. The Company is currently in the process of assessing embedded technology associated with its PC systems manufacturing equipment and expects the evaluation to be complete in the first calendar quarter 1999. The Company is currently working with suppliers of products and services to determine and monitor their level of compliance and Compliance Testing. Year 2000 readiness of significant customers is also being assessed. The Company's evaluation of Year 2000 compliance as it relates to the Company's external dependencies is expected to be complete by the second calendar quarter of 1999.</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cost of addressing the Company's Year 2000 issues is expected to be immaterial. The Company is executing its Year 2000 readiness plan solely through its employees. Year 2000 Compliance Testing and reprogramming is being done in conjunction with other ongoing maintenance and reprogramming efforts.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respect to Remediation, the Company has commenced work on various types of contingency plans to address potential problem areas with internal systems and with suppliers and other third parties. Internally, each software and hardware system has been assigned to on-call personnel who are responsible for bringing the system back on line in the event of a failure. Externally, the Company's Year 2000 plan includes identification of alternate sources for providers of goods and services. The Company expects its contingency plans to be complete by the second calendar quarter of 1999.</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FACTORS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the factors discussed elsewhere in this Form 10-Q and in the Company's Form 10-K for the fiscal year ended September 3, 1998, the following are important factors which could cause actual results or events to differ materially from those contained in any forward looking statements made by or on behalf of the Company.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 including in recent periods.</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selling prices for the Company's semiconductor memory products fluctuate significantly with real and perceived changes in the balance of supply and demand for these commodity products. Growth in worldwide supply has outpaced growth in worldwide demand in recent periods, resulting in a significant decrease in average selling prices for the Company's semiconductor memory products. The semiconductor industry in general, and the DRAM market in particular, has experienced a particularly severe downturn. While per megabit prices increased in the first quarter of 1999 as compared to the fourth quarter of 1998, per megabit prices declined approximately 60% in 1998 following a 75% decline in 1997 and a 45% decline in 1996. The increase in per megabit pricing for the first quarter of 1999 may not be indicative of pricing in future periods. In the event that average selling prices decline at a faster rate than the rate at which the Company is able to decrease per unit manufacturing costs, the Company could be materially adversely affected in its operations, cash flows and financial condition. Future consolidation by competitors in the semiconductor memory industry may place the Company at a disadvantage in competing with competitors that have greater capital resources. Competitors are also aggressively seeking improved yields, smaller die size and fewer mask levels in their product designs. These improvements could result in a significant increase in worldwide capacity leading to further downward pressure on prices.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59" w:gutter="0" w:footer="0" w:header="0"/>
        </w:sectPr>
      </w:pPr>
    </w:p>
    <w:bookmarkStart w:id="18" w:name="page19"/>
    <w:bookmarkEnd w:id="18"/>
    <w:p>
      <w:pPr>
        <w:ind w:right="1779" w:firstLine="527"/>
        <w:spacing w:after="0" w:line="237" w:lineRule="auto"/>
        <w:rPr>
          <w:sz w:val="20"/>
          <w:szCs w:val="20"/>
          <w:color w:val="auto"/>
        </w:rPr>
      </w:pPr>
      <w:r>
        <w:rPr>
          <w:rFonts w:ascii="Courier New" w:cs="Courier New" w:eastAsia="Courier New" w:hAnsi="Courier New"/>
          <w:sz w:val="18"/>
          <w:szCs w:val="18"/>
          <w:color w:val="auto"/>
        </w:rPr>
        <w:t>Approximately 72% of the Company's sales of semiconductor memory products during the first quarter of 1999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September 30, 1998, the Company acquired substantially all of TI's memory operations. The integration and successful operation of the acquired operations is dependent upon a number of factors, including, but not limited to, the Company's ability to transfer its product and process technology in a timely and cost-effective manner into the wholly-owned acquired fabrication facilities in Avezzano, Italy and joint venture facilities in Singapore (TECH ) and Japan (KTI). The Company expects the transfer of its product and process technology into these fabrication facilities to be substantially complete by the end of calendar 1999; however, there can be no assurance that the Company will be able to meet this timeline. Until such time as the Company is able to complete the transfer of its product and process technology into the acquired fabrication facilities, it is expected that the per unit costs associated with the products manufactured at the acquired fabrication facilities will continue to significantly exceed the per unit costs of products manufactured at the Company's Boise, Idaho, facility. As a result, it is expected that the Acquisition will continue to have a near term adverse effect on the Company's results of operations and cash flows.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the semiconductor industry transitions to higher bandwidth products including RDRAM, DDR and SLDRAM, the Company may encounter difficulties in achieving the semiconductor manufacturing efficiencies that it has historically achieved. The Company's productivity levels, die per wafer yields, and in particular, backend equipment requirements may be affected by a transition to higher bandwidth products. There can be no assurance that the Company will successfully transition to these products or that it will be able to achieve its historical rate of cost per megabit reductions.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the Acquisition, the Company has substantially increased its share of the worldwide DRAM market and its production capacity, and as a result, the Company's results of operations are further subject to fluctuations in pricing for semiconductor memory products. In addition, if the Company is successful in the transfer of its product and process technology into the acquired facilities, the amount of worldwide semiconductor memory capacity could increase, resulting in further downward pricing pressure on the Company's semiconductor memory products.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Acquisition is expected to continue to have a significant effect on the Company's future results of operations and cash flows, including, but not limited to: a negative impact on gross margin in the near term due in part to significantly higher per unit manufacturing costs at the acquired operations; costs related to the assimilation of the acquired operations; increased research and development expense associated with the Company's efforts to broaden its range of DRAM product offerings; increased interest expense associated with the Convertible Notes and Subordinated Notes issued in the transaction and increased capital spending relating to the wholly-owned acquired operations in Avezzano, Italy and Singapore.</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has limited experience in integrating or operating geographically dispersed manufacturing facilities. It is expected that the integration and operation of the acquired facilities will place strains on the Company's management and information systems resources. Failure by the Company to effectively manage the integration of the acquired facilities could have a material adverse effect on the Company's results of operations.</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connection with the Acquisition, the Company and TI entered into a transition services agreement requiring TI to provide certain services and support to the Company for specified periods following the Acquisition. Among other items, TI is to provide information technology, finance and accounting, human resources, equipment maintenance, facilities and purchasing services under the services agreement. The successful integration and operation of the acquired facilities is partially dependent upon the continued successful provision of services by TI under the services agreement. There can be no assurance that the services and support called for under the services agreement will be provided in a manner sufficient to meet anticipated requirements. The failure to obtain sufficient</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0" w:gutter="0" w:footer="0" w:header="0"/>
        </w:sectPr>
      </w:pPr>
    </w:p>
    <w:bookmarkStart w:id="19" w:name="page20"/>
    <w:bookmarkEnd w:id="19"/>
    <w:p>
      <w:pPr>
        <w:ind w:right="2099"/>
        <w:spacing w:after="0" w:line="236" w:lineRule="auto"/>
        <w:rPr>
          <w:sz w:val="20"/>
          <w:szCs w:val="20"/>
          <w:color w:val="auto"/>
        </w:rPr>
      </w:pPr>
      <w:r>
        <w:rPr>
          <w:rFonts w:ascii="Courier New" w:cs="Courier New" w:eastAsia="Courier New" w:hAnsi="Courier New"/>
          <w:sz w:val="18"/>
          <w:szCs w:val="18"/>
          <w:color w:val="auto"/>
        </w:rPr>
        <w:t>services and support could impair the Company's ability to successfully integrate the acquired facilities and could have a material adverse affect on the Company's results of operations.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accordance with the transition services agreement, the Company will rely in part on TI computer networks and information technology services with respect to certain of the acquired operations. During this period and beyond, the Company will also be utilizing software obtained or licensed from TI to conduct specific portions of the business. Dependency upon TI systems will span calendar years 1999 and 2000, during which period Year 2000 issues may arise. If unforeseen difficulties are encountered in ending the Company's reliance upon TI's software, hardware or services or in segregating the companies' information technology operations or with Year 2000 issues, the Company's results of operations could be materially adversely affected.</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International sales comprised approximately 27% of the Company's net sales in the first quarter of 1999 and 20% in 1998. The Company expects international sales to continue to increase in 1999 as a result of the Acquisition. In addition, the Company has significantly expanded its international operations as a result of the Acquisition. International sales and operations are subject to a variety of risks, including those arising from currency fluctuations, export duties, changes to import and export regulations, possible restrictions on the transfer of funds, employee turnover, labor unrest, longer payment cycles, greater difficulty in collecting accounts receivable, the burdens and costs of compliance with a variety of foreign laws and, in certain parts of the world, political instability. While to date these factors have not had a significant adverse impact on the Company's results of operations, there can be no assurance that there will not be such an impact in the future.</w:t>
      </w: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the Acquisition, the Company acquired the rights and obligations to purchase 100% of the production output of the TECH joint venture in Singapore and the KTI joint venture in Japan. The Company purchases assembled and tested components meeting the Company's specifications at prices determined quarterly, which generally results in discounts from the Company's worldwide average sales prices. These discounts are currently higher than gross margins realized by the Company in recent periods on similar products manufactured in the Company's wholly-owned facilities, but are lower than gross margins historically realized in periods of relatively constrained supply. At any future reporting period, gross margins for semiconductor memory products resulting from the Company's right to purchase joint venture products may positively or negatively impact gross margins depending on the then existing relationship of average selling prices to the Company's cost per unit sold for product manufactured in its wholly-owned facilities.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Company's operating results are significantly impacted by the operating results of its consolidated subsidiaries, particularly MEI. MEI's past operating results have been, and its future operating results may be, subject to seasonality and other fluctuations, on a quarterly and an annual basis, as a result of a wide variety of factors, including, but not limited to, industry competition, the Company's ability to accurately forecast demand and selling prices for its PC products, fluctuating market pricing for PCs and semiconductor memory products, seasonal government purchasing cycles, inventory obsolescence, the Company's ability to effectively manage inventory levels, changes in product mix, manufacturing and production constraints, fluctuating component costs, the effects of product reviews and industry awards, critical component availability, seasonal cycles common in the PC industry, the timing of new product introductions by the Company and its competitors and global market and economic conditions. Changing circumstances, including but not limited to, changes in the Company's core operations, uses of capital, strategic objectives and market conditions, could result in the Company changing its ownership interest in its subsidiaries.</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Company is engaged in ongoing efforts to enhance its production processes to reduce per unit costs by reducing the die size of existing products. The result of such efforts has generally led to significant increases in megabit production. There can be no assurance that the Company will be able to maintain or approximate increases in megabit production at a level approaching that experienced in recent years or that the Company will not experience decreases in manufacturing yield or production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 The semiconductor memory industry is characterized by frequent product introductions and enhancements. The Company's ability to reduce per unit manufacturing costs of its semiconductor memory products is largely dependent on its ability to design and develop new generation products and shrink versions of existing products and its ability</w:t>
      </w:r>
    </w:p>
    <w:p>
      <w:pPr>
        <w:sectPr>
          <w:pgSz w:w="11900" w:h="16838" w:orient="portrait"/>
          <w:cols w:equalWidth="0" w:num="1">
            <w:col w:w="10219"/>
          </w:cols>
          <w:pgMar w:left="240" w:top="723" w:right="1440" w:bottom="136" w:gutter="0" w:footer="0" w:header="0"/>
        </w:sectPr>
      </w:pPr>
    </w:p>
    <w:bookmarkStart w:id="20" w:name="page21"/>
    <w:bookmarkEnd w:id="20"/>
    <w:p>
      <w:pPr>
        <w:ind w:left="28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344" w:right="1440" w:bottom="1440" w:gutter="0" w:footer="0" w:header="0"/>
        </w:sectPr>
      </w:pPr>
    </w:p>
    <w:bookmarkStart w:id="21" w:name="page22"/>
    <w:bookmarkEnd w:id="21"/>
    <w:p>
      <w:pPr>
        <w:ind w:right="1879"/>
        <w:spacing w:after="0" w:line="237" w:lineRule="auto"/>
        <w:rPr>
          <w:sz w:val="20"/>
          <w:szCs w:val="20"/>
          <w:color w:val="auto"/>
        </w:rPr>
      </w:pPr>
      <w:r>
        <w:rPr>
          <w:rFonts w:ascii="Courier New" w:cs="Courier New" w:eastAsia="Courier New" w:hAnsi="Courier New"/>
          <w:sz w:val="18"/>
          <w:szCs w:val="18"/>
          <w:color w:val="auto"/>
        </w:rPr>
        <w:t>to ramp such products at acceptable rates to acceptable yields, of which there can be no assurance. In addition, there can be no assurance that the Company will be able to continue to reduce its per unit manufacturing costs at the rate historically achieved by the Company.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Historically, the Company has reinvested substantially all cash flow from semiconductor memory operations in capacity expansion and enhancement programs. The Company's cash flow from operations depends primarily on average selling prices and per unit manufacturing costs of the Company's semiconductor memory products. If for any extended period of time average selling prices decline faster than the rate at which the Company is able to decrease per unit manufacturing costs, the Company may not be able to generate sufficient cash flows from operations to sustain operations. Cash generated by MEI is not readily available or anticipated to be available to finance the Company's semiconductor operations. The Company has an aggregate of $513 million in revolving credit agreements, including a $400 million agreement expiring in May 2000, which contains certain restrictive covenants pertaining to the Company's semiconductor memory operations, including a maximum total debt to equity ratio. There can be no assurance that the Company will continue to be able to meet the terms of the covenants or be able to borrow the full amount of the credit facilities. There can be no assurance that, if needed, external sources of liquidity will be available to fund the Company's operations or its capacity and product and process technology enhancement programs. Failure to obtain financing could hinder the Company's ability to make continued investments in such programs, which could materially adversely affect the Company's business, results of operations and financial condition.</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Completion of the Company's semiconductor manufacturing facility in Lehi, Utah was suspended in February 1996, as a result of the decline in average selling prices for semiconductor memory products. As of December 3, 1998, the Company had invested approximately $707 million in the Lehi facility. Timing of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There can be no assurance that the Company will be able to fund the completion of the Lehi manufacturing facility. The failure by the Company to complete the facility would likely result in the Company being required to write off all or a portion of the facility's cost, which could have a material adverse effect on the Company's business and results of operations. In addition, in the event that market conditions improve, there can be no assurance that the Company can commence manufacturing at the Lehi facility in a timely, cost effective manner that enables it to take advantage of the improved market conditions.</w:t>
      </w:r>
    </w:p>
    <w:p>
      <w:pPr>
        <w:spacing w:after="0" w:line="39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w:t>
      </w:r>
    </w:p>
    <w:p>
      <w:pPr>
        <w:spacing w:after="0" w:line="39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is dependent upon a limited number of key management and technical personnel. In addition, the Company's future success will depend in part upon its ability to attract and retain highly qualified personnel, particularly as the Company engages in worldwide operations and adds different product types to its product line, which will require parallel design efforts and significantly increase the need for highly skilled technical personnel. The Company competes for such personnel with other companies, academic institutions, government entities and other organizations. The Company has experienced, and expects to continue to experience, increased recruitment of its existing personnel by other employers. The Company's ability to retain key acquired personnel will be a critical factor in the Company's ability to successfully integrate the acquired operations. There can be no assurance that the</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0" w:gutter="0" w:footer="0" w:header="0"/>
        </w:sectPr>
      </w:pPr>
    </w:p>
    <w:bookmarkStart w:id="22" w:name="page23"/>
    <w:bookmarkEnd w:id="22"/>
    <w:p>
      <w:pPr>
        <w:ind w:right="1779"/>
        <w:spacing w:after="0" w:line="237" w:lineRule="auto"/>
        <w:rPr>
          <w:sz w:val="20"/>
          <w:szCs w:val="20"/>
          <w:color w:val="auto"/>
        </w:rPr>
      </w:pPr>
      <w:r>
        <w:rPr>
          <w:rFonts w:ascii="Courier New" w:cs="Courier New" w:eastAsia="Courier New" w:hAnsi="Courier New"/>
          <w:sz w:val="18"/>
          <w:szCs w:val="18"/>
          <w:color w:val="auto"/>
        </w:rPr>
        <w:t>Company will be successful in hiring or retaining qualified personnel. Any loss of key personnel or the inability to hire or retain qualified personnel could have a material adverse effect on the Company's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2" w:right="1440" w:bottom="1440" w:gutter="0" w:footer="0" w:header="0"/>
        </w:sectPr>
      </w:pPr>
    </w:p>
    <w:bookmarkStart w:id="23" w:name="page24"/>
    <w:bookmarkEnd w:id="23"/>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Substantially all of the Company's liquid investments and long-term debt are at fixed interest rates, and therefore the fair value of these instruments is affected by changes in market interest rates. However, substantially all of the Company's liquid investments mature within one year. As a result, the Company believes that the market risk arising from its holdings of financial instruments is minimal. The Company's results of operations and financial position for the first quarter of 1999 reflect a higher volume of foreign currency transactions and account balances than in previous periods related to the foreign operations obtained through the Acquisition. As of December 3, 1998 the Company held aggregate cash and receivables in foreign currency valued at approximately US $13 million and aggregate foreign currency payables valued at approximately US $61 (including long-term liabilities denominated in Italian lira valued at approximately US $21 million). Foreign currency receivables and payables are comprised primarily of Italian lira, Singapore dollars and Japanese yen. The Company is currently evaluating its risk management policy regarding foreign currency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24" w:name="page25"/>
    <w:bookmarkEnd w:id="24"/>
    <w:p>
      <w:pPr>
        <w:ind w:left="2740"/>
        <w:spacing w:after="0"/>
        <w:tabs>
          <w:tab w:leader="none" w:pos="37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 AND USE OF PROCEEDS.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September 30, 1998, the Company completed its acquisition of substantially all of TI's memory operations. The Acquisition was consummated through the issuance of debt and equity securities. TI received 28.9 million shares of Common Stock, $740 million principal amount of Convertible Notes and $210 million principal amount of Subordinated Notes. In addition to TI's net memory assets, the Company received $681 million in cash. The Company and TI also entered into a ten-year, royalty-free, life-of-patents, patent cross license that commenced on January 1, 1999.</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Common Stock and Convertible Notes issued in the transaction were issued pursuant to a Section 4(2), exemption under the Securities Act of 1933, as amended ("the Act"), and are therefore subject to certain restrictions on resale. The Company and TI entered into a securities rights and restrictions agreement as part of the transaction which provides TI with certain registration rights and places certain restrictions on TI's voting rights and other activities with respect to shares of Common Stock. TI's registration rights begin in April 1999. The Convertible Notes and the Subordinated Notes issued in the transaction bear interest at the rate of 6.5% and have a term of seven years. The Convertible Notes are convertible into 12.3 million shares of Common Stock at a conversion price of $60 per share. The Convertible Notes are not subject to redemption prior to October 2000 and are redeemable from that date through October 2002 only if the Common Stock price is at least $78.00 for a specified trading period.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Terms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 holder of a Convertible Note has the right, at the holder's option, to convert the Convertible Note into shares of Common Stock at any time on or prior to the close of business on the maturity date, unless previously redeemed or repurchased, at the Conversion Rate, subject to adjustment as described below.</w:t>
      </w:r>
    </w:p>
    <w:p>
      <w:pPr>
        <w:spacing w:after="0" w:line="182"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Conversion Rate is subject to adjustment in certain events, including, without duplication: (a) dividends (and other distributions) payable in Common Stock on shares of Common Stock, (b) the issuance to all holders of Common Stock of rights, options or warrants entitling them to subscribe for or purchase Common Stock at less than the then current market price of such Common Stock (determined as provided in the Indenture for the Convertible Notes) as of the record date for shareholders entitled to receive such rights, options or warrants (provided that the Conversion Rate will be readjusted to the extent any such rights, options or warrants are not exercised prior to the expiration thereof), (c) subdivisions, combinations and reclassifications of Common Stock,</w:t>
      </w:r>
    </w:p>
    <w:p>
      <w:pPr>
        <w:spacing w:after="0" w:line="2" w:lineRule="exact"/>
        <w:rPr>
          <w:sz w:val="20"/>
          <w:szCs w:val="20"/>
          <w:color w:val="auto"/>
        </w:rPr>
      </w:pPr>
    </w:p>
    <w:p>
      <w:pPr>
        <w:ind w:right="1779" w:firstLine="8"/>
        <w:spacing w:after="0" w:line="238"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to all holders of Common Stock of evidences of indebtedness of the Company, shares of capital stock, cash or assets (including securities (but excluding those dividends, rights, options, warrants and distributions referred to above) dividends, and distributions paid exclusively in cash), (e) distributions consisting exclusively of cash (excluding any cash portion of distributions referred to in (d) above) to all holders of Common Stock in an aggregate amount that, combined together with (i) other such all-cash distributions made within the preceding 12 months in respect of which no adjustment has been made and (ii) any cash and the fair market value of other considerations payable in respect of any tender offer by the Company or any of its subsidiaries for Common Stock concluded within the preceding 12 months in respect of which no adjustment has been made, exceeds 12.5% of the Company's market capitalization (for this purpose being the product of the current market price per share of the Common Stock on the record date for such distribution times the number of shares of Common Stock outstanding) on such date, and (f) the successful completion of a tender offer made by the Company or any of its subsidiaries for Common Stock which involves an aggregate consideration that, together with (i) any cash and other consideration payable in a tender offer by the Company or any of its subsidiaries for Common Stock expiring within the 12 months preceding the expiration of such tender offer in respect of which no adjustment has been made and (ii) the aggregate amount of any such all-cash distributions referred to in (e) above to all holders of Common Stock within the 12 months preceding the expiration</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59" w:gutter="0" w:footer="0" w:header="0"/>
        </w:sectPr>
      </w:pPr>
    </w:p>
    <w:bookmarkStart w:id="25" w:name="page26"/>
    <w:bookmarkEnd w:id="25"/>
    <w:p>
      <w:pPr>
        <w:ind w:right="1879"/>
        <w:spacing w:after="0" w:line="236" w:lineRule="auto"/>
        <w:rPr>
          <w:sz w:val="20"/>
          <w:szCs w:val="20"/>
          <w:color w:val="auto"/>
        </w:rPr>
      </w:pPr>
      <w:r>
        <w:rPr>
          <w:rFonts w:ascii="Courier New" w:cs="Courier New" w:eastAsia="Courier New" w:hAnsi="Courier New"/>
          <w:sz w:val="18"/>
          <w:szCs w:val="18"/>
          <w:color w:val="auto"/>
        </w:rPr>
        <w:t>of such tender offer in respect of which no adjustments have been made, exceeds 12.5% of the Company's market capitalization on the expiration of such tender offer.</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case of any consolidation or merger of the Company with or into another person or any merger of another person into the Company (other than a merger which does not result in any reclassification, conversion, exchange or cancellation of the Common Stock), or in case of any sale, transfer or lease of all or substantially all of the assets of the Company, each Convertible Note then outstanding will, without the consent of the holder of any Convertible Note, become convertible only into the kind and amount of securities, cash and other property receivable upon such consolidation, merger, sale, transfer or lease by a holder of the number of shares of Common Stock into which such Convertible Note was convertible immediately prior thereto (assuming such holder of Common Stock failed to exercise any rights of election and that such Convertible Note was then convertible).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INTEL CORPORATION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October 19, 1998, the Company issued to Intel Corporation ("Intel") 15,810,277 stock rights ("Rights") exchangeable into non-voting Class A Common Stock (upon shareholder approval of such class of stock), or if shareholder approval is not obtained, into Common Stock of the Company, for a purchase price of $500 million. The Rights at the time of issuance represented approximately 6% of the Company's outstanding Common Stock. The Company agreed with Intel to seek shareholder approval of an amendment to its Certificate of Incorporation to provide for the authorization of Class A Common Stock. The Class A Common Stock (or Rights, if shareholder approval is not obtained) will automatically be converted into (or exchanged for) the Company's Common Stock upon a transfer by Intel to a holder other than one of its 90% or more owned subsidiaries. In consideration for Intel's investment, in addition to proceeds received, the Company has agreed to certain goals for the development and production of direct Rambus DRAM ("RDRAM") products and to certain related capital expenditures and to make available to Intel a portion of its semiconductor memory output over a five-year period, subject to certain limitations. The Company and Intel entered into a securities rights and restrictions agreement which provides Intel with certain registration rights and places certain restrictions on Intel's voting rights and other activities with respect to the shares of Class A Common Stock (or Common Stock). Intel's registration rights begin in April 1999. Intel also has the right to designate a nominee to the Company's Board of Directors, provided such nominee is acceptable to the Company. The Rights were issued pursuant to a Section 4(2) exemption under the Act.</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Terms of the Rights and Class A Common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Class A Common Stock, if approved by the Company's shareholders, will be, and the Rights are convertible into shares of Common Stock at a conversion ratio of one-to-one, subject to adjustment upon the occurrence of certain events or circumstances as summarized. An amount equal to the fair market value of one share of Common Stock, as determined in good faith by the Board of Directors, will be paid in lieu of any fractional shares. In the event the Class A Common Stock or the Rights are transferred to a person other than Intel or a 90% owned subsidiary of Intel, each share of Class A Common Stock or each Right will automatically convert into shares of Common Stock at the applicable conversion ratio.</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conversion ratio is subject to adjustment in the event of any subdivision (by stock split, stock dividend or otherwise) of the Common Stock or any combination of the Rights or Class A Common Stock (by reverse stock split or otherwise) or any combination of the Common Stock (by reverse stock split or otherwise) or any subdivision of the Rights or Class A Common Stock (by stock split, stock dividend or otherwise). In addition, the conversion ratio is subject to special adjustments, in accordance with certain specified formulas, in the event the Company fails to meet certain agreed upon capital expenditure goals or RDRAM production goals and the average price of the Company's Common Stock at the time of adjustment is lower than Intel's original price. These goals are subject to adjustment under certain circumstances. The Company may elect to pay cash in an amount equal to the value of the additional shares issuable as a result of a special adjustment in lieu of such special adjustment.</w:t>
      </w:r>
    </w:p>
    <w:p>
      <w:pPr>
        <w:spacing w:after="0" w:line="38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special conversion rate adjustments will be limited to the extent required to ensure (1) that the value of additional shares of Common Stock and other securities or property and any related payments (including any cash payments in lieu of special adjustments), together with any shares of Common Stock and other securities or property and any related payments as a result of the special conversion rate adjustments with respect to the Rights, does not exceed a maximum aggregate adjustment amount of $150 million (with the value of</w:t>
      </w:r>
    </w:p>
    <w:p>
      <w:pPr>
        <w:sectPr>
          <w:pgSz w:w="11900" w:h="16838" w:orient="portrait"/>
          <w:cols w:equalWidth="0" w:num="1">
            <w:col w:w="10219"/>
          </w:cols>
          <w:pgMar w:left="240" w:top="723"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such additional shares, securities</w:t>
      </w:r>
    </w:p>
    <w:p>
      <w:pPr>
        <w:spacing w:after="0" w:line="201"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136" w:right="1440" w:bottom="1440" w:gutter="0" w:footer="0" w:header="0"/>
        </w:sectPr>
      </w:pPr>
    </w:p>
    <w:bookmarkStart w:id="27" w:name="page28"/>
    <w:bookmarkEnd w:id="27"/>
    <w:p>
      <w:pPr>
        <w:ind w:right="1779"/>
        <w:spacing w:after="0" w:line="237" w:lineRule="auto"/>
        <w:rPr>
          <w:sz w:val="20"/>
          <w:szCs w:val="20"/>
          <w:color w:val="auto"/>
        </w:rPr>
      </w:pPr>
      <w:r>
        <w:rPr>
          <w:rFonts w:ascii="Courier New" w:cs="Courier New" w:eastAsia="Courier New" w:hAnsi="Courier New"/>
          <w:sz w:val="18"/>
          <w:szCs w:val="18"/>
          <w:color w:val="auto"/>
        </w:rPr>
        <w:t>and property measured as set forth in the Amendment); and (2) that the aggregate number of shares of Common Stock issued or issuable upon conversion of Class A Common Stock (or exercise of the Rights) does not exceed the lesser of (i) 19.9% of the shares of Common Stock outstanding on the closing date of the issuance of the Rights and (ii) 31,620,554 shares of Common Stock. No special conversion rate adjustments will occur if (i) the Company achieves the production and capital expenditure goals or (ii) the average price of the Company's Common Stock is higher than $31.625 (the market price of the Company's Common Stock at the time of the investment) for the twenty day period ending two days prior to the goal achievement date.</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conversion rights are also subject to adjustment in the event of any reorganization, reclassification or change of shares of the Common Stock (other than a change in par value or from par value to no par value as a result of a subdivision or combination), or any consolidation of the Company with one or more corporations or a merger of the Company with another corporation (other than a consolidation or merger in which the Company is the resulting or surviving corporation and which does not result in any reclassification or change of outstanding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28" w:name="page29"/>
    <w:bookmarkEnd w:id="28"/>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are filed as a part of this report:</w:t>
      </w:r>
    </w:p>
    <w:p>
      <w:pPr>
        <w:sectPr>
          <w:pgSz w:w="11900" w:h="16838" w:orient="portrait"/>
          <w:cols w:equalWidth="0" w:num="1">
            <w:col w:w="10219"/>
          </w:cols>
          <w:pgMar w:left="240" w:top="717" w:right="1440" w:bottom="1440" w:gutter="0" w:footer="0" w:header="0"/>
        </w:sectPr>
      </w:pPr>
    </w:p>
    <w:p>
      <w:pPr>
        <w:spacing w:after="0" w:line="224" w:lineRule="exact"/>
        <w:rPr>
          <w:sz w:val="20"/>
          <w:szCs w:val="20"/>
          <w:color w:val="auto"/>
        </w:rPr>
      </w:pPr>
    </w:p>
    <w:p>
      <w:pPr>
        <w:ind w:left="220"/>
        <w:spacing w:after="0" w:line="279" w:lineRule="auto"/>
        <w:rPr>
          <w:sz w:val="20"/>
          <w:szCs w:val="20"/>
          <w:color w:val="auto"/>
        </w:rPr>
      </w:pPr>
      <w:r>
        <w:rPr>
          <w:rFonts w:ascii="Courier New" w:cs="Courier New" w:eastAsia="Courier New" w:hAnsi="Courier New"/>
          <w:sz w:val="16"/>
          <w:szCs w:val="16"/>
          <w:color w:val="auto"/>
        </w:rPr>
        <w:t>Exhibit Number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2">
            <w:col w:w="960" w:space="320"/>
            <w:col w:w="8939"/>
          </w:cols>
          <w:pgMar w:left="240" w:top="717" w:right="1440" w:bottom="1440" w:gutter="0" w:footer="0" w:header="0"/>
          <w:type w:val="continuous"/>
        </w:sect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3.7</w:t>
      </w:r>
      <w:r>
        <w:rPr>
          <w:sz w:val="20"/>
          <w:szCs w:val="20"/>
          <w:color w:val="auto"/>
        </w:rPr>
        <w:tab/>
      </w:r>
      <w:r>
        <w:rPr>
          <w:rFonts w:ascii="Courier New" w:cs="Courier New" w:eastAsia="Courier New" w:hAnsi="Courier New"/>
          <w:sz w:val="16"/>
          <w:szCs w:val="16"/>
          <w:color w:val="auto"/>
        </w:rPr>
        <w:t>Bylaws, as amended</w:t>
      </w:r>
    </w:p>
    <w:p>
      <w:pPr>
        <w:spacing w:after="0" w:line="4" w:lineRule="exact"/>
        <w:rPr>
          <w:sz w:val="20"/>
          <w:szCs w:val="20"/>
          <w:color w:val="auto"/>
        </w:rPr>
      </w:pPr>
    </w:p>
    <w:p>
      <w:pPr>
        <w:ind w:left="1280" w:right="1879" w:hanging="1052"/>
        <w:spacing w:after="0" w:line="235" w:lineRule="auto"/>
        <w:tabs>
          <w:tab w:leader="none" w:pos="1260" w:val="left"/>
        </w:tabs>
        <w:rPr>
          <w:sz w:val="20"/>
          <w:szCs w:val="20"/>
          <w:color w:val="auto"/>
        </w:rPr>
      </w:pPr>
      <w:r>
        <w:rPr>
          <w:rFonts w:ascii="Courier New" w:cs="Courier New" w:eastAsia="Courier New" w:hAnsi="Courier New"/>
          <w:sz w:val="18"/>
          <w:szCs w:val="18"/>
          <w:color w:val="auto"/>
        </w:rPr>
        <w:t>10.139</w:t>
      </w:r>
      <w:r>
        <w:rPr>
          <w:sz w:val="20"/>
          <w:szCs w:val="20"/>
          <w:color w:val="auto"/>
        </w:rPr>
        <w:tab/>
      </w:r>
      <w:r>
        <w:rPr>
          <w:rFonts w:ascii="Courier New" w:cs="Courier New" w:eastAsia="Courier New" w:hAnsi="Courier New"/>
          <w:sz w:val="18"/>
          <w:szCs w:val="18"/>
          <w:color w:val="auto"/>
        </w:rPr>
        <w:t>Purchase Agreement dated September 30, 1998 between the Company and KTI Semiconductor Limited</w:t>
      </w:r>
    </w:p>
    <w:p>
      <w:pPr>
        <w:spacing w:after="0" w:line="6" w:lineRule="exact"/>
        <w:rPr>
          <w:sz w:val="20"/>
          <w:szCs w:val="20"/>
          <w:color w:val="auto"/>
        </w:rPr>
      </w:pPr>
    </w:p>
    <w:p>
      <w:pPr>
        <w:ind w:left="1280" w:right="1879" w:hanging="1052"/>
        <w:spacing w:after="0" w:line="235" w:lineRule="auto"/>
        <w:tabs>
          <w:tab w:leader="none" w:pos="1260" w:val="left"/>
        </w:tabs>
        <w:rPr>
          <w:sz w:val="20"/>
          <w:szCs w:val="20"/>
          <w:color w:val="auto"/>
        </w:rPr>
      </w:pPr>
      <w:r>
        <w:rPr>
          <w:rFonts w:ascii="Courier New" w:cs="Courier New" w:eastAsia="Courier New" w:hAnsi="Courier New"/>
          <w:sz w:val="18"/>
          <w:szCs w:val="18"/>
          <w:color w:val="auto"/>
        </w:rPr>
        <w:t>10.140</w:t>
      </w:r>
      <w:r>
        <w:rPr>
          <w:sz w:val="20"/>
          <w:szCs w:val="20"/>
          <w:color w:val="auto"/>
        </w:rPr>
        <w:tab/>
      </w:r>
      <w:r>
        <w:rPr>
          <w:rFonts w:ascii="Courier New" w:cs="Courier New" w:eastAsia="Courier New" w:hAnsi="Courier New"/>
          <w:sz w:val="18"/>
          <w:szCs w:val="18"/>
          <w:color w:val="auto"/>
        </w:rPr>
        <w:t>Purchase Agreement dated September 30, 1998 between the Company and TECH Semiconductor Singapore Pte. Ltd.</w:t>
      </w:r>
    </w:p>
    <w:p>
      <w:pPr>
        <w:ind w:left="1280" w:hanging="1061"/>
        <w:spacing w:after="0"/>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6"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filed the following reports on Form 8-K or Form 8-K/A during the fiscal quarter ended December 3, 1998:</w:t>
      </w:r>
    </w:p>
    <w:p>
      <w:pPr>
        <w:sectPr>
          <w:pgSz w:w="11900" w:h="16838" w:orient="portrait"/>
          <w:cols w:equalWidth="0" w:num="1">
            <w:col w:w="10219"/>
          </w:cols>
          <w:pgMar w:left="240" w:top="717" w:right="1440" w:bottom="1440" w:gutter="0" w:footer="0" w:header="0"/>
          <w:type w:val="continuous"/>
        </w:sect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Form</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960" w:space="620"/>
            <w:col w:w="1400" w:space="720"/>
            <w:col w:w="6519"/>
          </w:cols>
          <w:pgMar w:left="240" w:top="717" w:right="1440" w:bottom="1440" w:gutter="0" w:footer="0" w:header="0"/>
          <w:type w:val="continuous"/>
        </w:sectPr>
      </w:pP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8-K</w:t>
      </w:r>
    </w:p>
    <w:p>
      <w:pPr>
        <w:ind w:left="540"/>
        <w:spacing w:after="0" w:line="238" w:lineRule="auto"/>
        <w:rPr>
          <w:sz w:val="20"/>
          <w:szCs w:val="20"/>
          <w:color w:val="auto"/>
        </w:rPr>
      </w:pPr>
      <w:r>
        <w:rPr>
          <w:rFonts w:ascii="Courier New" w:cs="Courier New" w:eastAsia="Courier New" w:hAnsi="Courier New"/>
          <w:sz w:val="18"/>
          <w:szCs w:val="18"/>
          <w:color w:val="auto"/>
        </w:rPr>
        <w:t>8-K</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8-K/A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413" w:lineRule="auto"/>
        <w:rPr>
          <w:sz w:val="20"/>
          <w:szCs w:val="20"/>
          <w:color w:val="auto"/>
        </w:rPr>
      </w:pPr>
      <w:r>
        <w:rPr>
          <w:rFonts w:ascii="Courier New" w:cs="Courier New" w:eastAsia="Courier New" w:hAnsi="Courier New"/>
          <w:sz w:val="16"/>
          <w:szCs w:val="16"/>
          <w:color w:val="auto"/>
        </w:rPr>
        <w:t>October 7, 1998 October 14, 1998 October 16,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Item 5, Other Events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Acquisition or Disposition of Assets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7(a), Financial Statements of Business</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Acquired MMP Business of Texas</w:t>
      </w:r>
    </w:p>
    <w:p>
      <w:pPr>
        <w:ind w:left="1160"/>
        <w:spacing w:after="0" w:line="238" w:lineRule="auto"/>
        <w:rPr>
          <w:sz w:val="20"/>
          <w:szCs w:val="20"/>
          <w:color w:val="auto"/>
        </w:rPr>
      </w:pPr>
      <w:r>
        <w:rPr>
          <w:rFonts w:ascii="Courier New" w:cs="Courier New" w:eastAsia="Courier New" w:hAnsi="Courier New"/>
          <w:sz w:val="18"/>
          <w:szCs w:val="18"/>
          <w:color w:val="auto"/>
        </w:rPr>
        <w:t>Instruments Incorporated</w:t>
      </w:r>
    </w:p>
    <w:p>
      <w:pPr>
        <w:spacing w:after="0"/>
        <w:rPr>
          <w:sz w:val="20"/>
          <w:szCs w:val="20"/>
          <w:color w:val="auto"/>
        </w:rPr>
      </w:pPr>
      <w:r>
        <w:rPr>
          <w:rFonts w:ascii="Courier New" w:cs="Courier New" w:eastAsia="Courier New" w:hAnsi="Courier New"/>
          <w:sz w:val="18"/>
          <w:szCs w:val="18"/>
          <w:color w:val="auto"/>
        </w:rPr>
        <w:t>Item 7(b), Pro Forma Financial Information</w:t>
      </w:r>
    </w:p>
    <w:p>
      <w:pPr>
        <w:ind w:left="1160"/>
        <w:spacing w:after="0" w:line="237" w:lineRule="auto"/>
        <w:rPr>
          <w:sz w:val="20"/>
          <w:szCs w:val="20"/>
          <w:color w:val="auto"/>
        </w:rPr>
      </w:pPr>
      <w:r>
        <w:rPr>
          <w:rFonts w:ascii="Courier New" w:cs="Courier New" w:eastAsia="Courier New" w:hAnsi="Courier New"/>
          <w:sz w:val="18"/>
          <w:szCs w:val="18"/>
          <w:color w:val="auto"/>
        </w:rPr>
        <w:t>Unaudited Pro Forma Combined</w:t>
      </w:r>
    </w:p>
    <w:p>
      <w:pPr>
        <w:ind w:left="1160"/>
        <w:spacing w:after="0" w:line="238" w:lineRule="auto"/>
        <w:rPr>
          <w:sz w:val="20"/>
          <w:szCs w:val="20"/>
          <w:color w:val="auto"/>
        </w:rPr>
      </w:pPr>
      <w:r>
        <w:rPr>
          <w:rFonts w:ascii="Courier New" w:cs="Courier New" w:eastAsia="Courier New" w:hAnsi="Courier New"/>
          <w:sz w:val="18"/>
          <w:szCs w:val="18"/>
          <w:color w:val="auto"/>
        </w:rPr>
        <w:t>Financial Statements, Micron/MMP</w:t>
      </w:r>
    </w:p>
    <w:p>
      <w:pPr>
        <w:ind w:left="1160"/>
        <w:spacing w:after="0"/>
        <w:rPr>
          <w:sz w:val="20"/>
          <w:szCs w:val="20"/>
          <w:color w:val="auto"/>
        </w:rPr>
      </w:pPr>
      <w:r>
        <w:rPr>
          <w:rFonts w:ascii="Courier New" w:cs="Courier New" w:eastAsia="Courier New" w:hAnsi="Courier New"/>
          <w:sz w:val="18"/>
          <w:szCs w:val="18"/>
          <w:color w:val="auto"/>
        </w:rPr>
        <w:t>Combined Company</w:t>
      </w:r>
    </w:p>
    <w:p>
      <w:pPr>
        <w:spacing w:after="0" w:line="200" w:lineRule="exact"/>
        <w:rPr>
          <w:sz w:val="20"/>
          <w:szCs w:val="20"/>
          <w:color w:val="auto"/>
        </w:rPr>
      </w:pPr>
    </w:p>
    <w:p>
      <w:pPr>
        <w:sectPr>
          <w:pgSz w:w="11900" w:h="16838" w:orient="portrait"/>
          <w:cols w:equalWidth="0" w:num="3">
            <w:col w:w="1060" w:space="520"/>
            <w:col w:w="1700" w:space="420"/>
            <w:col w:w="6519"/>
          </w:cols>
          <w:pgMar w:left="240" w:top="717" w:right="1440" w:bottom="1440" w:gutter="0" w:footer="0" w:header="0"/>
          <w:type w:val="continuous"/>
        </w:sect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717" w:right="1440" w:bottom="1440" w:gutter="0" w:footer="0" w:header="0"/>
          <w:type w:val="continuous"/>
        </w:sectPr>
      </w:pPr>
    </w:p>
    <w:bookmarkStart w:id="29" w:name="page30"/>
    <w:bookmarkEnd w:id="29"/>
    <w:p>
      <w:pPr>
        <w:ind w:left="38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Micron Technology, Inc.</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13,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Wilbur G. Stover, Jr.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Wilbur G. Stover, Jr., Vice President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Finance and Chief Financial Officer</w:t>
      </w:r>
    </w:p>
    <w:p>
      <w:pPr>
        <w:spacing w:after="0" w:line="238" w:lineRule="auto"/>
        <w:rPr>
          <w:sz w:val="20"/>
          <w:szCs w:val="20"/>
          <w:color w:val="auto"/>
        </w:rPr>
      </w:pPr>
      <w:r>
        <w:rPr>
          <w:rFonts w:ascii="Courier New" w:cs="Courier New" w:eastAsia="Courier New" w:hAnsi="Courier New"/>
          <w:sz w:val="18"/>
          <w:szCs w:val="18"/>
          <w:color w:val="auto"/>
        </w:rPr>
        <w:t>(Principal Financial and Accounting</w:t>
      </w:r>
    </w:p>
    <w:p>
      <w:pPr>
        <w:ind w:left="10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3">
            <w:col w:w="640" w:space="220"/>
            <w:col w:w="2440" w:space="720"/>
            <w:col w:w="619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717" w:right="1440" w:bottom="1440" w:gutter="0" w:footer="0" w:header="0"/>
          <w:type w:val="continuous"/>
        </w:sectPr>
      </w:pPr>
    </w:p>
    <w:bookmarkStart w:id="30" w:name="page31"/>
    <w:bookmarkEnd w:id="30"/>
    <w:p>
      <w:pPr>
        <w:jc w:val="right"/>
        <w:ind w:right="1779"/>
        <w:spacing w:after="0"/>
        <w:rPr>
          <w:sz w:val="20"/>
          <w:szCs w:val="20"/>
          <w:color w:val="auto"/>
        </w:rPr>
      </w:pPr>
      <w:r>
        <w:rPr>
          <w:rFonts w:ascii="Courier New" w:cs="Courier New" w:eastAsia="Courier New" w:hAnsi="Courier New"/>
          <w:sz w:val="18"/>
          <w:szCs w:val="18"/>
          <w:color w:val="auto"/>
        </w:rPr>
        <w:t>EXHIBIT 3.7</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BYLAWS</w:t>
      </w:r>
    </w:p>
    <w:p>
      <w:pPr>
        <w:jc w:val="center"/>
        <w:ind w:right="2199"/>
        <w:spacing w:after="0" w:line="238" w:lineRule="auto"/>
        <w:rPr>
          <w:sz w:val="20"/>
          <w:szCs w:val="20"/>
          <w:color w:val="auto"/>
        </w:rPr>
      </w:pPr>
      <w:r>
        <w:rPr>
          <w:rFonts w:ascii="Courier New" w:cs="Courier New" w:eastAsia="Courier New" w:hAnsi="Courier New"/>
          <w:sz w:val="18"/>
          <w:szCs w:val="18"/>
          <w:color w:val="auto"/>
        </w:rPr>
        <w:t>OF</w:t>
      </w:r>
    </w:p>
    <w:p>
      <w:pPr>
        <w:jc w:val="center"/>
        <w:ind w:right="2099"/>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SECTION 1. The registered office shall be 100 West Tenth Street, in the City of Wilmington, County of New Castle, State of Delaware.</w:t>
      </w:r>
    </w:p>
    <w:p>
      <w:pPr>
        <w:spacing w:after="0" w:line="208"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OF STOCKHOLDERS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ectPr>
          <w:pgSz w:w="11900" w:h="16838" w:orient="portrait"/>
          <w:cols w:equalWidth="0" w:num="1">
            <w:col w:w="10219"/>
          </w:cols>
          <w:pgMar w:left="240" w:top="541" w:right="1440" w:bottom="1440" w:gutter="0" w:footer="0" w:header="0"/>
        </w:sectPr>
      </w:pPr>
    </w:p>
    <w:bookmarkStart w:id="31" w:name="page32"/>
    <w:bookmarkEnd w:id="31"/>
    <w:p>
      <w:pPr>
        <w:ind w:right="2319" w:firstLine="527"/>
        <w:spacing w:after="0" w:line="235" w:lineRule="auto"/>
        <w:rPr>
          <w:sz w:val="20"/>
          <w:szCs w:val="20"/>
          <w:color w:val="auto"/>
        </w:rPr>
      </w:pPr>
      <w:r>
        <w:rPr>
          <w:rFonts w:ascii="Courier New" w:cs="Courier New" w:eastAsia="Courier New" w:hAnsi="Courier New"/>
          <w:sz w:val="18"/>
          <w:szCs w:val="18"/>
          <w:color w:val="auto"/>
        </w:rPr>
        <w:t>SECTION 7. Business transacted at any special meeting of stockholders shall be limited to the purposes stated in the notice.</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208"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18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 At all elections of directors of the corporation each stockholder having voting power shall be entitled to exercise the right of cumulative voting as provided in the Certificate of Incorporation.</w:t>
      </w:r>
    </w:p>
    <w:p>
      <w:pPr>
        <w:spacing w:after="0" w:line="18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11. Unless otherwise provided in the Certificate of Incorporation, any action required to be taken at any annual or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 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 Any director may resign effective upon giving written notice to the Chairman of the Board, the President, the Secretary or the Board of Directors of the corporation, unless the notice specifies a late time for the effectiveness of such resignation. If the resignation is effective at a future time, a successor may be elected to take office when the resignation becomes effective.</w:t>
      </w:r>
    </w:p>
    <w:p>
      <w:pPr>
        <w:sectPr>
          <w:pgSz w:w="11900" w:h="16838" w:orient="portrait"/>
          <w:cols w:equalWidth="0" w:num="1">
            <w:col w:w="10219"/>
          </w:cols>
          <w:pgMar w:left="240" w:top="723" w:right="1440" w:bottom="973" w:gutter="0" w:footer="0" w:header="0"/>
        </w:sectPr>
      </w:pPr>
    </w:p>
    <w:bookmarkStart w:id="32" w:name="page33"/>
    <w:bookmarkEnd w:id="32"/>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No reduction of the authorized number of directors shall have the effect of removing any director prior to the expiration of such director's term of office.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210"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Vacancies in the Board of Directors may be filled by a majority of the directors then in office, whether or not less than a quorum, or by a sole remaining director. Each director so elected shall hold office until the expiration of the term for which he was elected and until his successor is elected at an annual or a special meeting of the shareholders, or until his death, resignation or removal.</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shareholders may elect a director or directors at any time to fill any vacancy or vacancies not filled by the directors. Any such election by written consent shall require the consent of a majority of the outstanding shares entitled to vote.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 The business of the corporation shall be managed by or under the direction of its Board of Directors which may exercise all such powers of the corporation and do all such lawful acts and things as are not by statute or by the Certificate of Incorporation or these Bylaws directed or required to be exercised or done by the stockholders.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OF THE BOARD OF DIRECTORS</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SECTION 7. The Board of Directors of the corporation may hold meetings, both regular and special, either within or without the State of Delaware.</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216"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9. Regular meetings of the Board of Directors may be held without notice at such time and at such place as shall from time to time be determined by the Board.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ectPr>
          <w:pgSz w:w="11900" w:h="16838" w:orient="portrait"/>
          <w:cols w:equalWidth="0" w:num="1">
            <w:col w:w="10219"/>
          </w:cols>
          <w:pgMar w:left="240" w:top="723" w:right="1440" w:bottom="1440" w:gutter="0" w:footer="0" w:header="0"/>
        </w:sectPr>
      </w:pPr>
    </w:p>
    <w:bookmarkStart w:id="33" w:name="page34"/>
    <w:bookmarkEnd w:id="33"/>
    <w:p>
      <w:pPr>
        <w:ind w:right="1999" w:firstLine="527"/>
        <w:spacing w:after="0" w:line="237" w:lineRule="auto"/>
        <w:rPr>
          <w:sz w:val="20"/>
          <w:szCs w:val="20"/>
          <w:color w:val="auto"/>
        </w:rPr>
      </w:pPr>
      <w:r>
        <w:rPr>
          <w:rFonts w:ascii="Courier New" w:cs="Courier New" w:eastAsia="Courier New" w:hAnsi="Courier New"/>
          <w:sz w:val="18"/>
          <w:szCs w:val="18"/>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13.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OF DIRECTORS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14. The Board of Directors may, by resolution passed by a majority of the authorized number of directors, appoint an executive committee consisting of two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15. The Board of Directors may, by resolution adopted by a majority of the authorized number of directors, designate such other committees, each consisting of 2 or more directors, as it may from time to time deem advisable to perform such general or special duties as may from time to time be delegated to any such committee by the Board of Directors, subject to the limitations imposed by statute or by the Certificate of Incorporation or by these Bylaws. The Board may designate one or more directors as alternate members of any committee, who may replace any absent member at any meeting of the committee.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ectPr>
          <w:pgSz w:w="11900" w:h="16838" w:orient="portrait"/>
          <w:cols w:equalWidth="0" w:num="1">
            <w:col w:w="10219"/>
          </w:cols>
          <w:pgMar w:left="240" w:top="723" w:right="1440" w:bottom="1440" w:gutter="0" w:footer="0" w:header="0"/>
        </w:sectPr>
      </w:pPr>
    </w:p>
    <w:bookmarkStart w:id="34" w:name="page35"/>
    <w:bookmarkEnd w:id="34"/>
    <w:p>
      <w:pPr>
        <w:ind w:right="1779" w:firstLine="527"/>
        <w:spacing w:after="0" w:line="237" w:lineRule="auto"/>
        <w:rPr>
          <w:sz w:val="20"/>
          <w:szCs w:val="20"/>
          <w:color w:val="auto"/>
        </w:rPr>
      </w:pPr>
      <w:r>
        <w:rPr>
          <w:rFonts w:ascii="Courier New" w:cs="Courier New" w:eastAsia="Courier New" w:hAnsi="Courier New"/>
          <w:sz w:val="18"/>
          <w:szCs w:val="18"/>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 The officers of the corporation shall be chosen by the Board of Directors, and shall be a president, 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2. The Board of Directors at its first meeting after each annual meeting of stockholders shall choose a president, one or more vice-presidents, a secretary and a treasurer.</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SECTION 4. The salaries of all officers and agents of the corporation shall be fixed by the Board of Directors.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CHAIRMAN OF THE BOARD</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PRESIDENT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be ex officio a member of all the standing committees, including the executive committee, if any, and shall have the general powers and duties of management usually vested in the office of president of a corporation, and shall have such other powers and duties as may be prescribed by the Board of Directors or by these Bylaws.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ectPr>
          <w:pgSz w:w="11900" w:h="16838" w:orient="portrait"/>
          <w:cols w:equalWidth="0" w:num="1">
            <w:col w:w="10219"/>
          </w:cols>
          <w:pgMar w:left="240" w:top="723"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THE VICE-PRESIDENTS</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SECTION 9. In the absence of the president or in the event of his inability or refusal to act, the vice president (or in the event there be more than one vice 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AND ASSISTANT SECRETARY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TREASURER AND ASSISTANT TREASURERS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ectPr>
          <w:pgSz w:w="11900" w:h="16838" w:orient="portrait"/>
          <w:cols w:equalWidth="0" w:num="1">
            <w:col w:w="10219"/>
          </w:cols>
          <w:pgMar w:left="240" w:top="717"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 OF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 Every holder of stock in the corporation shall be entitled to have a certificate, signed by, or in the name of the corporation by, the chairman or vice 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210"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08"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SECTION 2. Any or all of the signatures on the 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LOST CERTIFICATES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OF STOCK</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FIXING RECORD DATE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w:t>
      </w:r>
    </w:p>
    <w:p>
      <w:pPr>
        <w:sectPr>
          <w:pgSz w:w="11900" w:h="16838" w:orient="portrait"/>
          <w:cols w:equalWidth="0" w:num="1">
            <w:col w:w="10219"/>
          </w:cols>
          <w:pgMar w:left="240" w:top="717" w:right="1440" w:bottom="744" w:gutter="0" w:footer="0" w:header="0"/>
        </w:sectPr>
      </w:pPr>
    </w:p>
    <w:bookmarkStart w:id="37" w:name="page38"/>
    <w:bookmarkEnd w:id="37"/>
    <w:p>
      <w:pPr>
        <w:ind w:right="1779"/>
        <w:spacing w:after="0" w:line="237" w:lineRule="auto"/>
        <w:rPr>
          <w:sz w:val="20"/>
          <w:szCs w:val="20"/>
          <w:color w:val="auto"/>
        </w:rPr>
      </w:pPr>
      <w:r>
        <w:rPr>
          <w:rFonts w:ascii="Courier New" w:cs="Courier New" w:eastAsia="Courier New" w:hAnsi="Courier New"/>
          <w:sz w:val="18"/>
          <w:szCs w:val="18"/>
          <w:color w:val="auto"/>
        </w:rPr>
        <w:t>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REGISTERED STOCKHOLDERS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7. The accounting books and records, and 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 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PROVISIONS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3. All checks or demands for money and notes of the corporation shall be signed by such officer or officers or such other person or persons as the Board of Directors may from time to time designate.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FISCAL YEAR</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SECTION 4. The fiscal year of the corporation shall be fixed by resolution of the Board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ectPr>
          <w:pgSz w:w="11900" w:h="16838" w:orient="portrait"/>
          <w:cols w:equalWidth="0" w:num="1">
            <w:col w:w="10219"/>
          </w:cols>
          <w:pgMar w:left="240" w:top="723"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6. The corporation shall indemnify its officers, directors, employees and agents to the extent permitted by the General Corporation Law of Delaware.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214"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 Nancy A. Stanger, the secretary of Micron Technology, Inc., a Delaware corporation, hereby certify:</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foregoing bylaws, comprising 14 pages, were adopted as the bylaws of Micron Technology on May 21, 1984.</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May 25, 1984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Nancy A. Stanger</w:t>
      </w:r>
    </w:p>
    <w:p>
      <w:pPr>
        <w:spacing w:after="0" w:line="238" w:lineRule="auto"/>
        <w:rPr>
          <w:sz w:val="20"/>
          <w:szCs w:val="20"/>
          <w:color w:val="auto"/>
        </w:rPr>
      </w:pPr>
      <w:r>
        <w:rPr>
          <w:rFonts w:ascii="Courier New" w:cs="Courier New" w:eastAsia="Courier New" w:hAnsi="Courier New"/>
          <w:sz w:val="18"/>
          <w:szCs w:val="18"/>
          <w:color w:val="auto"/>
        </w:rPr>
        <w:t>Nancy A. Stanger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CERTIFICATE OF FIRST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amendment adopted was pursuant to a Resolution reading as follows:</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RESOLVED: The Board hereby approves that the second paragraph of Article II Section 10 of the Bylaws of the Company be amended to read as follows:</w:t>
      </w:r>
    </w:p>
    <w:p>
      <w:pPr>
        <w:spacing w:after="0" w:line="17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186"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IN WITNESS WHEREOF, we have hereunto set our hands and the seal of the Corporation this 5th day of July, 1985.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Joseph L. Parkinson</w:t>
      </w:r>
    </w:p>
    <w:p>
      <w:pPr>
        <w:spacing w:after="0" w:line="238" w:lineRule="auto"/>
        <w:rPr>
          <w:sz w:val="20"/>
          <w:szCs w:val="20"/>
          <w:color w:val="auto"/>
        </w:rPr>
      </w:pPr>
      <w:r>
        <w:rPr>
          <w:rFonts w:ascii="Courier New" w:cs="Courier New" w:eastAsia="Courier New" w:hAnsi="Courier New"/>
          <w:sz w:val="18"/>
          <w:szCs w:val="18"/>
          <w:color w:val="auto"/>
        </w:rPr>
        <w:t>Joseph L. Parkinson,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Cathy L. Smith</w:t>
      </w:r>
    </w:p>
    <w:p>
      <w:pPr>
        <w:spacing w:after="0" w:line="238" w:lineRule="auto"/>
        <w:rPr>
          <w:sz w:val="20"/>
          <w:szCs w:val="20"/>
          <w:color w:val="auto"/>
        </w:rPr>
      </w:pPr>
      <w:r>
        <w:rPr>
          <w:rFonts w:ascii="Courier New" w:cs="Courier New" w:eastAsia="Courier New" w:hAnsi="Courier New"/>
          <w:sz w:val="18"/>
          <w:szCs w:val="18"/>
          <w:color w:val="auto"/>
        </w:rPr>
        <w:t>Cathy L. Smith, Secretary</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line="536" w:lineRule="auto"/>
        <w:rPr>
          <w:sz w:val="20"/>
          <w:szCs w:val="20"/>
          <w:color w:val="auto"/>
        </w:rPr>
      </w:pPr>
      <w:r>
        <w:rPr>
          <w:rFonts w:ascii="Courier New" w:cs="Courier New" w:eastAsia="Courier New" w:hAnsi="Courier New"/>
          <w:sz w:val="16"/>
          <w:szCs w:val="16"/>
          <w:color w:val="auto"/>
        </w:rPr>
        <w:t>STATE OF IDAHO County of Ada</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480" w:space="220"/>
            <w:col w:w="8519"/>
          </w:cols>
          <w:pgMar w:left="240" w:top="717" w:right="1440" w:bottom="1440" w:gutter="0" w:footer="0" w:header="0"/>
          <w:type w:val="continuous"/>
        </w:sectPr>
      </w:pPr>
    </w:p>
    <w:p>
      <w:pPr>
        <w:ind w:right="1879"/>
        <w:spacing w:after="0" w:line="237" w:lineRule="auto"/>
        <w:rPr>
          <w:sz w:val="20"/>
          <w:szCs w:val="20"/>
          <w:color w:val="auto"/>
        </w:rPr>
      </w:pPr>
      <w:r>
        <w:rPr>
          <w:rFonts w:ascii="Courier New" w:cs="Courier New" w:eastAsia="Courier New" w:hAnsi="Courier New"/>
          <w:sz w:val="18"/>
          <w:szCs w:val="18"/>
          <w:color w:val="auto"/>
        </w:rPr>
        <w:t>On this 5th day of July, 1985, before me, the undersigned, personally appeared 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 WITNESS WHEREOF, I have hereunto set my hand and affixed my official seal in said County the day and year first above written.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Jill L. Henson</w:t>
      </w:r>
    </w:p>
    <w:p>
      <w:pPr>
        <w:spacing w:after="0" w:line="238" w:lineRule="auto"/>
        <w:rPr>
          <w:sz w:val="20"/>
          <w:szCs w:val="20"/>
          <w:color w:val="auto"/>
        </w:rPr>
      </w:pPr>
      <w:r>
        <w:rPr>
          <w:rFonts w:ascii="Courier New" w:cs="Courier New" w:eastAsia="Courier New" w:hAnsi="Courier New"/>
          <w:sz w:val="18"/>
          <w:szCs w:val="18"/>
          <w:color w:val="auto"/>
        </w:rPr>
        <w:t>Notary Public for Idaho Residing at Boise</w:t>
      </w:r>
    </w:p>
    <w:p>
      <w:pPr>
        <w:sectPr>
          <w:pgSz w:w="11900" w:h="16838" w:orient="portrait"/>
          <w:cols w:equalWidth="0" w:num="1">
            <w:col w:w="10219"/>
          </w:cols>
          <w:pgMar w:left="240" w:top="717" w:right="1440" w:bottom="1440" w:gutter="0" w:footer="0" w:header="0"/>
          <w:type w:val="continuous"/>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CERTIFICATE OF SECOND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March 3, 1986:</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RESOLVED: Article III Section 1 of the Bylaws of this corporation are hereby amended to read as follows: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IN WITNESS WHEREOF, I have hereunto set my hand and affixed the corporate seal of said corporation effective as of the 3rd day of March, 1986.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Cathy L. Smith</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CERTIFICATE THIRD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November 24, 1986:</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RESOLVED: Article III Section 1 of the Bylaws of this corporation are hereby amended to read as follows: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24th day of November, 1986.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Cathy L. Smith</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CERTIFICATE OF FOURTH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September 28, 1987:</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RESOLVED: Article III Section 1 of the Bylaws of this corporation are hereby amended to read as follows:</w:t>
      </w:r>
    </w:p>
    <w:p>
      <w:pPr>
        <w:spacing w:after="0" w:line="208"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82"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28th day of September, 1987.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Cathy L. Smith</w:t>
      </w:r>
    </w:p>
    <w:p>
      <w:pPr>
        <w:spacing w:after="0" w:line="238" w:lineRule="auto"/>
        <w:rPr>
          <w:sz w:val="20"/>
          <w:szCs w:val="20"/>
          <w:color w:val="auto"/>
        </w:rPr>
      </w:pPr>
      <w:r>
        <w:rPr>
          <w:rFonts w:ascii="Courier New" w:cs="Courier New" w:eastAsia="Courier New" w:hAnsi="Courier New"/>
          <w:sz w:val="18"/>
          <w:szCs w:val="18"/>
          <w:color w:val="auto"/>
        </w:rPr>
        <w:t>Cathy L. Smith</w:t>
      </w:r>
    </w:p>
    <w:p>
      <w:pPr>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CERTIFICATE OF FIFTH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March 28, 1988:</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RESOLVED: Article III Section 1 of the Bylaws of this corporation are hereby amended to read as follows: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28th day of March, 1988.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Cathy L. Smith</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CERTIFICATE OF SIXTH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October 3, 1988:</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RESOLVED: Article III Section 1 of the Bylaws of this corporation are hereby amended to read as follows: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17th day of October, 1988.</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Cathy L. Smith</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CERTIFICATE OF SEVENTH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September 25, 1989:</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RESOLVED: Article III Section 1 of the Bylaws of this corporation are hereby amended to read as follows: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28th day September, 1989.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Cathy L. Smith</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8"/>
          <w:szCs w:val="18"/>
          <w:color w:val="auto"/>
        </w:rPr>
        <w:t>CERTIFICATE OF EIGHTH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October 30, 1989:</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RESOLVED: Article III Section 1 of the Bylaws of this corporation are hereby amended to read as follows:</w:t>
      </w:r>
    </w:p>
    <w:p>
      <w:pPr>
        <w:spacing w:after="0" w:line="208"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82"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30th day of October, 1989.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Cathy L. Smith</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CERTIFICATE OF NINTH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August 27, 1990:</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RESOLVED: Article III Section 1 of the Bylaws of this corporation are hereby amended to read as follows: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27th day of August, 1990.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Cathy L. Smith</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CERTIFICATE OF TENTH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September 24, 1990:</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RESOLVED: Article III, Section 1 of the Bylaws of this corporation are hereby amended to read as follows: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24th day of September, 1990.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Cathy L. Smith</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CERTIFICATE OF ELEVENTH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July 27, 1992:</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RESOLVED: Article III Section 1 of the Bylaws of this corporation are hereby amended to read as follows:</w:t>
      </w:r>
    </w:p>
    <w:p>
      <w:pPr>
        <w:spacing w:after="0" w:line="208"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82"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27th day of July, 1992.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Cathy L. Smith</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CERTIFICATE OF TWELFTH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May 23, 1994:</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RESOLVED: Article III, Section I of the Bylaws of this corporation are hereby amended to read as follows:</w:t>
      </w:r>
    </w:p>
    <w:p>
      <w:pPr>
        <w:spacing w:after="0" w:line="203"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I.</w:t>
      </w:r>
      <w:r>
        <w:rPr>
          <w:sz w:val="20"/>
          <w:szCs w:val="20"/>
          <w:color w:val="auto"/>
        </w:rPr>
        <w:tab/>
      </w:r>
      <w:r>
        <w:rPr>
          <w:rFonts w:ascii="Courier New" w:cs="Courier New" w:eastAsia="Courier New" w:hAnsi="Courier New"/>
          <w:sz w:val="16"/>
          <w:szCs w:val="16"/>
          <w:color w:val="auto"/>
        </w:rPr>
        <w:t>The authorized number of directors of the Corporation shall be</w:t>
      </w:r>
    </w:p>
    <w:p>
      <w:pPr>
        <w:spacing w:after="0" w:line="238" w:lineRule="auto"/>
        <w:rPr>
          <w:sz w:val="20"/>
          <w:szCs w:val="20"/>
          <w:color w:val="auto"/>
        </w:rPr>
      </w:pPr>
      <w:r>
        <w:rPr>
          <w:rFonts w:ascii="Courier New" w:cs="Courier New" w:eastAsia="Courier New" w:hAnsi="Courier New"/>
          <w:sz w:val="18"/>
          <w:szCs w:val="18"/>
          <w:color w:val="auto"/>
        </w:rPr>
        <w:t>ten.</w:t>
      </w:r>
    </w:p>
    <w:p>
      <w:pPr>
        <w:spacing w:after="0" w:line="207" w:lineRule="exact"/>
        <w:rPr>
          <w:sz w:val="20"/>
          <w:szCs w:val="20"/>
          <w:color w:val="auto"/>
        </w:rPr>
      </w:pPr>
    </w:p>
    <w:p>
      <w:pPr>
        <w:jc w:val="both"/>
        <w:ind w:left="540" w:right="1779" w:firstLine="527"/>
        <w:spacing w:after="0" w:line="279" w:lineRule="auto"/>
        <w:rPr>
          <w:sz w:val="20"/>
          <w:szCs w:val="20"/>
          <w:color w:val="auto"/>
        </w:rPr>
      </w:pPr>
      <w:r>
        <w:rPr>
          <w:rFonts w:ascii="Courier New" w:cs="Courier New" w:eastAsia="Courier New" w:hAnsi="Courier New"/>
          <w:sz w:val="16"/>
          <w:szCs w:val="16"/>
          <w:color w:val="auto"/>
        </w:rPr>
        <w:t>The number of directors provided in this Section I may be changed by a Bylaw duly adopted by the affirmative vote of a majority of the outstanding shares entitled to vote or by a resolution of the Board of Directors.</w:t>
      </w:r>
    </w:p>
    <w:p>
      <w:pPr>
        <w:spacing w:after="0" w:line="17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23rd day of May,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Cathy L. Smith</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CERTIFICATE OF THIRTEENTH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September 1, 1994:</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RESOLVED: Article III, Section I of the Bylaws of this corporation are hereby amended to read as follows:</w:t>
      </w:r>
    </w:p>
    <w:p>
      <w:pPr>
        <w:spacing w:after="0" w:line="208"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SECTION I.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182"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1st day of September,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Cathy L. Smith</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CERTIFICATE OF FOURTEENTH AMENDMENT</w:t>
      </w:r>
    </w:p>
    <w:p>
      <w:pPr>
        <w:spacing w:after="0" w:line="238" w:lineRule="auto"/>
        <w:rPr>
          <w:sz w:val="20"/>
          <w:szCs w:val="20"/>
          <w:color w:val="auto"/>
        </w:rPr>
      </w:pPr>
      <w:r>
        <w:rPr>
          <w:rFonts w:ascii="Courier New" w:cs="Courier New" w:eastAsia="Courier New" w:hAnsi="Courier New"/>
          <w:sz w:val="18"/>
          <w:szCs w:val="18"/>
          <w:color w:val="auto"/>
        </w:rPr>
        <w:t>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 Cathy L. Smith, Corporate Secretary of Micron Technology, Inc. a Delaware corporation, hereby certify that the following resolution was adopted by the Board of Directors on October 27, 1994:</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RESOLVED: Article III, Section I of the Bylaws of this corporation are hereby amended to read as follows: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27th day of October,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Cathy L. Smith</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53" w:name="page54"/>
    <w:bookmarkEnd w:id="53"/>
    <w:p>
      <w:pPr>
        <w:ind w:left="2740"/>
        <w:spacing w:after="0"/>
        <w:rPr>
          <w:sz w:val="20"/>
          <w:szCs w:val="20"/>
          <w:color w:val="auto"/>
        </w:rPr>
      </w:pPr>
      <w:r>
        <w:rPr>
          <w:rFonts w:ascii="Courier New" w:cs="Courier New" w:eastAsia="Courier New" w:hAnsi="Courier New"/>
          <w:sz w:val="18"/>
          <w:szCs w:val="18"/>
          <w:color w:val="auto"/>
        </w:rPr>
        <w:t>CERTIFICATE OF FIFTEENTH</w:t>
      </w:r>
    </w:p>
    <w:p>
      <w:pPr>
        <w:ind w:left="2640"/>
        <w:spacing w:after="0" w:line="238" w:lineRule="auto"/>
        <w:rPr>
          <w:sz w:val="20"/>
          <w:szCs w:val="20"/>
          <w:color w:val="auto"/>
        </w:rPr>
      </w:pPr>
      <w:r>
        <w:rPr>
          <w:rFonts w:ascii="Courier New" w:cs="Courier New" w:eastAsia="Courier New" w:hAnsi="Courier New"/>
          <w:sz w:val="18"/>
          <w:szCs w:val="18"/>
          <w:color w:val="auto"/>
        </w:rPr>
        <w:t>AMENDMENT TO THE BYLAWS OF</w:t>
      </w:r>
    </w:p>
    <w:p>
      <w:pPr>
        <w:ind w:left="286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 Jan R. Reimer, Assistant Secretary of Micron Technology, Inc., a Delaware corporation, hereby certify that the following resolution was adopted by the Board of Directors on February 5, 1996:</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RESOLVED, that pursuant to Article VIII, Section 1 of the Company s Bylaws, the Board hereby amends Article V, Section 1 of the Bylaws to read in its entirety as follows:</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officers of the corporation shall be chosen by the Board of Directors, and shall be a president or chief executive officer, a secretary, and a treasurer. The Board of Directors may also choose additional officers, including a president, vice president(s), and one or more assistant secretaries and assistant treasurers. Any number of offices may be held by the same person, unless the Certificate of Incorporation or these Bylaws otherwise provide.</w:t>
      </w:r>
    </w:p>
    <w:p>
      <w:pPr>
        <w:spacing w:after="0" w:line="186"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7th day of February, 1996.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 R. Reimer</w:t>
      </w:r>
    </w:p>
    <w:p>
      <w:pPr>
        <w:spacing w:after="0" w:line="238" w:lineRule="auto"/>
        <w:rPr>
          <w:sz w:val="20"/>
          <w:szCs w:val="20"/>
          <w:color w:val="auto"/>
        </w:rPr>
      </w:pPr>
      <w:r>
        <w:rPr>
          <w:rFonts w:ascii="Courier New" w:cs="Courier New" w:eastAsia="Courier New" w:hAnsi="Courier New"/>
          <w:sz w:val="18"/>
          <w:szCs w:val="18"/>
          <w:color w:val="auto"/>
        </w:rPr>
        <w:t>Assistant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CERTIFICATE OF SIXTEENTH</w:t>
      </w:r>
    </w:p>
    <w:p>
      <w:pPr>
        <w:spacing w:after="0" w:line="238" w:lineRule="auto"/>
        <w:rPr>
          <w:sz w:val="20"/>
          <w:szCs w:val="20"/>
          <w:color w:val="auto"/>
        </w:rPr>
      </w:pPr>
      <w:r>
        <w:rPr>
          <w:rFonts w:ascii="Courier New" w:cs="Courier New" w:eastAsia="Courier New" w:hAnsi="Courier New"/>
          <w:sz w:val="18"/>
          <w:szCs w:val="18"/>
          <w:color w:val="auto"/>
        </w:rPr>
        <w:t>AMENDMENT TO THE BYLAWS OF</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I, Jan R. Reimer, Assistant Secretary of Micron Technology, Inc., a Delaware corporation, hereby certify that the following resolutions were adopted by the Board of Directors on September 30, 1996:</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RESOLVED, that Article II, Section 10 of the Bylaws of this Company be amended to read as follows: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10. 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Secretary of the corporation of the stockholder's intention to cumulate votes at least 15 days prior to the date of the meeting. If any stockholder has given such notice, all stockholders may cumulate their votes for candidates in nomination.</w:t>
      </w:r>
    </w:p>
    <w:p>
      <w:pPr>
        <w:spacing w:after="0" w:line="184"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RESOLVED FURTHER, that Article II of the Bylaws of this Company be amended to add Section 12, which will read in its entirety as follows:</w:t>
      </w:r>
    </w:p>
    <w:p>
      <w:pPr>
        <w:spacing w:after="0" w:line="200" w:lineRule="exact"/>
        <w:rPr>
          <w:sz w:val="20"/>
          <w:szCs w:val="20"/>
          <w:color w:val="auto"/>
        </w:rPr>
      </w:pPr>
    </w:p>
    <w:p>
      <w:pPr>
        <w:spacing w:after="0" w:line="211" w:lineRule="exact"/>
        <w:rPr>
          <w:sz w:val="20"/>
          <w:szCs w:val="20"/>
          <w:color w:val="auto"/>
        </w:rPr>
      </w:pPr>
    </w:p>
    <w:p>
      <w:pPr>
        <w:ind w:left="1580" w:right="2419" w:hanging="1474"/>
        <w:spacing w:after="0" w:line="235" w:lineRule="auto"/>
        <w:tabs>
          <w:tab w:leader="none" w:pos="1560" w:val="left"/>
        </w:tabs>
        <w:rPr>
          <w:sz w:val="20"/>
          <w:szCs w:val="20"/>
          <w:color w:val="auto"/>
        </w:rPr>
      </w:pPr>
      <w:r>
        <w:rPr>
          <w:rFonts w:ascii="Courier New" w:cs="Courier New" w:eastAsia="Courier New" w:hAnsi="Courier New"/>
          <w:sz w:val="18"/>
          <w:szCs w:val="18"/>
          <w:color w:val="auto"/>
        </w:rPr>
        <w:t>SECTION</w:t>
        <w:tab/>
        <w:t>12. Advance Notice of Stockholder Nominees and Stockholder Business</w:t>
      </w:r>
    </w:p>
    <w:p>
      <w:pPr>
        <w:spacing w:after="0" w:line="208" w:lineRule="exact"/>
        <w:rPr>
          <w:sz w:val="20"/>
          <w:szCs w:val="20"/>
          <w:color w:val="auto"/>
        </w:rPr>
      </w:pPr>
    </w:p>
    <w:p>
      <w:pPr>
        <w:ind w:left="640" w:right="1779"/>
        <w:spacing w:after="0" w:line="237" w:lineRule="auto"/>
        <w:tabs>
          <w:tab w:leader="none" w:pos="116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211" w:lineRule="exact"/>
        <w:rPr>
          <w:rFonts w:ascii="Courier New" w:cs="Courier New" w:eastAsia="Courier New" w:hAnsi="Courier New"/>
          <w:sz w:val="18"/>
          <w:szCs w:val="18"/>
          <w:color w:val="auto"/>
        </w:rPr>
      </w:pPr>
    </w:p>
    <w:p>
      <w:pPr>
        <w:ind w:left="640" w:right="1779"/>
        <w:spacing w:after="0" w:line="238" w:lineRule="auto"/>
        <w:tabs>
          <w:tab w:leader="none" w:pos="116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specified in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w:t>
      </w:r>
    </w:p>
    <w:p>
      <w:pPr>
        <w:spacing w:after="0" w:line="8" w:lineRule="exact"/>
        <w:rPr>
          <w:rFonts w:ascii="Courier New" w:cs="Courier New" w:eastAsia="Courier New" w:hAnsi="Courier New"/>
          <w:sz w:val="18"/>
          <w:szCs w:val="18"/>
          <w:color w:val="auto"/>
        </w:rPr>
      </w:pPr>
    </w:p>
    <w:p>
      <w:pPr>
        <w:ind w:left="640" w:right="19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ectPr>
          <w:pgSz w:w="11900" w:h="16838" w:orient="portrait"/>
          <w:cols w:equalWidth="0" w:num="1">
            <w:col w:w="10219"/>
          </w:cols>
          <w:pgMar w:left="240" w:top="717" w:right="1440" w:bottom="744" w:gutter="0" w:footer="0" w:header="0"/>
        </w:sectPr>
      </w:pPr>
    </w:p>
    <w:bookmarkStart w:id="55" w:name="page56"/>
    <w:bookmarkEnd w:id="55"/>
    <w:p>
      <w:pPr>
        <w:ind w:left="640" w:right="1999"/>
        <w:spacing w:after="0" w:line="269" w:lineRule="auto"/>
        <w:tabs>
          <w:tab w:leader="none" w:pos="106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w:t>
      </w:r>
    </w:p>
    <w:p>
      <w:pPr>
        <w:spacing w:after="0" w:line="193" w:lineRule="exact"/>
        <w:rPr>
          <w:rFonts w:ascii="Courier New" w:cs="Courier New" w:eastAsia="Courier New" w:hAnsi="Courier New"/>
          <w:sz w:val="16"/>
          <w:szCs w:val="16"/>
          <w:color w:val="auto"/>
        </w:rPr>
      </w:pPr>
    </w:p>
    <w:p>
      <w:pPr>
        <w:ind w:left="640" w:right="199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No person shall be eligible for election as a director of the corporation unless nominated in accordance with the procedures set forth in this paragraph (c).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205" w:lineRule="exact"/>
        <w:rPr>
          <w:sz w:val="20"/>
          <w:szCs w:val="20"/>
          <w:color w:val="auto"/>
        </w:rPr>
      </w:pPr>
    </w:p>
    <w:p>
      <w:pPr>
        <w:ind w:left="540"/>
        <w:spacing w:after="0"/>
        <w:tabs>
          <w:tab w:leader="none" w:pos="1560" w:val="left"/>
          <w:tab w:leader="none" w:pos="3140" w:val="left"/>
          <w:tab w:leader="none" w:pos="4620" w:val="left"/>
          <w:tab w:leader="none" w:pos="7580" w:val="left"/>
        </w:tabs>
        <w:rPr>
          <w:sz w:val="20"/>
          <w:szCs w:val="20"/>
          <w:color w:val="auto"/>
        </w:rPr>
      </w:pPr>
      <w:r>
        <w:rPr>
          <w:rFonts w:ascii="Courier New" w:cs="Courier New" w:eastAsia="Courier New" w:hAnsi="Courier New"/>
          <w:sz w:val="18"/>
          <w:szCs w:val="18"/>
          <w:color w:val="auto"/>
        </w:rPr>
        <w:t>RESOLVED</w:t>
        <w:tab/>
        <w:t>FURTHER, that</w:t>
        <w:tab/>
        <w:t>Article III,</w:t>
        <w:tab/>
        <w:t>Section 1 of the Bylaws of</w:t>
      </w:r>
      <w:r>
        <w:rPr>
          <w:sz w:val="20"/>
          <w:szCs w:val="20"/>
          <w:color w:val="auto"/>
        </w:rPr>
        <w:tab/>
      </w:r>
      <w:r>
        <w:rPr>
          <w:rFonts w:ascii="Courier New" w:cs="Courier New" w:eastAsia="Courier New" w:hAnsi="Courier New"/>
          <w:sz w:val="16"/>
          <w:szCs w:val="16"/>
          <w:color w:val="auto"/>
        </w:rPr>
        <w:t>this</w:t>
      </w:r>
    </w:p>
    <w:p>
      <w:pPr>
        <w:spacing w:after="0" w:line="238" w:lineRule="auto"/>
        <w:rPr>
          <w:sz w:val="20"/>
          <w:szCs w:val="20"/>
          <w:color w:val="auto"/>
        </w:rPr>
      </w:pPr>
      <w:r>
        <w:rPr>
          <w:rFonts w:ascii="Courier New" w:cs="Courier New" w:eastAsia="Courier New" w:hAnsi="Courier New"/>
          <w:sz w:val="18"/>
          <w:szCs w:val="18"/>
          <w:color w:val="auto"/>
        </w:rPr>
        <w:t>Company be amended to read as follows: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I hereunto set my hand and affixed the corporate seal of said corporation effective as of the 30th day of September, 1996.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Jan R. Reimer</w:t>
      </w:r>
    </w:p>
    <w:p>
      <w:pPr>
        <w:spacing w:after="0" w:line="238" w:lineRule="auto"/>
        <w:rPr>
          <w:sz w:val="20"/>
          <w:szCs w:val="20"/>
          <w:color w:val="auto"/>
        </w:rPr>
      </w:pPr>
      <w:r>
        <w:rPr>
          <w:rFonts w:ascii="Courier New" w:cs="Courier New" w:eastAsia="Courier New" w:hAnsi="Courier New"/>
          <w:sz w:val="18"/>
          <w:szCs w:val="18"/>
          <w:color w:val="auto"/>
        </w:rPr>
        <w:t>Assistant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23" w:right="1440" w:bottom="1440" w:gutter="0" w:footer="0" w:header="0"/>
        </w:sectPr>
      </w:pPr>
    </w:p>
    <w:bookmarkStart w:id="56" w:name="page57"/>
    <w:bookmarkEnd w:id="56"/>
    <w:p>
      <w:pPr>
        <w:ind w:left="2120"/>
        <w:spacing w:after="0"/>
        <w:rPr>
          <w:sz w:val="20"/>
          <w:szCs w:val="20"/>
          <w:color w:val="auto"/>
        </w:rPr>
      </w:pPr>
      <w:r>
        <w:rPr>
          <w:rFonts w:ascii="Courier New" w:cs="Courier New" w:eastAsia="Courier New" w:hAnsi="Courier New"/>
          <w:sz w:val="18"/>
          <w:szCs w:val="18"/>
          <w:color w:val="auto"/>
        </w:rPr>
        <w:t>CERTIFICATE OF SEVENTEENTH AMENDMENT</w:t>
      </w:r>
    </w:p>
    <w:p>
      <w:pPr>
        <w:ind w:left="3160"/>
        <w:spacing w:after="0" w:line="238" w:lineRule="auto"/>
        <w:rPr>
          <w:sz w:val="20"/>
          <w:szCs w:val="20"/>
          <w:color w:val="auto"/>
        </w:rPr>
      </w:pPr>
      <w:r>
        <w:rPr>
          <w:rFonts w:ascii="Courier New" w:cs="Courier New" w:eastAsia="Courier New" w:hAnsi="Courier New"/>
          <w:sz w:val="18"/>
          <w:szCs w:val="18"/>
          <w:color w:val="auto"/>
        </w:rPr>
        <w:t>TO THE BYLAWS OF</w:t>
      </w:r>
    </w:p>
    <w:p>
      <w:pPr>
        <w:ind w:left="2860"/>
        <w:spacing w:after="0"/>
        <w:rPr>
          <w:sz w:val="20"/>
          <w:szCs w:val="20"/>
          <w:color w:val="auto"/>
        </w:rPr>
      </w:pPr>
      <w:r>
        <w:rPr>
          <w:rFonts w:ascii="Courier New" w:cs="Courier New" w:eastAsia="Courier New" w:hAnsi="Courier New"/>
          <w:sz w:val="18"/>
          <w:szCs w:val="18"/>
          <w:color w:val="auto"/>
        </w:rPr>
        <w:t>MICRON TECHNOLOGY, INC.</w:t>
      </w:r>
    </w:p>
    <w:p>
      <w:pPr>
        <w:spacing w:after="0" w:line="20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 Jan R. Reimer, Assistant Secretary of Micron Technology, Inc., a Delaware corporation, hereby certify that the following resolutions were adopted by the Board of Directors on June 30, 1997:</w:t>
      </w:r>
    </w:p>
    <w:p>
      <w:pPr>
        <w:spacing w:after="0" w:line="209" w:lineRule="exact"/>
        <w:rPr>
          <w:sz w:val="20"/>
          <w:szCs w:val="20"/>
          <w:color w:val="auto"/>
        </w:rPr>
      </w:pPr>
    </w:p>
    <w:p>
      <w:pPr>
        <w:ind w:left="540" w:right="2319"/>
        <w:spacing w:after="0" w:line="235" w:lineRule="auto"/>
        <w:rPr>
          <w:sz w:val="20"/>
          <w:szCs w:val="20"/>
          <w:color w:val="auto"/>
        </w:rPr>
      </w:pPr>
      <w:r>
        <w:rPr>
          <w:rFonts w:ascii="Courier New" w:cs="Courier New" w:eastAsia="Courier New" w:hAnsi="Courier New"/>
          <w:sz w:val="18"/>
          <w:szCs w:val="18"/>
          <w:color w:val="auto"/>
        </w:rPr>
        <w:t>RESOLVED, that Article III, Section 1 of the Bylaws of this Company be amended to read as follows:</w:t>
      </w:r>
    </w:p>
    <w:p>
      <w:pPr>
        <w:spacing w:after="0" w:line="208"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I hereunto set my hand and affix the corporate seal of said corporation effective as of the 30th day of June, 1997.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Jan R. Reimer</w:t>
      </w:r>
    </w:p>
    <w:p>
      <w:pPr>
        <w:spacing w:after="0" w:line="238" w:lineRule="auto"/>
        <w:rPr>
          <w:sz w:val="20"/>
          <w:szCs w:val="20"/>
          <w:color w:val="auto"/>
        </w:rPr>
      </w:pPr>
      <w:r>
        <w:rPr>
          <w:rFonts w:ascii="Courier New" w:cs="Courier New" w:eastAsia="Courier New" w:hAnsi="Courier New"/>
          <w:sz w:val="18"/>
          <w:szCs w:val="18"/>
          <w:color w:val="auto"/>
        </w:rPr>
        <w:t>Assistant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57" w:name="page58"/>
    <w:bookmarkEnd w:id="57"/>
    <w:p>
      <w:pPr>
        <w:ind w:left="2320"/>
        <w:spacing w:after="0"/>
        <w:rPr>
          <w:sz w:val="20"/>
          <w:szCs w:val="20"/>
          <w:color w:val="auto"/>
        </w:rPr>
      </w:pPr>
      <w:r>
        <w:rPr>
          <w:rFonts w:ascii="Courier New" w:cs="Courier New" w:eastAsia="Courier New" w:hAnsi="Courier New"/>
          <w:sz w:val="18"/>
          <w:szCs w:val="18"/>
          <w:color w:val="auto"/>
        </w:rPr>
        <w:t>CERTIFICATE OF EIGHTEENTH AMENDMENT</w:t>
      </w:r>
    </w:p>
    <w:p>
      <w:pPr>
        <w:ind w:left="3380"/>
        <w:spacing w:after="0" w:line="238" w:lineRule="auto"/>
        <w:rPr>
          <w:sz w:val="20"/>
          <w:szCs w:val="20"/>
          <w:color w:val="auto"/>
        </w:rPr>
      </w:pPr>
      <w:r>
        <w:rPr>
          <w:rFonts w:ascii="Courier New" w:cs="Courier New" w:eastAsia="Courier New" w:hAnsi="Courier New"/>
          <w:sz w:val="18"/>
          <w:szCs w:val="18"/>
          <w:color w:val="auto"/>
        </w:rPr>
        <w:t>TO THE BYLAWS OF</w:t>
      </w: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 Jan R. Reimer, Assistant Secretary of Micron Technology, Inc., a Delaware corporation, hereby certify that the following resolutions were adopted by the Board of Directors on April 14, 1998:</w:t>
      </w:r>
    </w:p>
    <w:p>
      <w:pPr>
        <w:spacing w:after="0" w:line="209" w:lineRule="exact"/>
        <w:rPr>
          <w:sz w:val="20"/>
          <w:szCs w:val="20"/>
          <w:color w:val="auto"/>
        </w:rPr>
      </w:pPr>
    </w:p>
    <w:p>
      <w:pPr>
        <w:ind w:left="540" w:right="1779" w:firstLine="527"/>
        <w:spacing w:after="0" w:line="235" w:lineRule="auto"/>
        <w:rPr>
          <w:sz w:val="20"/>
          <w:szCs w:val="20"/>
          <w:color w:val="auto"/>
        </w:rPr>
      </w:pPr>
      <w:r>
        <w:rPr>
          <w:rFonts w:ascii="Courier New" w:cs="Courier New" w:eastAsia="Courier New" w:hAnsi="Courier New"/>
          <w:sz w:val="18"/>
          <w:szCs w:val="18"/>
          <w:color w:val="auto"/>
        </w:rPr>
        <w:t>RESOLVED, that Article III, Section 1 of the Bylaws of this Company be amended to read as follows:</w:t>
      </w:r>
    </w:p>
    <w:p>
      <w:pPr>
        <w:spacing w:after="0" w:line="208"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I hereunto set my hand and affix the corporate seal of said corporation effective as of the 20th day of July, 1998.</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Jan R. Reimer</w:t>
      </w:r>
    </w:p>
    <w:p>
      <w:pPr>
        <w:ind w:left="4740"/>
        <w:spacing w:after="0" w:line="238" w:lineRule="auto"/>
        <w:rPr>
          <w:sz w:val="20"/>
          <w:szCs w:val="20"/>
          <w:color w:val="auto"/>
        </w:rPr>
      </w:pPr>
      <w:r>
        <w:rPr>
          <w:rFonts w:ascii="Courier New" w:cs="Courier New" w:eastAsia="Courier New" w:hAnsi="Courier New"/>
          <w:sz w:val="18"/>
          <w:szCs w:val="18"/>
          <w:color w:val="auto"/>
        </w:rPr>
        <w:t>Assistant Secretary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58" w:name="page59"/>
    <w:bookmarkEnd w:id="58"/>
    <w:p>
      <w:pPr>
        <w:ind w:left="2320"/>
        <w:spacing w:after="0"/>
        <w:rPr>
          <w:sz w:val="20"/>
          <w:szCs w:val="20"/>
          <w:color w:val="auto"/>
        </w:rPr>
      </w:pPr>
      <w:r>
        <w:rPr>
          <w:rFonts w:ascii="Courier New" w:cs="Courier New" w:eastAsia="Courier New" w:hAnsi="Courier New"/>
          <w:sz w:val="18"/>
          <w:szCs w:val="18"/>
          <w:color w:val="auto"/>
        </w:rPr>
        <w:t>CERTIFICATE OF NINETEENTH AMENDMENT</w:t>
      </w:r>
    </w:p>
    <w:p>
      <w:pPr>
        <w:ind w:left="3380"/>
        <w:spacing w:after="0" w:line="238" w:lineRule="auto"/>
        <w:rPr>
          <w:sz w:val="20"/>
          <w:szCs w:val="20"/>
          <w:color w:val="auto"/>
        </w:rPr>
      </w:pPr>
      <w:r>
        <w:rPr>
          <w:rFonts w:ascii="Courier New" w:cs="Courier New" w:eastAsia="Courier New" w:hAnsi="Courier New"/>
          <w:sz w:val="18"/>
          <w:szCs w:val="18"/>
          <w:color w:val="auto"/>
        </w:rPr>
        <w:t>TO THE BYLAWS OF</w:t>
      </w: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20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 Jan R. Reimer, Assistant Secretary of Micron Technology, Inc., a Delaware corporation, hereby certify that the following resolutions were adopted by the Board of Directors on November 23, 1998:</w:t>
      </w:r>
    </w:p>
    <w:p>
      <w:pPr>
        <w:spacing w:after="0" w:line="209" w:lineRule="exact"/>
        <w:rPr>
          <w:sz w:val="20"/>
          <w:szCs w:val="20"/>
          <w:color w:val="auto"/>
        </w:rPr>
      </w:pPr>
    </w:p>
    <w:p>
      <w:pPr>
        <w:ind w:left="540" w:right="1779" w:firstLine="527"/>
        <w:spacing w:after="0" w:line="235" w:lineRule="auto"/>
        <w:rPr>
          <w:sz w:val="20"/>
          <w:szCs w:val="20"/>
          <w:color w:val="auto"/>
        </w:rPr>
      </w:pPr>
      <w:r>
        <w:rPr>
          <w:rFonts w:ascii="Courier New" w:cs="Courier New" w:eastAsia="Courier New" w:hAnsi="Courier New"/>
          <w:sz w:val="18"/>
          <w:szCs w:val="18"/>
          <w:color w:val="auto"/>
        </w:rPr>
        <w:t>RESOLVED, that Article III, Section 1 of the Bylaws of this Company be amended to read as follows:</w:t>
      </w:r>
    </w:p>
    <w:p>
      <w:pPr>
        <w:spacing w:after="0" w:line="208"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IN WITNESS WHEREOF, I hereunto set my hand and affix the corporate seal of said corporation effective as of the 23rd day of November, 1998.</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Jan R. Reimer</w:t>
      </w:r>
    </w:p>
    <w:p>
      <w:pPr>
        <w:ind w:left="5060"/>
        <w:spacing w:after="0" w:line="238" w:lineRule="auto"/>
        <w:rPr>
          <w:sz w:val="20"/>
          <w:szCs w:val="20"/>
          <w:color w:val="auto"/>
        </w:rPr>
      </w:pPr>
      <w:r>
        <w:rPr>
          <w:rFonts w:ascii="Courier New" w:cs="Courier New" w:eastAsia="Courier New" w:hAnsi="Courier New"/>
          <w:sz w:val="18"/>
          <w:szCs w:val="18"/>
          <w:color w:val="auto"/>
        </w:rPr>
        <w:t>Assistant Secretary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(SEAL)</w:t>
      </w:r>
    </w:p>
    <w:p>
      <w:pPr>
        <w:sectPr>
          <w:pgSz w:w="11900" w:h="16838" w:orient="portrait"/>
          <w:cols w:equalWidth="0" w:num="1">
            <w:col w:w="10219"/>
          </w:cols>
          <w:pgMar w:left="240" w:top="717" w:right="1440" w:bottom="1440" w:gutter="0" w:footer="0" w:header="0"/>
        </w:sectPr>
      </w:pPr>
    </w:p>
    <w:bookmarkStart w:id="59" w:name="page60"/>
    <w:bookmarkEnd w:id="59"/>
    <w:p>
      <w:pPr>
        <w:ind w:left="6740"/>
        <w:spacing w:after="0"/>
        <w:rPr>
          <w:sz w:val="20"/>
          <w:szCs w:val="20"/>
          <w:color w:val="auto"/>
        </w:rPr>
      </w:pPr>
      <w:r>
        <w:rPr>
          <w:rFonts w:ascii="Courier New" w:cs="Courier New" w:eastAsia="Courier New" w:hAnsi="Courier New"/>
          <w:sz w:val="18"/>
          <w:szCs w:val="18"/>
          <w:color w:val="auto"/>
        </w:rPr>
        <w:t>Exhibit 10.139</w:t>
      </w:r>
    </w:p>
    <w:p>
      <w:pPr>
        <w:jc w:val="center"/>
        <w:ind w:right="2199"/>
        <w:spacing w:after="0" w:line="238" w:lineRule="auto"/>
        <w:rPr>
          <w:sz w:val="20"/>
          <w:szCs w:val="20"/>
          <w:color w:val="auto"/>
        </w:rPr>
      </w:pPr>
      <w:r>
        <w:rPr>
          <w:rFonts w:ascii="Courier New" w:cs="Courier New" w:eastAsia="Courier New" w:hAnsi="Courier New"/>
          <w:sz w:val="18"/>
          <w:szCs w:val="18"/>
          <w:color w:val="auto"/>
        </w:rPr>
        <w:t>PURCHASE AGREEMENT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Purchase Agreement (the "Agreement") is made this 30th day of September, 1998, by and between Micron Technology, Inc., a Delaware, U.S.A. corporation, with its principal place of business at 8000 South Federal Way, Boise, Idaho 83716-9632, U.S.A. ("Micron"), and KTI Semiconductor Limited, a Japanese corporation, with its headquarters located at 302-2, Hirano-cho, Nishiwaki, Hyogo Prefecture, 677-0063, Japan ("KTI"). Micron and KTI are hereinafter sometimes individually referred to as a "Party" and collectively as the "Parties".</w:t>
      </w: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consideration of the mutual promises and covenants contained herein,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Parties, intending to be legally bound, agree as follows:</w:t>
      </w:r>
    </w:p>
    <w:p>
      <w:pPr>
        <w:spacing w:after="0" w:line="201"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6" w:lineRule="exact"/>
        <w:rPr>
          <w:rFonts w:ascii="Courier New" w:cs="Courier New" w:eastAsia="Courier New" w:hAnsi="Courier New"/>
          <w:sz w:val="18"/>
          <w:szCs w:val="18"/>
          <w:color w:val="auto"/>
        </w:rPr>
      </w:pPr>
    </w:p>
    <w:p>
      <w:pPr>
        <w:ind w:left="1060" w:right="1779" w:hanging="527"/>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 This Agreement implements certain provisions of the Shareholders' Agreement dated March 19, 1990, among KTI's shareholders and ratified, joined in and accepted by KTI on May 22, 1990, and amended September 28, 1990 by Amendment #1, amended November 5, 1992 by Amendment #2, amended effective as of June 7, 1993 by Amendment #3, amended July 14, 1993 by Amendment #4, amended December 15, 1993 by Amendment #5, amended March 24, 1994 by Amendment #6, amended June 27, 1994 by Amendment #7, amended effective as of November 1, 1995 by Amendment #8, amended effective as of November 1, 1996 by Amendment #9, amended effective as of January 1, 1998 by Amendment #10, amended March 26, 1998 by Amendment #11, amended June 23, 1998 by Amendment #12, and amended [September 30, 1998] by Amendment #13 to Shareholders' Agreement (as so amended, and as hereafter amended or otherwise modified from time to time, the "Shareholders' Agreement") for the purchase by Micron, and the sale by KTI to Micron, of those Products (as defined in the Shareholders' Agreement) which are more specifically set forth in Attachment 1 which is incorporated herein by this reference (hereinafter "Products").</w:t>
      </w:r>
    </w:p>
    <w:p>
      <w:pPr>
        <w:spacing w:after="0" w:line="200" w:lineRule="exact"/>
        <w:rPr>
          <w:rFonts w:ascii="Courier New" w:cs="Courier New" w:eastAsia="Courier New" w:hAnsi="Courier New"/>
          <w:sz w:val="18"/>
          <w:szCs w:val="18"/>
          <w:color w:val="auto"/>
        </w:rPr>
      </w:pPr>
    </w:p>
    <w:p>
      <w:pPr>
        <w:spacing w:after="0" w:line="39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ORDERS</w:t>
      </w:r>
    </w:p>
    <w:p>
      <w:pPr>
        <w:spacing w:after="0" w:line="206" w:lineRule="exact"/>
        <w:rPr>
          <w:rFonts w:ascii="Courier New" w:cs="Courier New" w:eastAsia="Courier New" w:hAnsi="Courier New"/>
          <w:sz w:val="18"/>
          <w:szCs w:val="18"/>
          <w:color w:val="auto"/>
        </w:rPr>
      </w:pPr>
    </w:p>
    <w:p>
      <w:pPr>
        <w:ind w:left="1060" w:right="1879" w:hanging="527"/>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2.1 Purchase orders issued by Micron and/or its affiliates (hereinafter individually or collectively ("Micron")) under this Agreement are for administrative, payment and accounting purposes. The terms and conditions of any purchase order so issued which purports to alter, amend or extend provisions or terms of manufacture, sale and delivery of Products as agreed to by Micron, KOBE and KTI in the Shareholders' Agreement and Annexes thereto shall have no force or effect.</w:t>
      </w:r>
    </w:p>
    <w:p>
      <w:pPr>
        <w:sectPr>
          <w:pgSz w:w="11900" w:h="16838" w:orient="portrait"/>
          <w:cols w:equalWidth="0" w:num="1">
            <w:col w:w="10219"/>
          </w:cols>
          <w:pgMar w:left="240" w:top="541" w:right="1440" w:bottom="1440" w:gutter="0" w:footer="0" w:header="0"/>
        </w:sectPr>
      </w:pPr>
    </w:p>
    <w:bookmarkStart w:id="60" w:name="page61"/>
    <w:bookmarkEnd w:id="60"/>
    <w:p>
      <w:pPr>
        <w:ind w:left="532" w:hanging="532"/>
        <w:spacing w:after="0"/>
        <w:tabs>
          <w:tab w:leader="none" w:pos="5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PRODUCTS</w:t>
      </w:r>
    </w:p>
    <w:p>
      <w:pPr>
        <w:spacing w:after="0" w:line="206" w:lineRule="exact"/>
        <w:rPr>
          <w:rFonts w:ascii="Courier New" w:cs="Courier New" w:eastAsia="Courier New" w:hAnsi="Courier New"/>
          <w:sz w:val="18"/>
          <w:szCs w:val="18"/>
          <w:color w:val="auto"/>
        </w:rPr>
      </w:pPr>
    </w:p>
    <w:p>
      <w:pPr>
        <w:ind w:left="1052" w:right="1779" w:hanging="52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3.1 KTI agrees to sell to Micron or its designated Affiliate (as that term is defined in the Shareholders Agreement) and Micron or its designated Affiliate agrees to purchase, KTI's entire output (i.e., one hundred percent (100%), of the finished Products subject to the terms, conditions and obligations set forth in the Shareholders' Agreement and the Annexes thereto, including this Agreement. Such terms, conditions and obligations include without limitation SECTIONS 8 (WORK</w:t>
      </w:r>
    </w:p>
    <w:p>
      <w:pPr>
        <w:spacing w:after="0" w:line="1" w:lineRule="exact"/>
        <w:rPr>
          <w:rFonts w:ascii="Courier New" w:cs="Courier New" w:eastAsia="Courier New" w:hAnsi="Courier New"/>
          <w:sz w:val="18"/>
          <w:szCs w:val="18"/>
          <w:color w:val="auto"/>
        </w:rPr>
      </w:pPr>
    </w:p>
    <w:p>
      <w:pPr>
        <w:ind w:left="105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SPECIFICATIONS), 9 (QUALITY INSPECTION, TESTING AND CUSTOMER SERVICE), and 10 (MANUFACTURING CHANGES) of the Technical Assistance Agreement dated as of September 30, 1998 between Micron, Kobe Steel Ltd., a Japanese corporation, with its headquarters located at 3-18, Wakinohama 1-Chrome, Chuyou-Ku, Kobe, Japan, and KTI (as hereafter amended or otherwise modified from time to time, the "Technical Assistance Agreement"). Nothing in this Agreement shall be construed to limit Micron's right or the right of Micron's affiliates to purchase any semiconductor devices similar to the Products from any source other than KTI</w:t>
      </w:r>
    </w:p>
    <w:p>
      <w:pPr>
        <w:spacing w:after="0" w:line="209"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w:t>
      </w:r>
    </w:p>
    <w:p>
      <w:pPr>
        <w:spacing w:after="0" w:line="206"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 This Agreement shall be effective as of the Acquisition Closing Date (as defined in Amendment #13 to the Shareholders' Agreement) and shall continue in effect throughout the Term of the Shareholders' Agreement (as defined therein), unless earlier terminated or modified by mutual agreement in writing by Micron and KTI.</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PRICING AND PAYMENT TERMS</w:t>
      </w:r>
    </w:p>
    <w:p>
      <w:pPr>
        <w:spacing w:after="0" w:line="206"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 KTI shall sell the Products to Micron in accordance with the pricing formula provided in Annex A to the Shareholders' Agreement. KTI shall invoice Micron for Products sold to Micron on a monthly basis in accordance with Section 18.6 of the Shareholders' Agreement and such Annex.</w:t>
      </w:r>
    </w:p>
    <w:p>
      <w:pPr>
        <w:spacing w:after="0" w:line="208" w:lineRule="exact"/>
        <w:rPr>
          <w:rFonts w:ascii="Courier New" w:cs="Courier New" w:eastAsia="Courier New" w:hAnsi="Courier New"/>
          <w:sz w:val="18"/>
          <w:szCs w:val="18"/>
          <w:color w:val="auto"/>
        </w:rPr>
      </w:pPr>
    </w:p>
    <w:p>
      <w:pPr>
        <w:ind w:left="1052"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 Place of shipment and payment terms are as specified in Sections 18.5, 18.6 and 18.7 of the Shareholders' Agreement.</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w:t>
      </w:r>
    </w:p>
    <w:p>
      <w:pPr>
        <w:spacing w:after="0" w:line="206"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6.1 The delivery dates indicated by Micron on its purchase orders for the Products are important elements of shipment and receiving of Products. KTI agrees to take all reasonable efforts so that the Products shall be delivered to Micron's designated delivery point on the dates set forth in the applicable purchase order(s) accepted by KTI, unless the Parties agree otherwise in writing. In the event that any Products are not shipped in accordance with such delivery dates, KTI agrees to ship via air freight (or as directed by Micron) and to pay for all extra costs.</w:t>
      </w:r>
    </w:p>
    <w:p>
      <w:pPr>
        <w:spacing w:after="0" w:line="208"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717" w:right="1440" w:bottom="1440" w:gutter="0" w:footer="0" w:header="0"/>
        </w:sectPr>
      </w:pPr>
    </w:p>
    <w:bookmarkStart w:id="61" w:name="page62"/>
    <w:bookmarkEnd w:id="61"/>
    <w:p>
      <w:pPr>
        <w:ind w:left="1052" w:right="1879" w:hanging="526"/>
        <w:spacing w:after="0" w:line="237" w:lineRule="auto"/>
        <w:tabs>
          <w:tab w:leader="none" w:pos="1032" w:val="left"/>
        </w:tabs>
        <w:rPr>
          <w:sz w:val="20"/>
          <w:szCs w:val="20"/>
          <w:color w:val="auto"/>
        </w:rPr>
      </w:pPr>
      <w:r>
        <w:rPr>
          <w:rFonts w:ascii="Courier New" w:cs="Courier New" w:eastAsia="Courier New" w:hAnsi="Courier New"/>
          <w:sz w:val="18"/>
          <w:szCs w:val="18"/>
          <w:color w:val="auto"/>
        </w:rPr>
        <w:t>6.2</w:t>
        <w:tab/>
        <w:t>Failure of KTI to meet agreed upon delivery shall be considered a breach of contract. Furthermore, KTI agrees to pay to Micron any penalty and damages imposed upon or incurred by Micron for failure of KTI to deliver any of the Products on such delivery dates.</w:t>
      </w:r>
    </w:p>
    <w:p>
      <w:pPr>
        <w:spacing w:after="0" w:line="207" w:lineRule="exact"/>
        <w:rPr>
          <w:sz w:val="20"/>
          <w:szCs w:val="20"/>
          <w:color w:val="auto"/>
        </w:rPr>
      </w:pPr>
    </w:p>
    <w:p>
      <w:pPr>
        <w:ind w:left="1052" w:right="1779" w:hanging="526"/>
        <w:spacing w:after="0" w:line="275" w:lineRule="auto"/>
        <w:tabs>
          <w:tab w:leader="none" w:pos="1032"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In addition to the packing and shipping instructions in Paragraph 11 below, the Products shall be packaged in accordance with commercially accepted standards, or to applicable Micron specifications, to ensure safe arrival at Micron's designated delivery point.</w:t>
      </w:r>
    </w:p>
    <w:p>
      <w:pPr>
        <w:spacing w:after="0" w:line="177" w:lineRule="exact"/>
        <w:rPr>
          <w:sz w:val="20"/>
          <w:szCs w:val="20"/>
          <w:color w:val="auto"/>
        </w:rPr>
      </w:pPr>
    </w:p>
    <w:p>
      <w:pPr>
        <w:ind w:left="532" w:hanging="532"/>
        <w:spacing w:after="0"/>
        <w:tabs>
          <w:tab w:leader="none" w:pos="5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KTI'S WARRANTIES AND REPRESENTATIONS</w:t>
      </w:r>
    </w:p>
    <w:p>
      <w:pPr>
        <w:spacing w:after="0" w:line="206"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7.1 KTI warrants and represents to Micron that the Products will conform to the Specifications and shall be fit for their intended purpose and use and shall be free from any defects in material and workmanship for a period of two (2) years from the date of each shipment from KTI of the Products, provided that said period may be renegotiated for a longer period of time to conform to the industry standard current at the time of renegotiation. KTI's failure to take corrective actions for the next production lots after written notification of the problem(s) is provided to KTI may be considered by Micron to be a material breach of this Agreement.</w:t>
      </w:r>
    </w:p>
    <w:p>
      <w:pPr>
        <w:spacing w:after="0" w:line="214" w:lineRule="exact"/>
        <w:rPr>
          <w:rFonts w:ascii="Courier New" w:cs="Courier New" w:eastAsia="Courier New" w:hAnsi="Courier New"/>
          <w:sz w:val="18"/>
          <w:szCs w:val="18"/>
          <w:color w:val="auto"/>
        </w:rPr>
      </w:pPr>
    </w:p>
    <w:p>
      <w:pPr>
        <w:ind w:left="1052" w:right="1779" w:hanging="527"/>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7.2 In the event Micron determines that the Products are defective in workmanship or otherwise in breach of the warranty set forth in Paragraph 7.1, Micron shall notify KTI immediately in writing of the defect, and KTI shall promptly, at Micron's option, either repair or replace any defective Products at no cost to Micron, or credit to Micron's account Micron's purchase price and all reasonable out of pocket shipping costs incurred with respect to the return of the defective Products; provided, however, in the event such defect is directly attributable to a material error in the Technical Information transmitted by Micron to KTI under the Technical Assistance Agreement, then Micron agrees that during the two (2) year warranty period Micron will indemnify KTI for all direct manufacturing and material costs associated with the repair or replacement of the defective Products manufactured for Micron. MICRON SHALL NOT BE LIABLE FOR ANY CONSEQUENTIAL DAMAGES, COSTS OR LOSSES WITH RESPECT TO BUSINESS INTERRUPTION. A Return Material Authorization ("RMA") form previously issued by KTI must accompany any such returned Products.</w:t>
      </w:r>
    </w:p>
    <w:p>
      <w:pPr>
        <w:spacing w:after="0" w:line="395" w:lineRule="exact"/>
        <w:rPr>
          <w:rFonts w:ascii="Courier New" w:cs="Courier New" w:eastAsia="Courier New" w:hAnsi="Courier New"/>
          <w:sz w:val="18"/>
          <w:szCs w:val="18"/>
          <w:color w:val="auto"/>
        </w:rPr>
      </w:pPr>
    </w:p>
    <w:p>
      <w:pPr>
        <w:ind w:left="1052" w:right="1779" w:hanging="527"/>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7.3 Following receipt of each shipment, Micron shall perform an incoming test on each shipment of the Products shipped hereunder. In the event that such Products fail to conform to the Specifications as evidenced by the Micron incoming inspection, Micron shall have the right to return, after confirmation of failures, such Products to KTI for rework or replacement at no cost to Micron. Micron has the right to recommend corrective action to address any such variances from Specifications. Such return shipment shall be made by Micron F.O.B. the destination from which they were originally shipped by KTI.</w:t>
      </w:r>
    </w:p>
    <w:p>
      <w:pPr>
        <w:spacing w:after="0" w:line="178"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723" w:right="1440" w:bottom="1440" w:gutter="0" w:footer="0" w:header="0"/>
        </w:sectPr>
      </w:pPr>
    </w:p>
    <w:bookmarkStart w:id="62" w:name="page63"/>
    <w:bookmarkEnd w:id="62"/>
    <w:p>
      <w:pPr>
        <w:ind w:left="1052" w:right="1999" w:hanging="526"/>
        <w:spacing w:after="0" w:line="237" w:lineRule="auto"/>
        <w:tabs>
          <w:tab w:leader="none" w:pos="1032" w:val="left"/>
        </w:tabs>
        <w:rPr>
          <w:sz w:val="20"/>
          <w:szCs w:val="20"/>
          <w:color w:val="auto"/>
        </w:rPr>
      </w:pPr>
      <w:r>
        <w:rPr>
          <w:rFonts w:ascii="Courier New" w:cs="Courier New" w:eastAsia="Courier New" w:hAnsi="Courier New"/>
          <w:sz w:val="18"/>
          <w:szCs w:val="18"/>
          <w:color w:val="auto"/>
        </w:rPr>
        <w:t>7.4</w:t>
        <w:tab/>
        <w:t>If the Products fail Micron's incoming inspection tests at the shipping destination as designated on the Micron purchase order, Micron may so advise KTI in writing and receive, at Micron's option, prompt replacement of the Products or credit in that amount against pending or future Micron orders for the Products.</w:t>
      </w:r>
    </w:p>
    <w:p>
      <w:pPr>
        <w:spacing w:after="0" w:line="209" w:lineRule="exact"/>
        <w:rPr>
          <w:sz w:val="20"/>
          <w:szCs w:val="20"/>
          <w:color w:val="auto"/>
        </w:rPr>
      </w:pPr>
    </w:p>
    <w:p>
      <w:pPr>
        <w:ind w:left="1052" w:right="1779" w:hanging="526"/>
        <w:spacing w:after="0" w:line="237" w:lineRule="auto"/>
        <w:tabs>
          <w:tab w:leader="none" w:pos="1032" w:val="left"/>
        </w:tabs>
        <w:rPr>
          <w:sz w:val="20"/>
          <w:szCs w:val="20"/>
          <w:color w:val="auto"/>
        </w:rPr>
      </w:pPr>
      <w:r>
        <w:rPr>
          <w:rFonts w:ascii="Courier New" w:cs="Courier New" w:eastAsia="Courier New" w:hAnsi="Courier New"/>
          <w:sz w:val="18"/>
          <w:szCs w:val="18"/>
          <w:color w:val="auto"/>
        </w:rPr>
        <w:t>7.5</w:t>
        <w:tab/>
        <w:t>Except as provided in Section 20.5 of the Shareholders' Agreement, KTI will hold Micron harmless from and indemnify Micron against all claims made by third parties arising out of the operations of KTI or the Products manufactured by KTI, including all acts or omissions by KTI's personnel (whether or not such personnel are direct employees of KTI or have been obtained from one of the parties to the Shareholders' Agreement on a seconding or contractual basis).</w:t>
      </w:r>
    </w:p>
    <w:p>
      <w:pPr>
        <w:spacing w:after="0" w:line="211" w:lineRule="exact"/>
        <w:rPr>
          <w:sz w:val="20"/>
          <w:szCs w:val="20"/>
          <w:color w:val="auto"/>
        </w:rPr>
      </w:pPr>
    </w:p>
    <w:p>
      <w:pPr>
        <w:ind w:left="1052" w:right="1879" w:hanging="526"/>
        <w:spacing w:after="0" w:line="271" w:lineRule="auto"/>
        <w:tabs>
          <w:tab w:leader="none" w:pos="1032"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6"/>
          <w:szCs w:val="16"/>
          <w:color w:val="auto"/>
        </w:rPr>
        <w:t>The warranties in the Shareholders' Agreement and its Annexes, including this agreement, are stated in lieu of all other warranties, express, statutory, or implied, and neither assume nor authorize any other person to assume for the parties any other liabilities in connection with the manufacture or sale of said Products. The warranties shall not apply to any of such Products which have been repaired or altered, except as authorized by KTI, or which shall be subjected to misuse, negligence, accident, or abuse.</w:t>
      </w:r>
    </w:p>
    <w:p>
      <w:pPr>
        <w:spacing w:after="0" w:line="186" w:lineRule="exact"/>
        <w:rPr>
          <w:sz w:val="20"/>
          <w:szCs w:val="20"/>
          <w:color w:val="auto"/>
        </w:rPr>
      </w:pPr>
    </w:p>
    <w:p>
      <w:pPr>
        <w:ind w:left="1052" w:right="1779" w:hanging="526"/>
        <w:spacing w:after="0" w:line="236" w:lineRule="auto"/>
        <w:tabs>
          <w:tab w:leader="none" w:pos="1032" w:val="left"/>
        </w:tabs>
        <w:rPr>
          <w:sz w:val="20"/>
          <w:szCs w:val="20"/>
          <w:color w:val="auto"/>
        </w:rPr>
      </w:pPr>
      <w:r>
        <w:rPr>
          <w:rFonts w:ascii="Courier New" w:cs="Courier New" w:eastAsia="Courier New" w:hAnsi="Courier New"/>
          <w:sz w:val="18"/>
          <w:szCs w:val="18"/>
          <w:color w:val="auto"/>
        </w:rPr>
        <w:t>7.7</w:t>
        <w:tab/>
        <w:t>The terms "Specifications," "Technical Information," and "Products" as used herein shall have the same definitions as in the Technical Assistance Agreement.</w:t>
      </w:r>
    </w:p>
    <w:p>
      <w:pPr>
        <w:spacing w:after="0" w:line="203" w:lineRule="exact"/>
        <w:rPr>
          <w:sz w:val="20"/>
          <w:szCs w:val="20"/>
          <w:color w:val="auto"/>
        </w:rPr>
      </w:pPr>
    </w:p>
    <w:p>
      <w:pPr>
        <w:ind w:left="532" w:hanging="532"/>
        <w:spacing w:after="0"/>
        <w:tabs>
          <w:tab w:leader="none" w:pos="5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FORCE MAJEURE</w:t>
      </w:r>
    </w:p>
    <w:p>
      <w:pPr>
        <w:spacing w:after="0" w:line="206"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 Should any Party be prevented from performing its contractual obligations under this Agreement due to the cause or causes of force majeure such as acts of God, acts of war (declared or undeclared), fire, storm, floods, typhoon or other severe weather conditions, serious earthquake, strikes, boycotts, legal restraints, government or like interference, accidental damage to equipment, as well as any other cause outside the control of that Party, that Party shall not be liable to the other for any delay or failure of performance caused by any of the above events.</w:t>
      </w:r>
    </w:p>
    <w:p>
      <w:pPr>
        <w:spacing w:after="0" w:line="213"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8.2 The Party prevented from performing by the causes identified in Paragraph 8.1 shall notify the other Party of the occurrence of any of the above events in writing by cable or telex within the shortest possible time.</w:t>
      </w:r>
    </w:p>
    <w:p>
      <w:pPr>
        <w:spacing w:after="0" w:line="207"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8.3 Should the delay caused by any of the above events continue for more than ninety (90) days, the Parties shall settle the problem of further performance of this Agreement through friendly negotiations as soon as possible. In the event that the Parties cannot meet to negotiate or cannot reach agreement, the Agreement may be terminated by prior written notice of one Party to the other Party.</w:t>
      </w:r>
    </w:p>
    <w:p>
      <w:pPr>
        <w:spacing w:after="0" w:line="204"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723" w:right="1440" w:bottom="1440" w:gutter="0" w:footer="0" w:header="0"/>
        </w:sectPr>
      </w:pPr>
    </w:p>
    <w:bookmarkStart w:id="63" w:name="page64"/>
    <w:bookmarkEnd w:id="63"/>
    <w:p>
      <w:pPr>
        <w:ind w:left="532" w:hanging="532"/>
        <w:spacing w:after="0"/>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RETURN MATERIAL AUTHORIZATION</w:t>
      </w:r>
    </w:p>
    <w:p>
      <w:pPr>
        <w:spacing w:after="0" w:line="206" w:lineRule="exact"/>
        <w:rPr>
          <w:rFonts w:ascii="Courier New" w:cs="Courier New" w:eastAsia="Courier New" w:hAnsi="Courier New"/>
          <w:sz w:val="18"/>
          <w:szCs w:val="18"/>
          <w:color w:val="auto"/>
        </w:rPr>
      </w:pPr>
    </w:p>
    <w:p>
      <w:pPr>
        <w:ind w:left="1052" w:right="219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9.1 Defective material shall be returned freight collect to KTI. Replacement material shall be sent freight prepaid from KTI, which shall absorb the burden of premium transportation when defect or replacement material places critical time or delivery schedule constraints on Micron.</w:t>
      </w:r>
    </w:p>
    <w:p>
      <w:pPr>
        <w:spacing w:after="0" w:line="208" w:lineRule="exact"/>
        <w:rPr>
          <w:rFonts w:ascii="Courier New" w:cs="Courier New" w:eastAsia="Courier New" w:hAnsi="Courier New"/>
          <w:sz w:val="18"/>
          <w:szCs w:val="18"/>
          <w:color w:val="auto"/>
        </w:rPr>
      </w:pPr>
    </w:p>
    <w:p>
      <w:pPr>
        <w:ind w:left="1052" w:right="209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9.2 KTI agrees to provide as soon as reasonably possible, but not exceeding five (5) work days, RMAs as contemplated by Paragraph 7.2 herein.</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OVERSHIPMENTS</w:t>
      </w:r>
    </w:p>
    <w:p>
      <w:pPr>
        <w:spacing w:after="0" w:line="206" w:lineRule="exact"/>
        <w:rPr>
          <w:rFonts w:ascii="Courier New" w:cs="Courier New" w:eastAsia="Courier New" w:hAnsi="Courier New"/>
          <w:sz w:val="18"/>
          <w:szCs w:val="18"/>
          <w:color w:val="auto"/>
        </w:rPr>
      </w:pPr>
    </w:p>
    <w:p>
      <w:pPr>
        <w:ind w:left="1052" w:right="219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 KTI shall ship only the quantity(ies) specified in purchase orders placed under this Agreement. However, any deviation caused by conditions of loading, shipping, packing or allowances in manufacturing processes may be accepted by Micron according to the overshipment allowance indicated on the face of Micron purchase orders. If no allowance is shown, no percentage overshipment is allowed. Micron reserves the right to return any overshipment in excess of the allowance at KTI's expense.</w:t>
      </w:r>
    </w:p>
    <w:p>
      <w:pPr>
        <w:spacing w:after="0" w:line="20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PACKING AND SHIPPING INSTRUCTIONS</w:t>
      </w:r>
    </w:p>
    <w:p>
      <w:pPr>
        <w:spacing w:after="0" w:line="206" w:lineRule="exact"/>
        <w:rPr>
          <w:rFonts w:ascii="Courier New" w:cs="Courier New" w:eastAsia="Courier New" w:hAnsi="Courier New"/>
          <w:sz w:val="18"/>
          <w:szCs w:val="18"/>
          <w:color w:val="auto"/>
        </w:rPr>
      </w:pPr>
    </w:p>
    <w:p>
      <w:pPr>
        <w:ind w:left="1052" w:right="1779" w:hanging="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11.1 KTI will properly pack and describe shipments in accordance with Micron specifications and applicable carrier regulations. Shipment will be made at the lowest possible freight charges. Micron may assist KTI by providing freight classifications or classifying material. KTI will insure or declare value on shipments except on parcel post, unless Micron specifies otherwise. On shipments where value is declared, KTI will ship prepaid insured for fifty U.S. dollars (US $50.00) to facilitate tracing. If shipping by air carrier, KTI will ship freight prepaid. KTI shall consolidate the air and surface shipments on single bills of lading insofar as possible so as to avoid premium freight costs unless instructed otherwise by Micron.</w:t>
      </w:r>
    </w:p>
    <w:p>
      <w:pPr>
        <w:spacing w:after="0" w:line="201"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11.2 In case any shipment does not correspond to normal practice in the</w:t>
      </w:r>
    </w:p>
    <w:p>
      <w:pPr>
        <w:spacing w:after="0" w:line="4" w:lineRule="exact"/>
        <w:rPr>
          <w:rFonts w:ascii="Courier New" w:cs="Courier New" w:eastAsia="Courier New" w:hAnsi="Courier New"/>
          <w:sz w:val="18"/>
          <w:szCs w:val="18"/>
          <w:color w:val="auto"/>
        </w:rPr>
      </w:pPr>
    </w:p>
    <w:p>
      <w:pPr>
        <w:ind w:left="1052"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industry (e.g., require special handling shipment or air ride suspension, or air shipment over five hundred (500) pounds, or over one hundred twenty (120) inches long or wide or over fifty-six (56) cubic feet, etc.), KTI agrees to notify Micron's appropriate traffic department seventy-two (72) hours prior to shipment for special shipping instructions.</w:t>
      </w:r>
    </w:p>
    <w:p>
      <w:pPr>
        <w:spacing w:after="0" w:line="209" w:lineRule="exact"/>
        <w:rPr>
          <w:rFonts w:ascii="Courier New" w:cs="Courier New" w:eastAsia="Courier New" w:hAnsi="Courier New"/>
          <w:sz w:val="18"/>
          <w:szCs w:val="18"/>
          <w:color w:val="auto"/>
        </w:rPr>
      </w:pPr>
    </w:p>
    <w:p>
      <w:pPr>
        <w:ind w:left="1052"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11.3 Each box, crate or carton will show Micron's full street address and purchase order number regardless of how shipped. On air carrier shipments, a packing list shall accompany each container and shall describe the contents of such container. On all other shipments, KTI will provide a packing list to accompany each shipment, referencing the appropriate purchase order number. The bill of lading also will reference the purchase order number.</w:t>
      </w:r>
    </w:p>
    <w:p>
      <w:pPr>
        <w:spacing w:after="0" w:line="205"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717" w:right="1440" w:bottom="1440" w:gutter="0" w:footer="0" w:header="0"/>
        </w:sectPr>
      </w:pPr>
    </w:p>
    <w:bookmarkStart w:id="64" w:name="page65"/>
    <w:bookmarkEnd w:id="64"/>
    <w:p>
      <w:pPr>
        <w:ind w:left="1052" w:right="1879" w:hanging="526"/>
        <w:spacing w:after="0" w:line="273" w:lineRule="auto"/>
        <w:rPr>
          <w:sz w:val="20"/>
          <w:szCs w:val="20"/>
          <w:color w:val="auto"/>
        </w:rPr>
      </w:pPr>
      <w:r>
        <w:rPr>
          <w:rFonts w:ascii="Courier New" w:cs="Courier New" w:eastAsia="Courier New" w:hAnsi="Courier New"/>
          <w:sz w:val="16"/>
          <w:szCs w:val="16"/>
          <w:color w:val="auto"/>
        </w:rPr>
        <w:t>11.4 KTI is responsible for packing shipments correctly based on the carrier/mode utilized. Charges for packing and crating shall be deemed part of the purchase price and no additional charges will be made therefor unless specifically requested by Micron on the purchase order. KTI agrees to ship via the carrier specified by Micron.</w:t>
      </w:r>
    </w:p>
    <w:p>
      <w:pPr>
        <w:spacing w:after="0" w:line="179" w:lineRule="exact"/>
        <w:rPr>
          <w:sz w:val="20"/>
          <w:szCs w:val="20"/>
          <w:color w:val="auto"/>
        </w:rPr>
      </w:pPr>
    </w:p>
    <w:p>
      <w:pPr>
        <w:ind w:left="532" w:hanging="532"/>
        <w:spacing w:after="0"/>
        <w:tabs>
          <w:tab w:leader="none" w:pos="5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LABOR DISPUTE</w:t>
      </w:r>
    </w:p>
    <w:p>
      <w:pPr>
        <w:spacing w:after="0" w:line="206" w:lineRule="exact"/>
        <w:rPr>
          <w:rFonts w:ascii="Courier New" w:cs="Courier New" w:eastAsia="Courier New" w:hAnsi="Courier New"/>
          <w:sz w:val="18"/>
          <w:szCs w:val="18"/>
          <w:color w:val="auto"/>
        </w:rPr>
      </w:pPr>
    </w:p>
    <w:p>
      <w:pPr>
        <w:ind w:left="1052" w:right="187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12.1 Whenever any actual or potential labor dispute delays or threatens to delay the timely performance of any purchase order issued hereunder, KTI shall immediately give notice thereof to Micron.</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w:t>
      </w:r>
    </w:p>
    <w:p>
      <w:pPr>
        <w:spacing w:after="0" w:line="206"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13.1 This Agreement and any purchase order issued hereunder shall not be governed by the United Nations Convention on the International Sale of Goods; rather this Agreement and any purchase order issued hereunder shall be governed by, construed and enforced in accordance with the laws of the State of New York, U.S.A. The Parties hereby submit to the exclusive jurisdiction of the Federal Courts of the United States of America and specifically the U.S. District Court for the Southern District of New York.</w:t>
      </w:r>
    </w:p>
    <w:p>
      <w:pPr>
        <w:spacing w:after="0" w:line="212" w:lineRule="exact"/>
        <w:rPr>
          <w:sz w:val="20"/>
          <w:szCs w:val="20"/>
          <w:color w:val="auto"/>
        </w:rPr>
      </w:pPr>
    </w:p>
    <w:p>
      <w:pPr>
        <w:ind w:left="1052" w:right="1999" w:hanging="526"/>
        <w:spacing w:after="0" w:line="236" w:lineRule="auto"/>
        <w:rPr>
          <w:sz w:val="20"/>
          <w:szCs w:val="20"/>
          <w:color w:val="auto"/>
        </w:rPr>
      </w:pPr>
      <w:r>
        <w:rPr>
          <w:rFonts w:ascii="Courier New" w:cs="Courier New" w:eastAsia="Courier New" w:hAnsi="Courier New"/>
          <w:sz w:val="18"/>
          <w:szCs w:val="18"/>
          <w:color w:val="auto"/>
        </w:rPr>
        <w:t>13.2 For the purpose of any proceeding before the Federal Courts, the Parties hereby appoint the respective persons set out below as their agents for service of process in New York:</w:t>
      </w:r>
    </w:p>
    <w:p>
      <w:pPr>
        <w:sectPr>
          <w:pgSz w:w="11900" w:h="16838" w:orient="portrait"/>
          <w:cols w:equalWidth="0" w:num="1">
            <w:col w:w="10211"/>
          </w:cols>
          <w:pgMar w:left="248" w:top="723" w:right="1440" w:bottom="1440" w:gutter="0" w:footer="0" w:header="0"/>
        </w:sectPr>
      </w:pPr>
    </w:p>
    <w:p>
      <w:pPr>
        <w:spacing w:after="0" w:line="209"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Micron: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CT Corporation System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1633 Broadway</w:t>
      </w:r>
    </w:p>
    <w:p>
      <w:pPr>
        <w:spacing w:after="0" w:line="238" w:lineRule="auto"/>
        <w:rPr>
          <w:sz w:val="20"/>
          <w:szCs w:val="20"/>
          <w:color w:val="auto"/>
        </w:rPr>
      </w:pPr>
      <w:r>
        <w:rPr>
          <w:rFonts w:ascii="Courier New" w:cs="Courier New" w:eastAsia="Courier New" w:hAnsi="Courier New"/>
          <w:sz w:val="18"/>
          <w:szCs w:val="18"/>
          <w:color w:val="auto"/>
        </w:rPr>
        <w:t>New York, NY 10019</w:t>
      </w:r>
    </w:p>
    <w:p>
      <w:pPr>
        <w:spacing w:after="0"/>
        <w:rPr>
          <w:sz w:val="20"/>
          <w:szCs w:val="20"/>
          <w:color w:val="auto"/>
        </w:rPr>
      </w:pPr>
      <w:r>
        <w:rPr>
          <w:rFonts w:ascii="Courier New" w:cs="Courier New" w:eastAsia="Courier New" w:hAnsi="Courier New"/>
          <w:sz w:val="18"/>
          <w:szCs w:val="18"/>
          <w:color w:val="auto"/>
        </w:rPr>
        <w:t>USA</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KTI:</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Kobe Steel USA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535 Madison Avenue</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ectPr>
          <w:pgSz w:w="11900" w:h="16838" w:orient="portrait"/>
          <w:cols w:equalWidth="0" w:num="4">
            <w:col w:w="1792" w:space="200"/>
            <w:col w:w="2220" w:space="420"/>
            <w:col w:w="420" w:space="220"/>
            <w:col w:w="4939"/>
          </w:cols>
          <w:pgMar w:left="248" w:top="723" w:right="1440" w:bottom="1440" w:gutter="0" w:footer="0" w:header="0"/>
          <w:type w:val="continuous"/>
        </w:sectPr>
      </w:pPr>
    </w:p>
    <w:p>
      <w:pPr>
        <w:ind w:left="532" w:hanging="532"/>
        <w:spacing w:after="0"/>
        <w:tabs>
          <w:tab w:leader="none" w:pos="5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left="1152" w:right="2199" w:hanging="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14.1 All notices and formal communications required or permitted to be given hereunder shall be served on each Party in writing, via facsimile transmission, registered letter, telex or prepaid cable and shall be valid and sufficient when served on a Party at the following address:</w:t>
      </w:r>
    </w:p>
    <w:p>
      <w:pPr>
        <w:spacing w:after="0" w:line="203" w:lineRule="exact"/>
        <w:rPr>
          <w:sz w:val="20"/>
          <w:szCs w:val="20"/>
          <w:color w:val="auto"/>
        </w:rPr>
      </w:pPr>
    </w:p>
    <w:tbl>
      <w:tblPr>
        <w:tblLayout w:type="fixed"/>
        <w:tblInd w:w="1152"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If to</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KTI:</w:t>
            </w:r>
          </w:p>
        </w:tc>
        <w:tc>
          <w:tcPr>
            <w:tcW w:w="2740" w:type="dxa"/>
            <w:vAlign w:val="bottom"/>
          </w:tcPr>
          <w:p>
            <w:pPr>
              <w:ind w:left="200"/>
              <w:spacing w:after="0"/>
              <w:rPr>
                <w:sz w:val="20"/>
                <w:szCs w:val="20"/>
                <w:color w:val="auto"/>
              </w:rPr>
            </w:pPr>
            <w:r>
              <w:rPr>
                <w:rFonts w:ascii="Courier New" w:cs="Courier New" w:eastAsia="Courier New" w:hAnsi="Courier New"/>
                <w:sz w:val="18"/>
                <w:szCs w:val="18"/>
                <w:color w:val="auto"/>
              </w:rPr>
              <w:t>if to Micron:</w:t>
            </w: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President</w:t>
            </w:r>
          </w:p>
        </w:tc>
        <w:tc>
          <w:tcPr>
            <w:tcW w:w="2740" w:type="dxa"/>
            <w:vAlign w:val="bottom"/>
          </w:tcPr>
          <w:p>
            <w:pPr>
              <w:spacing w:after="0"/>
              <w:rPr>
                <w:sz w:val="24"/>
                <w:szCs w:val="24"/>
                <w:color w:val="auto"/>
              </w:rPr>
            </w:pP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KTI Semiconductor Limited</w:t>
            </w: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General Counsel</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302-2</w:t>
            </w:r>
          </w:p>
        </w:tc>
        <w:tc>
          <w:tcPr>
            <w:tcW w:w="3120" w:type="dxa"/>
            <w:vAlign w:val="bottom"/>
          </w:tcPr>
          <w:p>
            <w:pPr>
              <w:spacing w:after="0"/>
              <w:rPr>
                <w:sz w:val="17"/>
                <w:szCs w:val="17"/>
                <w:color w:val="auto"/>
              </w:rPr>
            </w:pP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Micron Technology, Inc.</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Hirano-cho, Nishiwaki</w:t>
            </w: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8000 South Federal Way</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Hyogo</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Prefecture, 677-0063, Japan</w:t>
            </w:r>
          </w:p>
        </w:tc>
        <w:tc>
          <w:tcPr>
            <w:tcW w:w="2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Boise, Idaho  83716-9632</w:t>
            </w:r>
          </w:p>
        </w:tc>
      </w:tr>
      <w:tr>
        <w:trPr>
          <w:trHeight w:val="405"/>
        </w:trPr>
        <w:tc>
          <w:tcPr>
            <w:tcW w:w="580" w:type="dxa"/>
            <w:vAlign w:val="bottom"/>
          </w:tcPr>
          <w:p>
            <w:pPr>
              <w:spacing w:after="0"/>
              <w:rPr>
                <w:sz w:val="24"/>
                <w:szCs w:val="24"/>
                <w:color w:val="auto"/>
              </w:rPr>
            </w:pPr>
          </w:p>
        </w:tc>
        <w:tc>
          <w:tcPr>
            <w:tcW w:w="3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rPr>
                <w:sz w:val="24"/>
                <w:szCs w:val="24"/>
                <w:color w:val="auto"/>
              </w:rPr>
            </w:pPr>
          </w:p>
        </w:tc>
      </w:tr>
    </w:tbl>
    <w:p>
      <w:pPr>
        <w:sectPr>
          <w:pgSz w:w="11900" w:h="16838" w:orient="portrait"/>
          <w:cols w:equalWidth="0" w:num="1">
            <w:col w:w="10211"/>
          </w:cols>
          <w:pgMar w:left="248" w:top="723" w:right="1440" w:bottom="1440" w:gutter="0" w:footer="0" w:header="0"/>
          <w:type w:val="continuous"/>
        </w:sectPr>
      </w:pPr>
    </w:p>
    <w:bookmarkStart w:id="65" w:name="page66"/>
    <w:bookmarkEnd w:id="65"/>
    <w:p>
      <w:pPr>
        <w:ind w:left="620" w:right="1779" w:hanging="631"/>
        <w:spacing w:after="0" w:line="271" w:lineRule="auto"/>
        <w:tabs>
          <w:tab w:leader="none" w:pos="600" w:val="left"/>
        </w:tabs>
        <w:rPr>
          <w:sz w:val="20"/>
          <w:szCs w:val="20"/>
          <w:color w:val="auto"/>
        </w:rPr>
      </w:pPr>
      <w:r>
        <w:rPr>
          <w:rFonts w:ascii="Courier New" w:cs="Courier New" w:eastAsia="Courier New" w:hAnsi="Courier New"/>
          <w:sz w:val="18"/>
          <w:szCs w:val="18"/>
          <w:color w:val="auto"/>
        </w:rPr>
        <w:t>14.2</w:t>
      </w:r>
      <w:r>
        <w:rPr>
          <w:sz w:val="20"/>
          <w:szCs w:val="20"/>
          <w:color w:val="auto"/>
        </w:rPr>
        <w:tab/>
      </w:r>
      <w:r>
        <w:rPr>
          <w:rFonts w:ascii="Courier New" w:cs="Courier New" w:eastAsia="Courier New" w:hAnsi="Courier New"/>
          <w:sz w:val="16"/>
          <w:szCs w:val="16"/>
          <w:color w:val="auto"/>
        </w:rPr>
        <w:t>Except as required by law, for governmental approval or as may be reasonably required for the operation of KTI, the parties shall not, without the prior written consent of the other, disclose to any third party, other than the Parties to the Shareholders' Agreement either the existence or contents of this Agreement, or any information of a proprietary nature which it obtains or which becomes available to it as the result of this Agreement or of the operations of KTI.</w:t>
      </w:r>
    </w:p>
    <w:p>
      <w:pPr>
        <w:spacing w:after="0" w:line="188" w:lineRule="exact"/>
        <w:rPr>
          <w:sz w:val="20"/>
          <w:szCs w:val="20"/>
          <w:color w:val="auto"/>
        </w:rPr>
      </w:pPr>
    </w:p>
    <w:p>
      <w:pPr>
        <w:ind w:left="620" w:right="1999" w:hanging="631"/>
        <w:spacing w:after="0" w:line="236" w:lineRule="auto"/>
        <w:tabs>
          <w:tab w:leader="none" w:pos="600" w:val="left"/>
        </w:tabs>
        <w:rPr>
          <w:sz w:val="20"/>
          <w:szCs w:val="20"/>
          <w:color w:val="auto"/>
        </w:rPr>
      </w:pPr>
      <w:r>
        <w:rPr>
          <w:rFonts w:ascii="Courier New" w:cs="Courier New" w:eastAsia="Courier New" w:hAnsi="Courier New"/>
          <w:sz w:val="18"/>
          <w:szCs w:val="18"/>
          <w:color w:val="auto"/>
        </w:rPr>
        <w:t>14.3</w:t>
        <w:tab/>
        <w:t>KTI agrees to comply with all applicable export control laws and to obtain all export licenses required for performance of its obligations hereunder.</w:t>
      </w:r>
    </w:p>
    <w:p>
      <w:pPr>
        <w:spacing w:after="0" w:line="209" w:lineRule="exact"/>
        <w:rPr>
          <w:sz w:val="20"/>
          <w:szCs w:val="20"/>
          <w:color w:val="auto"/>
        </w:rPr>
      </w:pPr>
    </w:p>
    <w:p>
      <w:pPr>
        <w:ind w:left="620" w:right="1999" w:hanging="631"/>
        <w:spacing w:after="0" w:line="237" w:lineRule="auto"/>
        <w:tabs>
          <w:tab w:leader="none" w:pos="600" w:val="left"/>
        </w:tabs>
        <w:rPr>
          <w:sz w:val="20"/>
          <w:szCs w:val="20"/>
          <w:color w:val="auto"/>
        </w:rPr>
      </w:pPr>
      <w:r>
        <w:rPr>
          <w:rFonts w:ascii="Courier New" w:cs="Courier New" w:eastAsia="Courier New" w:hAnsi="Courier New"/>
          <w:sz w:val="18"/>
          <w:szCs w:val="18"/>
          <w:color w:val="auto"/>
        </w:rPr>
        <w:t>14.4</w:t>
        <w:tab/>
        <w:t>Micron may assign this Agreement or any obligation hereunder to any Affiliate (as that term is defined in the Shareholders' Agreement) of Micron upon written notice to KTI. In such event, Micron shall be the controlling Party of such assignee and shall guarantee the obligations of such assignee under this Agreement. KTI shall not assign or transfer this Agreement or any portion hereof, or subcontract any obligation hereunder, without the prior written consent of Micron. Any such attempted assignment, transfer or subcontract by KTI shall be void.</w:t>
      </w:r>
    </w:p>
    <w:p>
      <w:pPr>
        <w:spacing w:after="0" w:line="214" w:lineRule="exact"/>
        <w:rPr>
          <w:sz w:val="20"/>
          <w:szCs w:val="20"/>
          <w:color w:val="auto"/>
        </w:rPr>
      </w:pPr>
    </w:p>
    <w:p>
      <w:pPr>
        <w:ind w:left="620" w:right="2099" w:hanging="631"/>
        <w:spacing w:after="0" w:line="279" w:lineRule="auto"/>
        <w:tabs>
          <w:tab w:leader="none" w:pos="600" w:val="left"/>
        </w:tabs>
        <w:rPr>
          <w:sz w:val="20"/>
          <w:szCs w:val="20"/>
          <w:color w:val="auto"/>
        </w:rPr>
      </w:pPr>
      <w:r>
        <w:rPr>
          <w:rFonts w:ascii="Courier New" w:cs="Courier New" w:eastAsia="Courier New" w:hAnsi="Courier New"/>
          <w:sz w:val="18"/>
          <w:szCs w:val="18"/>
          <w:color w:val="auto"/>
        </w:rPr>
        <w:t>14.5</w:t>
      </w:r>
      <w:r>
        <w:rPr>
          <w:sz w:val="20"/>
          <w:szCs w:val="20"/>
          <w:color w:val="auto"/>
        </w:rPr>
        <w:tab/>
      </w:r>
      <w:r>
        <w:rPr>
          <w:rFonts w:ascii="Courier New" w:cs="Courier New" w:eastAsia="Courier New" w:hAnsi="Courier New"/>
          <w:sz w:val="16"/>
          <w:szCs w:val="16"/>
          <w:color w:val="auto"/>
        </w:rPr>
        <w:t>The headings of the Paragraphs of this Agreement are for reference purposes only and shall not be deemed to affect in any way the meaning or interpretation of the Paragraphs to which they refer.</w:t>
      </w:r>
    </w:p>
    <w:p>
      <w:pPr>
        <w:spacing w:after="0" w:line="178" w:lineRule="exact"/>
        <w:rPr>
          <w:sz w:val="20"/>
          <w:szCs w:val="20"/>
          <w:color w:val="auto"/>
        </w:rPr>
      </w:pPr>
    </w:p>
    <w:p>
      <w:pPr>
        <w:ind w:left="620" w:right="1779" w:hanging="631"/>
        <w:spacing w:after="0" w:line="237" w:lineRule="auto"/>
        <w:tabs>
          <w:tab w:leader="none" w:pos="600" w:val="left"/>
        </w:tabs>
        <w:rPr>
          <w:sz w:val="20"/>
          <w:szCs w:val="20"/>
          <w:color w:val="auto"/>
        </w:rPr>
      </w:pPr>
      <w:r>
        <w:rPr>
          <w:rFonts w:ascii="Courier New" w:cs="Courier New" w:eastAsia="Courier New" w:hAnsi="Courier New"/>
          <w:sz w:val="18"/>
          <w:szCs w:val="18"/>
          <w:color w:val="auto"/>
        </w:rPr>
        <w:t>14.6</w:t>
        <w:tab/>
        <w:t>The failure on the part of any Party to exercise or enforce any rights conferred on it hereunder shall not be deemed to constitute a waiver of any rights or operate to bar the exercise or enforcement of any such right at any time or times thereafter.</w:t>
      </w:r>
    </w:p>
    <w:p>
      <w:pPr>
        <w:spacing w:after="0" w:line="202" w:lineRule="exact"/>
        <w:rPr>
          <w:sz w:val="20"/>
          <w:szCs w:val="20"/>
          <w:color w:val="auto"/>
        </w:rPr>
      </w:pPr>
    </w:p>
    <w:p>
      <w:pPr>
        <w:jc w:val="center"/>
        <w:ind w:right="1999"/>
        <w:spacing w:after="0"/>
        <w:tabs>
          <w:tab w:leader="none" w:pos="180" w:val="left"/>
        </w:tabs>
        <w:rPr>
          <w:sz w:val="20"/>
          <w:szCs w:val="20"/>
          <w:color w:val="auto"/>
        </w:rPr>
      </w:pPr>
      <w:r>
        <w:rPr>
          <w:rFonts w:ascii="Courier New" w:cs="Courier New" w:eastAsia="Courier New" w:hAnsi="Courier New"/>
          <w:sz w:val="18"/>
          <w:szCs w:val="18"/>
          <w:color w:val="auto"/>
        </w:rPr>
        <w:t>14.7</w:t>
      </w:r>
      <w:r>
        <w:rPr>
          <w:sz w:val="20"/>
          <w:szCs w:val="20"/>
          <w:color w:val="auto"/>
        </w:rPr>
        <w:tab/>
      </w:r>
      <w:r>
        <w:rPr>
          <w:rFonts w:ascii="Courier New" w:cs="Courier New" w:eastAsia="Courier New" w:hAnsi="Courier New"/>
          <w:sz w:val="16"/>
          <w:szCs w:val="16"/>
          <w:color w:val="auto"/>
        </w:rPr>
        <w:t>This Agreement may be executed in one or more counterparts, each of</w:t>
      </w:r>
    </w:p>
    <w:p>
      <w:pPr>
        <w:spacing w:after="0" w:line="4" w:lineRule="exact"/>
        <w:rPr>
          <w:sz w:val="20"/>
          <w:szCs w:val="20"/>
          <w:color w:val="auto"/>
        </w:rPr>
      </w:pPr>
    </w:p>
    <w:p>
      <w:pPr>
        <w:ind w:left="620" w:right="2619"/>
        <w:spacing w:after="0" w:line="236" w:lineRule="auto"/>
        <w:rPr>
          <w:sz w:val="20"/>
          <w:szCs w:val="20"/>
          <w:color w:val="auto"/>
        </w:rPr>
      </w:pPr>
      <w:r>
        <w:rPr>
          <w:rFonts w:ascii="Courier New" w:cs="Courier New" w:eastAsia="Courier New" w:hAnsi="Courier New"/>
          <w:sz w:val="18"/>
          <w:szCs w:val="18"/>
          <w:color w:val="auto"/>
        </w:rPr>
        <w:t>which shall be enforceable against the Parties executing such counterparts, and all of which together shall constitute one instrument.</w:t>
      </w:r>
    </w:p>
    <w:p>
      <w:pPr>
        <w:spacing w:after="0" w:line="209" w:lineRule="exact"/>
        <w:rPr>
          <w:sz w:val="20"/>
          <w:szCs w:val="20"/>
          <w:color w:val="auto"/>
        </w:rPr>
      </w:pPr>
    </w:p>
    <w:p>
      <w:pPr>
        <w:ind w:left="620" w:right="1999" w:hanging="631"/>
        <w:spacing w:after="0" w:line="235" w:lineRule="auto"/>
        <w:tabs>
          <w:tab w:leader="none" w:pos="600" w:val="left"/>
        </w:tabs>
        <w:rPr>
          <w:sz w:val="20"/>
          <w:szCs w:val="20"/>
          <w:color w:val="auto"/>
        </w:rPr>
      </w:pPr>
      <w:r>
        <w:rPr>
          <w:rFonts w:ascii="Courier New" w:cs="Courier New" w:eastAsia="Courier New" w:hAnsi="Courier New"/>
          <w:sz w:val="18"/>
          <w:szCs w:val="18"/>
          <w:color w:val="auto"/>
        </w:rPr>
        <w:t>14.8</w:t>
        <w:tab/>
        <w:t>This Agreement may not be modified, except with the written consent of the Parties.</w:t>
      </w:r>
    </w:p>
    <w:p>
      <w:pPr>
        <w:spacing w:after="0" w:line="208" w:lineRule="exact"/>
        <w:rPr>
          <w:sz w:val="20"/>
          <w:szCs w:val="20"/>
          <w:color w:val="auto"/>
        </w:rPr>
      </w:pPr>
    </w:p>
    <w:p>
      <w:pPr>
        <w:ind w:left="620" w:right="1999" w:hanging="631"/>
        <w:spacing w:after="0" w:line="237" w:lineRule="auto"/>
        <w:tabs>
          <w:tab w:leader="none" w:pos="600" w:val="left"/>
        </w:tabs>
        <w:rPr>
          <w:sz w:val="20"/>
          <w:szCs w:val="20"/>
          <w:color w:val="auto"/>
        </w:rPr>
      </w:pPr>
      <w:r>
        <w:rPr>
          <w:rFonts w:ascii="Courier New" w:cs="Courier New" w:eastAsia="Courier New" w:hAnsi="Courier New"/>
          <w:sz w:val="18"/>
          <w:szCs w:val="18"/>
          <w:color w:val="auto"/>
        </w:rPr>
        <w:t>14.9</w:t>
        <w:tab/>
        <w:t>If any provision of this Agreement shall be held invalid or unenforceable by any court of competent jurisdiction or as a result of future legislative action, such holding or action shall be strictly construed and, subject to applicable law, shall not affect the validity or effect of any other provisions hereof.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679"/>
          </w:cols>
          <w:pgMar w:left="780" w:top="723" w:right="1440" w:bottom="1440" w:gutter="0" w:footer="0" w:header="0"/>
        </w:sectPr>
      </w:pPr>
    </w:p>
    <w:bookmarkStart w:id="66" w:name="page67"/>
    <w:bookmarkEnd w:id="66"/>
    <w:p>
      <w:pPr>
        <w:ind w:right="2619" w:firstLine="527"/>
        <w:spacing w:after="0" w:line="235" w:lineRule="auto"/>
        <w:rPr>
          <w:sz w:val="20"/>
          <w:szCs w:val="20"/>
          <w:color w:val="auto"/>
        </w:rPr>
      </w:pPr>
      <w:r>
        <w:rPr>
          <w:rFonts w:ascii="Courier New" w:cs="Courier New" w:eastAsia="Courier New" w:hAnsi="Courier New"/>
          <w:sz w:val="18"/>
          <w:szCs w:val="18"/>
          <w:color w:val="auto"/>
        </w:rPr>
        <w:t>IN WITNESS WHEREOF, the Parties have signed and dated this Purchase Agreement in the space provided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KTI SEMICONDUCTOR LIMITED</w:t>
            </w:r>
          </w:p>
        </w:tc>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MICRON</w:t>
            </w:r>
          </w:p>
        </w:tc>
        <w:tc>
          <w:tcPr>
            <w:tcW w:w="2700" w:type="dxa"/>
            <w:vAlign w:val="bottom"/>
          </w:tcPr>
          <w:p>
            <w:pPr>
              <w:jc w:val="right"/>
              <w:ind w:right="872"/>
              <w:spacing w:after="0"/>
              <w:rPr>
                <w:sz w:val="20"/>
                <w:szCs w:val="20"/>
                <w:color w:val="auto"/>
              </w:rPr>
            </w:pPr>
            <w:r>
              <w:rPr>
                <w:rFonts w:ascii="Courier New" w:cs="Courier New" w:eastAsia="Courier New" w:hAnsi="Courier New"/>
                <w:sz w:val="18"/>
                <w:szCs w:val="18"/>
                <w:color w:val="auto"/>
                <w:w w:val="99"/>
              </w:rPr>
              <w:t>TECHNOLOGY, INC.</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By:   _________________________</w:t>
            </w:r>
          </w:p>
        </w:tc>
        <w:tc>
          <w:tcPr>
            <w:tcW w:w="780" w:type="dxa"/>
            <w:vAlign w:val="bottom"/>
          </w:tcPr>
          <w:p>
            <w:pPr>
              <w:ind w:left="200"/>
              <w:spacing w:after="0"/>
              <w:rPr>
                <w:sz w:val="20"/>
                <w:szCs w:val="20"/>
                <w:color w:val="auto"/>
              </w:rPr>
            </w:pPr>
            <w:r>
              <w:rPr>
                <w:rFonts w:ascii="Courier New" w:cs="Courier New" w:eastAsia="Courier New" w:hAnsi="Courier New"/>
                <w:sz w:val="18"/>
                <w:szCs w:val="18"/>
                <w:color w:val="auto"/>
              </w:rPr>
              <w:t>By:</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w w:val="99"/>
              </w:rPr>
              <w:t>_________________________</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Name: _________________________</w:t>
            </w:r>
          </w:p>
        </w:tc>
        <w:tc>
          <w:tcPr>
            <w:tcW w:w="3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Name: _________________________</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Title:_________________________</w:t>
            </w:r>
          </w:p>
        </w:tc>
        <w:tc>
          <w:tcPr>
            <w:tcW w:w="3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Title:_________________________</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Date: _________________________</w:t>
            </w:r>
          </w:p>
        </w:tc>
        <w:tc>
          <w:tcPr>
            <w:tcW w:w="3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Date: _________________________</w:t>
            </w:r>
          </w:p>
        </w:tc>
      </w:tr>
      <w:tr>
        <w:trPr>
          <w:trHeight w:val="608"/>
        </w:trPr>
        <w:tc>
          <w:tcPr>
            <w:tcW w:w="3380" w:type="dxa"/>
            <w:vAlign w:val="bottom"/>
          </w:tcPr>
          <w:p>
            <w:pPr>
              <w:spacing w:after="0"/>
              <w:rPr>
                <w:sz w:val="24"/>
                <w:szCs w:val="24"/>
                <w:color w:val="auto"/>
              </w:rPr>
            </w:pPr>
          </w:p>
        </w:tc>
        <w:tc>
          <w:tcPr>
            <w:tcW w:w="3480" w:type="dxa"/>
            <w:vAlign w:val="bottom"/>
            <w:gridSpan w:val="2"/>
          </w:tcPr>
          <w:p>
            <w:pPr>
              <w:jc w:val="right"/>
              <w:ind w:right="2452"/>
              <w:spacing w:after="0"/>
              <w:rPr>
                <w:sz w:val="20"/>
                <w:szCs w:val="20"/>
                <w:color w:val="auto"/>
              </w:rPr>
            </w:pPr>
            <w:r>
              <w:rPr>
                <w:rFonts w:ascii="Courier New" w:cs="Courier New" w:eastAsia="Courier New" w:hAnsi="Courier New"/>
                <w:sz w:val="18"/>
                <w:szCs w:val="18"/>
                <w:color w:val="auto"/>
              </w:rPr>
              <w:t>-8-</w:t>
            </w:r>
          </w:p>
        </w:tc>
      </w:tr>
    </w:tbl>
    <w:p>
      <w:pPr>
        <w:sectPr>
          <w:pgSz w:w="11900" w:h="16838" w:orient="portrait"/>
          <w:cols w:equalWidth="0" w:num="1">
            <w:col w:w="10219"/>
          </w:cols>
          <w:pgMar w:left="240" w:top="723" w:right="1440" w:bottom="1440" w:gutter="0" w:footer="0" w:header="0"/>
        </w:sectPr>
      </w:pPr>
    </w:p>
    <w:bookmarkStart w:id="67" w:name="page68"/>
    <w:bookmarkEnd w:id="67"/>
    <w:p>
      <w:pPr>
        <w:jc w:val="right"/>
        <w:ind w:right="1779"/>
        <w:spacing w:after="0"/>
        <w:rPr>
          <w:sz w:val="20"/>
          <w:szCs w:val="20"/>
          <w:color w:val="auto"/>
        </w:rPr>
      </w:pPr>
      <w:r>
        <w:rPr>
          <w:rFonts w:ascii="Courier New" w:cs="Courier New" w:eastAsia="Courier New" w:hAnsi="Courier New"/>
          <w:sz w:val="18"/>
          <w:szCs w:val="18"/>
          <w:color w:val="auto"/>
        </w:rPr>
        <w:t>Exhibit 10.140</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PURCHASE AGREEMENT</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Purchase Agreement (the "Agreement") is made, as of October 1, 1998, by and among Micron Technology, Inc., a Delaware, U.S.A. corporation, with its principal place of business at 8000 South Federal Way, Boise, Idaho 83716-9632, U.S.A. ("MICRON"), and TECH Semiconductor Singapore Pte. Ltd., a Republic of Singapore corporation, with its principal place of business at No. 1 Woodlands Industrial Park D, Street 1, Singapore 738799 ("TECH") (hereinafter individually a "Party" and collectively the "Parties").</w:t>
      </w:r>
    </w:p>
    <w:p>
      <w:pPr>
        <w:spacing w:after="0" w:line="211"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consideration of the mutual promises and covenants contained herein, the parties, intending to be legally bound, agree as follows:</w:t>
      </w:r>
    </w:p>
    <w:p>
      <w:pPr>
        <w:spacing w:after="0" w:line="203"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779" w:hanging="526"/>
        <w:spacing w:after="0" w:line="238" w:lineRule="auto"/>
        <w:tabs>
          <w:tab w:leader="none" w:pos="520" w:val="left"/>
        </w:tabs>
        <w:rPr>
          <w:sz w:val="20"/>
          <w:szCs w:val="20"/>
          <w:color w:val="auto"/>
        </w:rPr>
      </w:pPr>
      <w:r>
        <w:rPr>
          <w:rFonts w:ascii="Courier New" w:cs="Courier New" w:eastAsia="Courier New" w:hAnsi="Courier New"/>
          <w:sz w:val="18"/>
          <w:szCs w:val="18"/>
          <w:color w:val="auto"/>
        </w:rPr>
        <w:t>1.1</w:t>
        <w:tab/>
        <w:t>This Agreement implements certain provisions of the Shareholders' Agreement dated April 11, 1991, amended effective as of May 31, 1991, by Waiver to Shareholders' Agreement, amended effective as of April 11, 1991 and July 22, 1991, by Amendment Agreement No. 1, amended effective as of February 15, 1993 by Amendment Agreement No. 2, amended as of August 4, 1995 by Amendment Agreement No. 3, and amended as of October 1, 1998 by Amendment Agreement No. 4 by and among MICRON, TECH, the Singapore Economic Development Board (the "EDB"), EDB Investments Pte. Ltd., a corporation established under the laws of Singapore ("EDBI"), Canon Inc., a corporation of Japan ("CANON"), Hewlett-Packard Company ("HP"), a Delaware, U.S.A., corporation, and Hewlett-Packard Singapore (Private) Limited, a corporation established under the laws of the Republic of Singapore ("HPSG") (as amended, the "SHAREHOLDERS' AGREEMENT"), for the purchase by MICRON, and the sale by TECH to MICRON of PRODUCTS. Capitalized terms used herein, but not otherwise defined herein, shall have the meanings ascribed to them in the SHAREHOLDERS' AGREEMENT.</w:t>
      </w:r>
    </w:p>
    <w:p>
      <w:pPr>
        <w:spacing w:after="0" w:line="203" w:lineRule="exact"/>
        <w:rPr>
          <w:sz w:val="20"/>
          <w:szCs w:val="20"/>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ORDERS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779" w:hanging="526"/>
        <w:spacing w:after="0" w:line="272" w:lineRule="auto"/>
        <w:tabs>
          <w:tab w:leader="none" w:pos="5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Purchase orders issued by MICRON under this Agreement are for administrative, payment and accounting purposes. The terms and conditions of any purchase order so issued which purports to alter, amend or extend provisions or terms of manufacture, sale and delivery of PRODUCTS as agreed to by MICRON, EDB, EDBI, HP, HPSG and CANON and TECH in the SHAREHOLDERS' AGREEMENT and Annexes thereto shall have no force or effect.</w:t>
      </w:r>
    </w:p>
    <w:p>
      <w:pPr>
        <w:spacing w:after="0" w:line="180"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8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3.1</w:t>
        <w:tab/>
        <w:t>TECH agrees to sell to MICRON and/or MICRON's affiliates (individually or collectively), and MICRON, or its designee, agrees to purchase, TECH's entire output (i.e., one hundred percent (100%)) of the finished PRODUCTS and subject to the terms, conditions and obligations set forth in the SHAREHOLDERS' AGREEMENT and the Annexes thereto, including this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68" w:name="page69"/>
    <w:bookmarkEnd w:id="68"/>
    <w:p>
      <w:pPr>
        <w:ind w:left="540" w:right="1999"/>
        <w:spacing w:after="0" w:line="236" w:lineRule="auto"/>
        <w:rPr>
          <w:sz w:val="20"/>
          <w:szCs w:val="20"/>
          <w:color w:val="auto"/>
        </w:rPr>
      </w:pPr>
      <w:r>
        <w:rPr>
          <w:rFonts w:ascii="Courier New" w:cs="Courier New" w:eastAsia="Courier New" w:hAnsi="Courier New"/>
          <w:sz w:val="18"/>
          <w:szCs w:val="18"/>
          <w:color w:val="auto"/>
        </w:rPr>
        <w:t>Agreement. Nothing in this Agreement shall be construed to limit MICRON's right or the right of MICRON's affiliates to purchase products from any source other than TECH.</w:t>
      </w:r>
    </w:p>
    <w:p>
      <w:pPr>
        <w:spacing w:after="0" w:line="203"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99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4.1</w:t>
        <w:tab/>
        <w:t>This Agreement shall be effective as of the ACQUISITION CLOSING DATE and shall continue in effect throughout the TERM of the SHAREHOLDERS' AGREEMENT.</w:t>
      </w:r>
    </w:p>
    <w:p>
      <w:pPr>
        <w:spacing w:after="0" w:line="203" w:lineRule="exact"/>
        <w:rPr>
          <w:sz w:val="20"/>
          <w:szCs w:val="20"/>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PRICING AND PAYMENT TERMS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999" w:hanging="526"/>
        <w:spacing w:after="0" w:line="275" w:lineRule="auto"/>
        <w:tabs>
          <w:tab w:leader="none" w:pos="5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TECH shall sell PRODUCTS to MICRON in accordance with the pricing formula provided in Annex A to the SHAREHOLDERS' AGREEMENT. TECH shall invoice MICRON for PRODUCTS sold to MICRON on a monthly basis in accordance with Article 17.6 of the SHAREHOLDERS' AGREEMENT and said Annex A.</w:t>
      </w:r>
    </w:p>
    <w:p>
      <w:pPr>
        <w:spacing w:after="0" w:line="182" w:lineRule="exact"/>
        <w:rPr>
          <w:sz w:val="20"/>
          <w:szCs w:val="20"/>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5.2</w:t>
        <w:tab/>
        <w:t>Place of shipment and payment terms are as specified in Articles 17.5, 17.6 and 17.7 of the SHAREHOLDERS' AGREEMENT.</w:t>
      </w:r>
    </w:p>
    <w:p>
      <w:pPr>
        <w:spacing w:after="0" w:line="203" w:lineRule="exact"/>
        <w:rPr>
          <w:sz w:val="20"/>
          <w:szCs w:val="20"/>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left="540" w:right="1879" w:hanging="526"/>
        <w:spacing w:after="0" w:line="268" w:lineRule="auto"/>
        <w:tabs>
          <w:tab w:leader="none" w:pos="52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The delivery dates indicated by MICRON on its purchase orders for PRODUCTS are important elements of shipment and receiving of PRODUCTS. TECH agrees to accept any MICRON purchase order, provided that such purchase order:</w:t>
      </w:r>
    </w:p>
    <w:p>
      <w:pPr>
        <w:spacing w:after="0" w:line="1" w:lineRule="exact"/>
        <w:rPr>
          <w:sz w:val="20"/>
          <w:szCs w:val="20"/>
          <w:color w:val="auto"/>
        </w:rPr>
      </w:pPr>
    </w:p>
    <w:p>
      <w:pPr>
        <w:ind w:left="540" w:right="1879" w:hanging="5"/>
        <w:spacing w:after="0" w:line="270" w:lineRule="auto"/>
        <w:tabs>
          <w:tab w:leader="none" w:pos="96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exceed TECH's then current capacity, (ii) reasonably reflects MICRON's forecasts as described under Article 17.2 of the SHAREHOLDERS' AGREEMENT, and (iii) does not require delivery within a lead time which is commercially unreasonable. TECH agrees to take all reasonable efforts so that the PRODUCTS shall be delivered to MICRON's designated delivery point on the dates set forth in any purchase order(s), accepted by TECH. In the event that any PRODUCTS are not shipped in accordance with such delivery dates, TECH agrees to ship via air freight (or as directed by MICRON) and to pay for all extra costs; provided, however, that such failure to timely ship is not due to any direct act or omission of MICRON (including without limitation any MICRON employee or agent).</w:t>
      </w:r>
    </w:p>
    <w:p>
      <w:pPr>
        <w:spacing w:after="0" w:line="182" w:lineRule="exact"/>
        <w:rPr>
          <w:sz w:val="20"/>
          <w:szCs w:val="20"/>
          <w:color w:val="auto"/>
        </w:rPr>
      </w:pPr>
    </w:p>
    <w:p>
      <w:pPr>
        <w:jc w:val="center"/>
        <w:ind w:right="1879"/>
        <w:spacing w:after="0"/>
        <w:tabs>
          <w:tab w:leader="none" w:pos="20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Material failure to meet agreed upon delivery shall be considered a breach</w:t>
      </w:r>
    </w:p>
    <w:p>
      <w:pPr>
        <w:spacing w:after="0" w:line="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of this Agreement; provided, however, MICRON shall not be entitled to damage and/or specific performance for any such breach where said breach is the direct result of any act of MICRON, its employees or agents. TECH shall not be liable for any penalty or incidental or consequential damages imposed upon or incurred by MICRON as a result of failure of TECH to deliver PRODUCTS on such delivery dates.</w:t>
      </w:r>
    </w:p>
    <w:p>
      <w:pPr>
        <w:spacing w:after="0" w:line="210"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6.3</w:t>
        <w:tab/>
        <w:t>In addition to the packing and shipping instructions in Paragraph 11 below, the PRODUCTS shall be packaged in accordance with commercially accepted standards, or to applicable MICRON specifications, to ensure safe arrival at MICRON's designated delivery point.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69" w:name="page70"/>
    <w:bookmarkEnd w:id="69"/>
    <w:p>
      <w:pPr>
        <w:ind w:left="532" w:hanging="532"/>
        <w:spacing w:after="0"/>
        <w:tabs>
          <w:tab w:leader="none" w:pos="53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TECH'S WARRANTIES AND REPRESENTATIONS</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32" w:right="18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7.1</w:t>
        <w:tab/>
        <w:t>TECH warrants and represents to MICRON that the PRODUCTS will conform to the SPECIFICATIONS and shall be free from any defects in material and workmanship for a period of fifteen (15) months from the date of shipment from TECH of the PRODUCTS, provided that said period may be renegotiated for a longer period of time to conform to the industry standard current at the time of renegotiation.</w:t>
      </w:r>
    </w:p>
    <w:p>
      <w:pPr>
        <w:spacing w:after="0" w:line="210" w:lineRule="exact"/>
        <w:rPr>
          <w:sz w:val="20"/>
          <w:szCs w:val="20"/>
          <w:color w:val="auto"/>
        </w:rPr>
      </w:pPr>
    </w:p>
    <w:p>
      <w:pPr>
        <w:ind w:left="532" w:right="1779" w:hanging="526"/>
        <w:spacing w:after="0" w:line="238" w:lineRule="auto"/>
        <w:tabs>
          <w:tab w:leader="none" w:pos="512" w:val="left"/>
        </w:tabs>
        <w:rPr>
          <w:sz w:val="20"/>
          <w:szCs w:val="20"/>
          <w:color w:val="auto"/>
        </w:rPr>
      </w:pPr>
      <w:r>
        <w:rPr>
          <w:rFonts w:ascii="Courier New" w:cs="Courier New" w:eastAsia="Courier New" w:hAnsi="Courier New"/>
          <w:sz w:val="18"/>
          <w:szCs w:val="18"/>
          <w:color w:val="auto"/>
        </w:rPr>
        <w:t>7.2</w:t>
        <w:tab/>
        <w:t>In the event MICRON determines within the 15-month period specified in Paragraph 7.01 above that the PRODUCTS are in breach of the warranty set forth in Paragraph 7.01, MICRON shall notify TECH immediately in writing of the defect, and TECH shall promptly, at MICRON's option, either repair or replace any defective PRODUCTS at no cost to MICRON, or credit to MICRON's account MICRON's purchase price and all reasonable costs incurred with respect to the return of the defective PRODUCTS. A Return Material Authorization ("RMA") form previously issued by TECH must accompany any such returned PRODUCTS. MICRON has the right to recommend corrective action to address variances from the SPECIFICATIONS. Such return shipment shall be made by MICRON, F.O.B. the destination from which they were originally shipped to TECH.</w:t>
      </w:r>
    </w:p>
    <w:p>
      <w:pPr>
        <w:spacing w:after="0" w:line="207" w:lineRule="exact"/>
        <w:rPr>
          <w:sz w:val="20"/>
          <w:szCs w:val="20"/>
          <w:color w:val="auto"/>
        </w:rPr>
      </w:pPr>
    </w:p>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7.3</w:t>
        <w:tab/>
        <w:t>Except as provided in Articles 19.6 and 19.7 of the SHAREHOLDERS' AGREEMENT, and subject to Paragraph 7.04 below, TECH will hold MICRON harmless from and indemnify it against all claims made by third parties arising out of the operations of TECH or the PRODUCTS manufactured by TECH, including all acts or omissions by TECH's personnel (whether or not such personnel are direct employees of TECH or have been obtained from one of the parties to the SHAREHOLDERS' AGREEMENT on a seconding or contractual basis); provided, however, that liability for such claims is not due to any direct act or omission of MICRON (including without limitation any MICRON employee or agent).</w:t>
      </w:r>
    </w:p>
    <w:p>
      <w:pPr>
        <w:spacing w:after="0" w:line="215" w:lineRule="exact"/>
        <w:rPr>
          <w:sz w:val="20"/>
          <w:szCs w:val="20"/>
          <w:color w:val="auto"/>
        </w:rPr>
      </w:pPr>
    </w:p>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7.4</w:t>
        <w:tab/>
        <w:t>(a) THE WARRANTIES IN THE SHAREHOLDERS' AGREEMENT AND ITS ANNEXES, INCLUDING THIS AGREEMENT, ARE EXCLUSIVE AND STATED IN LIEU OF ALL OTHER WARRANTIES, WHETHER EXPRESS, STATUTORY, OR IMPLIED, AND NEITHER ASSUME NOR AUTHORIZE ANY OTHER PERSON TO ASSUME FOR THE PARTIES ANY OTHER LIABILITIES IN CONNECTION WITH THE MANUFACTURE OR SALE OF THE PRODUCTS. THE WARRANTIES SHALL NOT APPLY TO ANY OF THE PRODUCTS WHICH HAVE BEEN REPAIRED OR ALTERED, EXCEPT AS AUTHORIZED BY TECH, OR WHICH SHALL BE SUBJECTED TO MISUSE, NEGLIGENCE, ACCIDENT OR ABUSE.</w:t>
      </w:r>
    </w:p>
    <w:p>
      <w:pPr>
        <w:spacing w:after="0" w:line="212" w:lineRule="exact"/>
        <w:rPr>
          <w:sz w:val="20"/>
          <w:szCs w:val="20"/>
          <w:color w:val="auto"/>
        </w:rPr>
      </w:pPr>
    </w:p>
    <w:p>
      <w:pPr>
        <w:ind w:left="532" w:right="1779" w:hanging="5"/>
        <w:spacing w:after="0" w:line="268" w:lineRule="auto"/>
        <w:tabs>
          <w:tab w:leader="none" w:pos="95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remedies provided in this Agreement are MICRON's sole and exclusive remedies for breach of TECH's warranties herein. Except as explicitly provided herein, TECH shall not be liable for any direct damages therefor.</w:t>
      </w:r>
    </w:p>
    <w:p>
      <w:pPr>
        <w:ind w:left="532"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NO EVENT (INCLUDING CLAIMS UNDER RIGHTS OF INDEMNIFICATION) SHALL EITHER PARTY BE LIABLE TO THE OTHER PARTY FOR INDIRECT, SPECIAL, INCIDENTAL OR CONSEQUENTIAL DAMAGES.</w:t>
      </w:r>
    </w:p>
    <w:p>
      <w:pPr>
        <w:spacing w:after="0" w:line="203"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717" w:right="1440" w:bottom="1440" w:gutter="0" w:footer="0" w:header="0"/>
        </w:sectPr>
      </w:pPr>
    </w:p>
    <w:bookmarkStart w:id="70" w:name="page71"/>
    <w:bookmarkEnd w:id="70"/>
    <w:p>
      <w:pPr>
        <w:ind w:left="532" w:right="1779" w:hanging="5"/>
        <w:spacing w:after="0" w:line="237" w:lineRule="auto"/>
        <w:tabs>
          <w:tab w:leader="none" w:pos="95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limitation of liability for direct damages described in the previous paragraph shall not apply in the event that any PRODUCTS sold to MICRON under this Agreement are determined by a court of competent jurisdiction to be defective and to have directly caused property damage or bodily injury or death, provided that MICRON provides TECH with a right to participate with MICRON, at TECH's cost, in the defense of the associated action.</w:t>
      </w:r>
    </w:p>
    <w:p>
      <w:pPr>
        <w:spacing w:after="0" w:line="211" w:lineRule="exact"/>
        <w:rPr>
          <w:sz w:val="20"/>
          <w:szCs w:val="20"/>
          <w:color w:val="auto"/>
        </w:rPr>
      </w:pPr>
    </w:p>
    <w:p>
      <w:pPr>
        <w:ind w:left="532" w:right="1879" w:hanging="526"/>
        <w:spacing w:after="0" w:line="236" w:lineRule="auto"/>
        <w:tabs>
          <w:tab w:leader="none" w:pos="512" w:val="left"/>
        </w:tabs>
        <w:rPr>
          <w:sz w:val="20"/>
          <w:szCs w:val="20"/>
          <w:color w:val="auto"/>
        </w:rPr>
      </w:pPr>
      <w:r>
        <w:rPr>
          <w:rFonts w:ascii="Courier New" w:cs="Courier New" w:eastAsia="Courier New" w:hAnsi="Courier New"/>
          <w:sz w:val="18"/>
          <w:szCs w:val="18"/>
          <w:color w:val="auto"/>
        </w:rPr>
        <w:t>7.5</w:t>
        <w:tab/>
        <w:t>The terms "SPECIFICATIONS," "TECHNICAL INFORMATION" and "PRODUCTS" as used herein shall have the same definitions as in the SHAREHOLDERS' AGREEMENT, and TECHNICAL ASSISTANCE AGREEMENT.</w:t>
      </w:r>
    </w:p>
    <w:p>
      <w:pPr>
        <w:spacing w:after="0" w:line="203" w:lineRule="exact"/>
        <w:rPr>
          <w:sz w:val="20"/>
          <w:szCs w:val="20"/>
          <w:color w:val="auto"/>
        </w:rPr>
      </w:pPr>
    </w:p>
    <w:p>
      <w:pPr>
        <w:ind w:left="532" w:hanging="532"/>
        <w:spacing w:after="0"/>
        <w:tabs>
          <w:tab w:leader="none" w:pos="5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FORCE MAJEURE</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32" w:right="1779" w:hanging="526"/>
        <w:spacing w:after="0" w:line="270" w:lineRule="auto"/>
        <w:tabs>
          <w:tab w:leader="none" w:pos="512"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Should any Party be prevented from performing its contractual obligations under this Agreement due to the cause or causes of force majeure such as acts of war (declared or undeclared), fire, storm, floods, typhoon or other severe weather conditions, serious earthquake, legal restraints, government or like interference, judicial action, accidental damage to equipment, as well as any other cause outside the control of that Party, that Party shall not be liable to the other Party for any delay or failure of performance caused by any of the above events. "Force Majeure" shall include the failure to obtain such license(s) and other approvals, including export licenses, as are required by United States law or other applicable law for the equipment, technical information, software, technology and PRODUCTS to be provided pursuant to the terms of this Agreement.</w:t>
      </w:r>
    </w:p>
    <w:p>
      <w:pPr>
        <w:spacing w:after="0" w:line="391" w:lineRule="exact"/>
        <w:rPr>
          <w:sz w:val="20"/>
          <w:szCs w:val="20"/>
          <w:color w:val="auto"/>
        </w:rPr>
      </w:pPr>
    </w:p>
    <w:p>
      <w:pPr>
        <w:ind w:left="532" w:right="1999" w:hanging="526"/>
        <w:spacing w:after="0" w:line="279" w:lineRule="auto"/>
        <w:tabs>
          <w:tab w:leader="none" w:pos="512"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The Party prevented from performing by the causes identified in Paragraph 8.01 shall notify the other Party of the occurrence of any of the above events in writing by cable or telex within the shortest possible time.</w:t>
      </w:r>
    </w:p>
    <w:p>
      <w:pPr>
        <w:spacing w:after="0" w:line="178" w:lineRule="exact"/>
        <w:rPr>
          <w:sz w:val="20"/>
          <w:szCs w:val="20"/>
          <w:color w:val="auto"/>
        </w:rPr>
      </w:pPr>
    </w:p>
    <w:p>
      <w:pPr>
        <w:ind w:left="532" w:right="18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8.3</w:t>
        <w:tab/>
        <w:t>Should the delay caused by any of the above events continue for more than ninety (90) days, the Parties shall settle the problem of further performance of this Agreement through friendly negotiations as soon as possible with the objective of restructuring the relationship between them such that the effects of such delay are minimized. If the Parties cannot agree on a mutually acceptable solution within six (6) months of any Party's request for such negotiations, any Party may terminate this Agreement by prior written notice to the other Party.</w:t>
      </w:r>
    </w:p>
    <w:p>
      <w:pPr>
        <w:spacing w:after="0" w:line="207" w:lineRule="exact"/>
        <w:rPr>
          <w:sz w:val="20"/>
          <w:szCs w:val="20"/>
          <w:color w:val="auto"/>
        </w:rPr>
      </w:pPr>
    </w:p>
    <w:p>
      <w:pPr>
        <w:ind w:left="532" w:hanging="532"/>
        <w:spacing w:after="0"/>
        <w:tabs>
          <w:tab w:leader="none" w:pos="5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RETURN MATERIAL AUTHORIZATION</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9.1</w:t>
        <w:tab/>
        <w:t>Defective material shall be returned freight collect to TECH. Replacement material shall be sent freight prepaid from TECH, which shall absorb the burden of premium transportation when defect or replacement material places critical time or delivery schedule constraints on MICRON.</w:t>
      </w:r>
    </w:p>
    <w:p>
      <w:pPr>
        <w:spacing w:after="0" w:line="207" w:lineRule="exact"/>
        <w:rPr>
          <w:sz w:val="20"/>
          <w:szCs w:val="20"/>
          <w:color w:val="auto"/>
        </w:rPr>
      </w:pPr>
    </w:p>
    <w:p>
      <w:pPr>
        <w:ind w:left="532" w:right="2099" w:hanging="526"/>
        <w:spacing w:after="0" w:line="235" w:lineRule="auto"/>
        <w:tabs>
          <w:tab w:leader="none" w:pos="512" w:val="left"/>
        </w:tabs>
        <w:rPr>
          <w:sz w:val="20"/>
          <w:szCs w:val="20"/>
          <w:color w:val="auto"/>
        </w:rPr>
      </w:pPr>
      <w:r>
        <w:rPr>
          <w:rFonts w:ascii="Courier New" w:cs="Courier New" w:eastAsia="Courier New" w:hAnsi="Courier New"/>
          <w:sz w:val="18"/>
          <w:szCs w:val="18"/>
          <w:color w:val="auto"/>
        </w:rPr>
        <w:t>9.2</w:t>
        <w:tab/>
        <w:t>TECH agrees to provide as soon as reasonably possible, but not exceeding five (5) work days, RMAs as contemplated by Paragraph 7.02.</w:t>
      </w:r>
    </w:p>
    <w:p>
      <w:pPr>
        <w:spacing w:after="0" w:line="203"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723" w:right="1440" w:bottom="1440" w:gutter="0" w:footer="0" w:header="0"/>
        </w:sectPr>
      </w:pPr>
    </w:p>
    <w:bookmarkStart w:id="71" w:name="page72"/>
    <w:bookmarkEnd w:id="71"/>
    <w:p>
      <w:pPr>
        <w:ind w:left="640" w:hanging="632"/>
        <w:spacing w:after="0"/>
        <w:tabs>
          <w:tab w:leader="none" w:pos="6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OVERSHIPMENTS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779"/>
        <w:spacing w:after="0"/>
        <w:tabs>
          <w:tab w:leader="none" w:pos="20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TECH shall ship only the quantity(ies) specified in purchase orders placed</w:t>
      </w:r>
    </w:p>
    <w:p>
      <w:pPr>
        <w:spacing w:after="0" w:line="4"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under this Agreement. However, any deviation caused by conditions of loading, shipping, packing or allowances in manufacturing processes may be accepted by MICRON according to the overshipment allowance indicated on the face of MICRON purchase orders. If no allowance is shown, no percentage overshipment is allowed. MICRON reserves the right to return any overshipment in excess of the allowance at TECH's expense.</w:t>
      </w:r>
    </w:p>
    <w:p>
      <w:pPr>
        <w:spacing w:after="0" w:line="204" w:lineRule="exact"/>
        <w:rPr>
          <w:sz w:val="20"/>
          <w:szCs w:val="20"/>
          <w:color w:val="auto"/>
        </w:rPr>
      </w:pPr>
    </w:p>
    <w:p>
      <w:pPr>
        <w:ind w:left="640" w:hanging="632"/>
        <w:spacing w:after="0"/>
        <w:tabs>
          <w:tab w:leader="none" w:pos="6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PACKING AND SHIPPING INSTRUCTIONS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11.1</w:t>
        <w:tab/>
        <w:t>TECH will properly pack and describe shipments in accordance with MICRON specifications and applicable carrier regulations. Shipments will be made at the lowest possible freight charges. MICRON may assist TECH by providing freight classifications or classifying material. TECH will insure or declare value on shipments except on parcel post, unless MICRON specifies otherwise. On shipment where value is declared, TECH will ship prepaid insured for a minimum of the equivalent of fifty U.S. dollars (U.S. $50.00) to facilitate tracing. If shipping by air carrier, TECH will ship freight prepaid. TECH shall consolidate the air and surface shipments on single bills of lading insofar as possible so as to avoid premium freight costs unless instructed otherwise by MICRON.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11.2  In</w:t>
            </w: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case any shipment does</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w w:val="98"/>
              </w:rPr>
              <w:t>not correspond to normal</w:t>
            </w:r>
          </w:p>
        </w:tc>
        <w:tc>
          <w:tcPr>
            <w:tcW w:w="940" w:type="dxa"/>
            <w:vAlign w:val="bottom"/>
          </w:tcPr>
          <w:p>
            <w:pPr>
              <w:ind w:left="60"/>
              <w:spacing w:after="0"/>
              <w:rPr>
                <w:sz w:val="20"/>
                <w:szCs w:val="20"/>
                <w:color w:val="auto"/>
              </w:rPr>
            </w:pPr>
            <w:r>
              <w:rPr>
                <w:rFonts w:ascii="Courier New" w:cs="Courier New" w:eastAsia="Courier New" w:hAnsi="Courier New"/>
                <w:sz w:val="18"/>
                <w:szCs w:val="18"/>
                <w:color w:val="auto"/>
                <w:w w:val="99"/>
              </w:rPr>
              <w:t>practice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in</w:t>
            </w:r>
          </w:p>
        </w:tc>
        <w:tc>
          <w:tcPr>
            <w:tcW w:w="12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the</w:t>
            </w:r>
          </w:p>
        </w:tc>
      </w:tr>
      <w:tr>
        <w:trPr>
          <w:trHeight w:val="203"/>
        </w:trPr>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industry (e.g.,</w:t>
            </w:r>
          </w:p>
        </w:tc>
        <w:tc>
          <w:tcPr>
            <w:tcW w:w="3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require special handling shipments</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or air ride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suspension,</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air shipment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over five</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hundred (500) pounds, or</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over one</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hundred twenty</w:t>
            </w:r>
          </w:p>
        </w:tc>
      </w:tr>
    </w:tbl>
    <w:p>
      <w:pPr>
        <w:spacing w:after="0" w:line="4" w:lineRule="exact"/>
        <w:rPr>
          <w:sz w:val="20"/>
          <w:szCs w:val="20"/>
          <w:color w:val="auto"/>
        </w:rPr>
      </w:pPr>
    </w:p>
    <w:p>
      <w:pPr>
        <w:ind w:left="640" w:right="1879"/>
        <w:spacing w:after="0" w:line="236" w:lineRule="auto"/>
        <w:tabs>
          <w:tab w:leader="none" w:pos="127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inches long or wide or over fifty-six (56) cubic feet, etc.), TECH agrees to notify MICRON's appropriate traffic department seventy-two (72) hours prior to shipment for special shipping instructions.</w:t>
      </w:r>
    </w:p>
    <w:p>
      <w:pPr>
        <w:spacing w:after="0" w:line="209" w:lineRule="exact"/>
        <w:rPr>
          <w:sz w:val="20"/>
          <w:szCs w:val="20"/>
          <w:color w:val="auto"/>
        </w:rPr>
      </w:pPr>
    </w:p>
    <w:p>
      <w:pPr>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11.3</w:t>
        <w:tab/>
        <w:t>Each box, crate or carton will show MICRON's full street address and purchase order number regardless of how shipped. On air carrier shipments, a packing list shall accompany each container and shall describe the contents of such container. On all other shipments, TECH will provide a packing list to accompany each shipment, referencing the appropriate purchase order number. The bill of lading also will reference the purchase order number.</w:t>
      </w:r>
    </w:p>
    <w:p>
      <w:pPr>
        <w:spacing w:after="0" w:line="211" w:lineRule="exact"/>
        <w:rPr>
          <w:sz w:val="20"/>
          <w:szCs w:val="20"/>
          <w:color w:val="auto"/>
        </w:rPr>
      </w:pPr>
    </w:p>
    <w:p>
      <w:pPr>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11.4</w:t>
        <w:tab/>
        <w:t>TECH is responsible for packing shipments correctly based on the carrier/mode utilized. Charges for packing and crating shall be deemed part of the purchase price and no additional charges will be made therefor unless specifically requested by MICRON on the purchase order. TECH agrees to ship via the carrier specified by MICRON.</w:t>
      </w:r>
    </w:p>
    <w:p>
      <w:pPr>
        <w:spacing w:after="0" w:line="203" w:lineRule="exact"/>
        <w:rPr>
          <w:sz w:val="20"/>
          <w:szCs w:val="20"/>
          <w:color w:val="auto"/>
        </w:rPr>
      </w:pPr>
    </w:p>
    <w:p>
      <w:pPr>
        <w:ind w:left="640" w:hanging="632"/>
        <w:spacing w:after="0"/>
        <w:tabs>
          <w:tab w:leader="none" w:pos="6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LABOR DISPUTE</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640" w:right="1879" w:hanging="631"/>
        <w:spacing w:after="0" w:line="236" w:lineRule="auto"/>
        <w:tabs>
          <w:tab w:leader="none" w:pos="620" w:val="left"/>
        </w:tabs>
        <w:rPr>
          <w:sz w:val="20"/>
          <w:szCs w:val="20"/>
          <w:color w:val="auto"/>
        </w:rPr>
      </w:pPr>
      <w:r>
        <w:rPr>
          <w:rFonts w:ascii="Courier New" w:cs="Courier New" w:eastAsia="Courier New" w:hAnsi="Courier New"/>
          <w:sz w:val="18"/>
          <w:szCs w:val="18"/>
          <w:color w:val="auto"/>
        </w:rPr>
        <w:t>12.1</w:t>
        <w:tab/>
        <w:t>Whenever any actual or potential labor dispute delays or threatens to delay the timely performance of any purchase order issued hereunder, TECH shall immediately give notice thereof to MICRON.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72" w:name="page73"/>
    <w:bookmarkEnd w:id="72"/>
    <w:p>
      <w:pPr>
        <w:ind w:left="632" w:hanging="632"/>
        <w:spacing w:after="0"/>
        <w:tabs>
          <w:tab w:leader="none" w:pos="632"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w:t>
      </w:r>
    </w:p>
    <w:p>
      <w:pPr>
        <w:ind w:left="6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632" w:right="1779" w:hanging="631"/>
        <w:spacing w:after="0" w:line="237" w:lineRule="auto"/>
        <w:tabs>
          <w:tab w:leader="none" w:pos="612" w:val="left"/>
        </w:tabs>
        <w:rPr>
          <w:sz w:val="20"/>
          <w:szCs w:val="20"/>
          <w:color w:val="auto"/>
        </w:rPr>
      </w:pPr>
      <w:r>
        <w:rPr>
          <w:rFonts w:ascii="Courier New" w:cs="Courier New" w:eastAsia="Courier New" w:hAnsi="Courier New"/>
          <w:sz w:val="18"/>
          <w:szCs w:val="18"/>
          <w:color w:val="auto"/>
        </w:rPr>
        <w:t>13.1</w:t>
        <w:tab/>
        <w:t>During the INVESTMENT PERIOD, this Agreement shall be governed by and construed in accordance with the laws of the Republic of Singapore, except that the validity, scope, interpretation or infringement of MICRON intellectual property rights (including, without limitation, MICRON patents, copyrights, maskwork rights and trade secrets) shall be governed by the laws of Idaho, U.S.A., applicable to contracts made and fully performed within Idaho. In this Section 13.00, the "INVESTMENT PERIOD" shall mean such time as EDB and/or any EDB SUBSIDIARY owns at least ten percent (10%) of the issued ordinary share capital of TECH.</w:t>
      </w:r>
    </w:p>
    <w:p>
      <w:pPr>
        <w:spacing w:after="0" w:line="214" w:lineRule="exact"/>
        <w:rPr>
          <w:sz w:val="20"/>
          <w:szCs w:val="20"/>
          <w:color w:val="auto"/>
        </w:rPr>
      </w:pPr>
    </w:p>
    <w:p>
      <w:pPr>
        <w:ind w:left="632" w:right="1879" w:hanging="631"/>
        <w:spacing w:after="0" w:line="236" w:lineRule="auto"/>
        <w:tabs>
          <w:tab w:leader="none" w:pos="612" w:val="left"/>
        </w:tabs>
        <w:rPr>
          <w:sz w:val="20"/>
          <w:szCs w:val="20"/>
          <w:color w:val="auto"/>
        </w:rPr>
      </w:pPr>
      <w:r>
        <w:rPr>
          <w:rFonts w:ascii="Courier New" w:cs="Courier New" w:eastAsia="Courier New" w:hAnsi="Courier New"/>
          <w:sz w:val="18"/>
          <w:szCs w:val="18"/>
          <w:color w:val="auto"/>
        </w:rPr>
        <w:t>13.2</w:t>
        <w:tab/>
        <w:t>Subject to Paragraph 13.01 alone, this Agreement shall be governed by and construed in accordance with the laws of Idaho, U.S.A., applicable to contracts made and fully performed within Idaho.</w:t>
      </w:r>
    </w:p>
    <w:p>
      <w:pPr>
        <w:spacing w:after="0" w:line="209" w:lineRule="exact"/>
        <w:rPr>
          <w:sz w:val="20"/>
          <w:szCs w:val="20"/>
          <w:color w:val="auto"/>
        </w:rPr>
      </w:pPr>
    </w:p>
    <w:p>
      <w:pPr>
        <w:jc w:val="both"/>
        <w:ind w:left="632" w:right="2199" w:hanging="631"/>
        <w:spacing w:after="0" w:line="236" w:lineRule="auto"/>
        <w:tabs>
          <w:tab w:leader="none" w:pos="612" w:val="left"/>
        </w:tabs>
        <w:rPr>
          <w:sz w:val="20"/>
          <w:szCs w:val="20"/>
          <w:color w:val="auto"/>
        </w:rPr>
      </w:pPr>
      <w:r>
        <w:rPr>
          <w:rFonts w:ascii="Courier New" w:cs="Courier New" w:eastAsia="Courier New" w:hAnsi="Courier New"/>
          <w:sz w:val="18"/>
          <w:szCs w:val="18"/>
          <w:color w:val="auto"/>
        </w:rPr>
        <w:t>13.3</w:t>
        <w:tab/>
        <w:t>For purposes of any litigation relating to this Agreement, the Parties consent to the exclusive jurisdiction of the courts of the Republic of Singapore and Idaho.</w:t>
      </w:r>
    </w:p>
    <w:p>
      <w:pPr>
        <w:spacing w:after="0" w:line="203" w:lineRule="exact"/>
        <w:rPr>
          <w:sz w:val="20"/>
          <w:szCs w:val="20"/>
          <w:color w:val="auto"/>
        </w:rPr>
      </w:pPr>
    </w:p>
    <w:p>
      <w:pPr>
        <w:ind w:left="632" w:hanging="632"/>
        <w:spacing w:after="0"/>
        <w:tabs>
          <w:tab w:leader="none" w:pos="63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w:t>
      </w:r>
    </w:p>
    <w:p>
      <w:pPr>
        <w:ind w:left="6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632" w:right="1779" w:hanging="631"/>
        <w:spacing w:after="0" w:line="238" w:lineRule="auto"/>
        <w:tabs>
          <w:tab w:leader="none" w:pos="612" w:val="left"/>
        </w:tabs>
        <w:rPr>
          <w:sz w:val="20"/>
          <w:szCs w:val="20"/>
          <w:color w:val="auto"/>
        </w:rPr>
      </w:pPr>
      <w:r>
        <w:rPr>
          <w:rFonts w:ascii="Courier New" w:cs="Courier New" w:eastAsia="Courier New" w:hAnsi="Courier New"/>
          <w:sz w:val="18"/>
          <w:szCs w:val="18"/>
          <w:color w:val="auto"/>
        </w:rPr>
        <w:t>14.1</w:t>
        <w:tab/>
        <w:t>If TI (including its successors and assigns and any person subrogated to the rights of TI) shall exercise any remedy under the Reimbursement Agreement or the Guarantor Security Documents (as defined in the Reimbursement Agreement), or if any of the Collateral Agent (as defined in the Credit Agreement), the Agent (as defined in the Credit Agreement) or any other financial institution party thereto (including any of their successors or assigns or any person subrogated to the rights of any such party) shall exercise any remedy under the Credit Agreement or the related loan or collateral documents, in each case other than one or more Permitted Remedies (as defined below) or upon proceedings being commenced or pursued by or against TECH (other than by MICRON or any of its affiliates) for its bankruptcy, winding-up, dissolution, administration or re-organization (other than any such proceeding of a frivolous or vexatious nature discharged within thirty (30) days) or upon the appointment by any person (other than MICRON or any of its affiliates) of a receiver, administrator, trustee, judicial manager or similar officer over TECH or all or a substantial portion of TECH's business, revenues or assets (any such proceedings or appointment, an "Insolvency Event"), then in any such event at the option of MICRON (other than an Insolvency Event, in which case automatically): (A) MICRON's obligations and TECH's rights under the SHAREHOLDERS' AGREEMENT (but subject to the survival of the Articles referred to in Article 21.4 thereof, excluding Article 21.1 (which Article 21.1 shall specifically not survive in such instances as set forth in Article 21.5 thereof)) shall immediately and with no further action on the part of any PARTY thereto terminate; (B) TECH shall immediately and with no further action on the part of any PARTY thereto terminate its manufacture of PRODUCTS and any other use of MICRON TECHNICAL INFORMATION (as defined in the TECHNICAL ASSISTANCE AGREEMENT) or MICRON A/T TECHNICAL INFORMATION; (C) without limiting the generality of the</w:t>
      </w:r>
    </w:p>
    <w:p>
      <w:pPr>
        <w:spacing w:after="0" w:line="208"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717" w:right="1440" w:bottom="1440" w:gutter="0" w:footer="0" w:header="0"/>
        </w:sectPr>
      </w:pPr>
    </w:p>
    <w:bookmarkStart w:id="73" w:name="page74"/>
    <w:bookmarkEnd w:id="73"/>
    <w:p>
      <w:pPr>
        <w:ind w:left="632" w:right="1779"/>
        <w:spacing w:after="0" w:line="238" w:lineRule="auto"/>
        <w:rPr>
          <w:sz w:val="20"/>
          <w:szCs w:val="20"/>
          <w:color w:val="auto"/>
        </w:rPr>
      </w:pPr>
      <w:r>
        <w:rPr>
          <w:rFonts w:ascii="Courier New" w:cs="Courier New" w:eastAsia="Courier New" w:hAnsi="Courier New"/>
          <w:sz w:val="18"/>
          <w:szCs w:val="18"/>
          <w:color w:val="auto"/>
        </w:rPr>
        <w:t>foregoing, the provisions of Article 21.1 of the SHAREHOLDERS' AGREEMENT shall not apply and no license shall be granted to TECH thereunder or otherwise; (D) TECH shall immediately destroy or return to MICRON as instructed by MICRON in the exercise of its sole discretion, destroy all TECHNICAL DATA (as defined in the TECHNICAL ASSISTANCE AGREEMENT) then in its possession and any mask sets furnished to TECH pursuant to Section 4.04 of the Technical Assistance Agreement or any other agreement or understanding; and (E) neither TECH nor any other person shall thereafter have any claim against or right to any MICRON PATENT (as defined in the TECHNICAL ASSISTANCE AGREEMENT), MICRON COPYRIGHT (as defined in the TECHNICAL ASSISTANCE AGREEMENT), MICRON MASKWORK RIGHT (as defined in the TECHNICAL ASSISTANCE AGREEMENT) or any other tangible or intangible right or asset of MICRON. Following the receipt of a Default Notice (as defined in the letter agreement by TI in favor of MICRON dated October 1, 1998), the shareholders of TECH shall enter into good faith discussions for a period of thirty (30) days in an effort to determine an appropriate course of action for TECH. During such period, unless an Insolvency Event shall have occurred prior to the termination of such thirty (30) day period, MICRON shall refrain from exercising its termination rights pursuant to this section. "Permitted Remedies" shall mean the Bank Permitted Remedies or the TI Permitted Remedies. The "Bank Permitted Remedies" shall be any remedy against the Borrower that does not result in the cancellation or unavailability of all or any part of the commitments under the Credit Agreement (it being understood that the unavailability of commitments under the Credit Agreement due to TECH's inability to meet conditions precedent or make representations or warranties shall not in and of itself constitute a "remedy" for purposes of this section). The "TI Permitted Remedies" shall be (i) sending of any notice or the demanding of any payment by TECH owed under the Reimbursement Agreement or pursuant to Section 5.01(a)(III) of the Reimbursement Agreement, (ii) making of any payment or prepayment by TI to the Agent, the Security Agent or any other financial institution party to the Credit Agreement pursuant to the terms of the Guarantee (as defined in the Reimbursement Agreement), (iii) delivering a statutory demand under Singapore law, (iv) commencing and participating in legal proceedings for the sole purpose of obtaining a monetary judgment and obtaining such a judgment, (v) pursuing, or suffering to exist, remedies under Section 5.01(c) of the Reimbursement Agreement, or (vi) enforcing remedies against operating and deposit accounts, so long as the sum of TECH's total unrestricted cash and cash equivalents plus the aggregate of all Available Revolving Commitments (as defined in the Credit Agreement) then available to TECH under the Credit Agreement is not less than $50.0 million after giving effect to such remedies.</w:t>
      </w:r>
    </w:p>
    <w:p>
      <w:pPr>
        <w:spacing w:after="0" w:line="213" w:lineRule="exact"/>
        <w:rPr>
          <w:sz w:val="20"/>
          <w:szCs w:val="20"/>
          <w:color w:val="auto"/>
        </w:rPr>
      </w:pPr>
    </w:p>
    <w:p>
      <w:pPr>
        <w:ind w:left="632" w:hanging="632"/>
        <w:spacing w:after="0"/>
        <w:tabs>
          <w:tab w:leader="none" w:pos="63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ind w:left="6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632" w:right="1879" w:hanging="631"/>
        <w:spacing w:after="0" w:line="237" w:lineRule="auto"/>
        <w:tabs>
          <w:tab w:leader="none" w:pos="612" w:val="left"/>
        </w:tabs>
        <w:rPr>
          <w:sz w:val="20"/>
          <w:szCs w:val="20"/>
          <w:color w:val="auto"/>
        </w:rPr>
      </w:pPr>
      <w:r>
        <w:rPr>
          <w:rFonts w:ascii="Courier New" w:cs="Courier New" w:eastAsia="Courier New" w:hAnsi="Courier New"/>
          <w:sz w:val="18"/>
          <w:szCs w:val="18"/>
          <w:color w:val="auto"/>
        </w:rPr>
        <w:t>15.1</w:t>
        <w:tab/>
        <w:t>For purposes of any litigation in the Republic of Singapore, or appeals arising out of such litigation, the Parties hereby appoint the respective persons set forth below as their agents for service of process in Singapore:</w:t>
      </w:r>
    </w:p>
    <w:p>
      <w:pPr>
        <w:spacing w:after="0" w:line="202"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723"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TECH:</w:t>
            </w:r>
          </w:p>
        </w:tc>
        <w:tc>
          <w:tcPr>
            <w:tcW w:w="422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6"/>
              </w:rPr>
              <w:t>TECH Semiconductor Singapore Pte. Ltd.</w:t>
            </w:r>
          </w:p>
        </w:tc>
      </w:tr>
      <w:tr>
        <w:trPr>
          <w:trHeight w:val="203"/>
        </w:trPr>
        <w:tc>
          <w:tcPr>
            <w:tcW w:w="1580" w:type="dxa"/>
            <w:vAlign w:val="bottom"/>
          </w:tcPr>
          <w:p>
            <w:pPr>
              <w:spacing w:after="0"/>
              <w:rPr>
                <w:sz w:val="17"/>
                <w:szCs w:val="17"/>
                <w:color w:val="auto"/>
              </w:rPr>
            </w:pPr>
          </w:p>
        </w:tc>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No. 1 Woodlands Industrial Park D</w:t>
            </w:r>
          </w:p>
        </w:tc>
      </w:tr>
      <w:tr>
        <w:trPr>
          <w:trHeight w:val="203"/>
        </w:trPr>
        <w:tc>
          <w:tcPr>
            <w:tcW w:w="15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Street 1</w:t>
            </w:r>
          </w:p>
        </w:tc>
        <w:tc>
          <w:tcPr>
            <w:tcW w:w="274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Singapore 738799</w:t>
            </w:r>
          </w:p>
        </w:tc>
      </w:tr>
      <w:tr>
        <w:trPr>
          <w:trHeight w:val="203"/>
        </w:trPr>
        <w:tc>
          <w:tcPr>
            <w:tcW w:w="15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Attention:</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MICRON:</w:t>
            </w:r>
          </w:p>
        </w:tc>
        <w:tc>
          <w:tcPr>
            <w:tcW w:w="42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Micron Semiconductor Asia Pte. Ltd.</w:t>
            </w:r>
          </w:p>
        </w:tc>
      </w:tr>
      <w:tr>
        <w:trPr>
          <w:trHeight w:val="203"/>
        </w:trPr>
        <w:tc>
          <w:tcPr>
            <w:tcW w:w="1580" w:type="dxa"/>
            <w:vAlign w:val="bottom"/>
          </w:tcPr>
          <w:p>
            <w:pPr>
              <w:spacing w:after="0"/>
              <w:rPr>
                <w:sz w:val="17"/>
                <w:szCs w:val="17"/>
                <w:color w:val="auto"/>
              </w:rPr>
            </w:pPr>
          </w:p>
        </w:tc>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990 Bendemeer Road</w:t>
            </w:r>
          </w:p>
        </w:tc>
      </w:tr>
      <w:tr>
        <w:trPr>
          <w:trHeight w:val="203"/>
        </w:trPr>
        <w:tc>
          <w:tcPr>
            <w:tcW w:w="1580" w:type="dxa"/>
            <w:vAlign w:val="bottom"/>
          </w:tcPr>
          <w:p>
            <w:pPr>
              <w:spacing w:after="0"/>
              <w:rPr>
                <w:sz w:val="17"/>
                <w:szCs w:val="17"/>
                <w:color w:val="auto"/>
              </w:rPr>
            </w:pPr>
          </w:p>
        </w:tc>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Singapore 339942</w:t>
            </w:r>
          </w:p>
        </w:tc>
      </w:tr>
      <w:tr>
        <w:trPr>
          <w:trHeight w:val="203"/>
        </w:trPr>
        <w:tc>
          <w:tcPr>
            <w:tcW w:w="15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Attention:</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Site Manager</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With copy to:</w:t>
            </w:r>
          </w:p>
        </w:tc>
        <w:tc>
          <w:tcPr>
            <w:tcW w:w="42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Micron Technology, Inc.</w:t>
            </w:r>
          </w:p>
        </w:tc>
      </w:tr>
      <w:tr>
        <w:trPr>
          <w:trHeight w:val="203"/>
        </w:trPr>
        <w:tc>
          <w:tcPr>
            <w:tcW w:w="1580" w:type="dxa"/>
            <w:vAlign w:val="bottom"/>
          </w:tcPr>
          <w:p>
            <w:pPr>
              <w:spacing w:after="0"/>
              <w:rPr>
                <w:sz w:val="17"/>
                <w:szCs w:val="17"/>
                <w:color w:val="auto"/>
              </w:rPr>
            </w:pPr>
          </w:p>
        </w:tc>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8000 South Federal Way</w:t>
            </w:r>
          </w:p>
        </w:tc>
      </w:tr>
      <w:tr>
        <w:trPr>
          <w:trHeight w:val="203"/>
        </w:trPr>
        <w:tc>
          <w:tcPr>
            <w:tcW w:w="15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Boise, Idaho</w:t>
            </w:r>
          </w:p>
        </w:tc>
        <w:tc>
          <w:tcPr>
            <w:tcW w:w="27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83716-9632</w:t>
            </w:r>
          </w:p>
        </w:tc>
      </w:tr>
      <w:tr>
        <w:trPr>
          <w:trHeight w:val="203"/>
        </w:trPr>
        <w:tc>
          <w:tcPr>
            <w:tcW w:w="15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U.S.A.</w:t>
            </w:r>
          </w:p>
        </w:tc>
        <w:tc>
          <w:tcPr>
            <w:tcW w:w="274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Attention:</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Counsel</w:t>
            </w:r>
          </w:p>
        </w:tc>
      </w:tr>
    </w:tbl>
    <w:p>
      <w:pPr>
        <w:spacing w:after="0" w:line="207" w:lineRule="exact"/>
        <w:rPr>
          <w:sz w:val="20"/>
          <w:szCs w:val="20"/>
          <w:color w:val="auto"/>
        </w:rPr>
      </w:pPr>
    </w:p>
    <w:p>
      <w:pPr>
        <w:jc w:val="both"/>
        <w:ind w:right="1879"/>
        <w:spacing w:after="0" w:line="279" w:lineRule="auto"/>
        <w:rPr>
          <w:sz w:val="20"/>
          <w:szCs w:val="20"/>
          <w:color w:val="auto"/>
        </w:rPr>
      </w:pPr>
      <w:r>
        <w:rPr>
          <w:rFonts w:ascii="Courier New" w:cs="Courier New" w:eastAsia="Courier New" w:hAnsi="Courier New"/>
          <w:sz w:val="16"/>
          <w:szCs w:val="16"/>
          <w:color w:val="auto"/>
        </w:rPr>
        <w:t>For purposes of any litigation in the courts in Idaho, or appeals arising out of such litigation, the Parties hereby appoint the respective persons set forth below as their agents for service of process:</w:t>
      </w:r>
    </w:p>
    <w:p>
      <w:pPr>
        <w:sectPr>
          <w:pgSz w:w="11900" w:h="16838" w:orient="portrait"/>
          <w:cols w:equalWidth="0" w:num="1">
            <w:col w:w="9579"/>
          </w:cols>
          <w:pgMar w:left="880" w:top="717"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Counsel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South Federal Way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Boise, Idaho 83716-9632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ectPr>
          <w:pgSz w:w="11900" w:h="16838" w:orient="portrait"/>
          <w:cols w:equalWidth="0" w:num="2">
            <w:col w:w="1080" w:space="720"/>
            <w:col w:w="7779"/>
          </w:cols>
          <w:pgMar w:left="88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General Counsel</w:t>
      </w:r>
    </w:p>
    <w:p>
      <w:pPr>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rPr>
          <w:sz w:val="20"/>
          <w:szCs w:val="20"/>
          <w:color w:val="auto"/>
        </w:rPr>
      </w:pPr>
      <w:r>
        <w:rPr>
          <w:rFonts w:ascii="Courier New" w:cs="Courier New" w:eastAsia="Courier New" w:hAnsi="Courier New"/>
          <w:sz w:val="18"/>
          <w:szCs w:val="18"/>
          <w:color w:val="auto"/>
        </w:rPr>
        <w:t>8000 South Federal Way</w:t>
      </w:r>
    </w:p>
    <w:p>
      <w:pPr>
        <w:spacing w:after="0"/>
        <w:tabs>
          <w:tab w:leader="none" w:pos="1440" w:val="left"/>
        </w:tabs>
        <w:rPr>
          <w:sz w:val="20"/>
          <w:szCs w:val="20"/>
          <w:color w:val="auto"/>
        </w:rPr>
      </w:pPr>
      <w:r>
        <w:rPr>
          <w:rFonts w:ascii="Courier New" w:cs="Courier New" w:eastAsia="Courier New" w:hAnsi="Courier New"/>
          <w:sz w:val="18"/>
          <w:szCs w:val="18"/>
          <w:color w:val="auto"/>
        </w:rPr>
        <w:t>Boise, Idaho</w:t>
      </w:r>
      <w:r>
        <w:rPr>
          <w:sz w:val="20"/>
          <w:szCs w:val="20"/>
          <w:color w:val="auto"/>
        </w:rPr>
        <w:tab/>
      </w:r>
      <w:r>
        <w:rPr>
          <w:rFonts w:ascii="Courier New" w:cs="Courier New" w:eastAsia="Courier New" w:hAnsi="Courier New"/>
          <w:sz w:val="16"/>
          <w:szCs w:val="16"/>
          <w:color w:val="auto"/>
        </w:rPr>
        <w:t>83716-9632</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ectPr>
          <w:pgSz w:w="11900" w:h="16838" w:orient="portrait"/>
          <w:cols w:equalWidth="0" w:num="2">
            <w:col w:w="1080" w:space="720"/>
            <w:col w:w="7779"/>
          </w:cols>
          <w:pgMar w:left="880" w:top="71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Site Manager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Semiconductor Asia Pte. Ltd.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990 Bendemeer Road</w:t>
      </w:r>
    </w:p>
    <w:p>
      <w:pPr>
        <w:spacing w:after="0" w:line="238" w:lineRule="auto"/>
        <w:rPr>
          <w:sz w:val="20"/>
          <w:szCs w:val="20"/>
          <w:color w:val="auto"/>
        </w:rPr>
      </w:pPr>
      <w:r>
        <w:rPr>
          <w:rFonts w:ascii="Courier New" w:cs="Courier New" w:eastAsia="Courier New" w:hAnsi="Courier New"/>
          <w:sz w:val="18"/>
          <w:szCs w:val="18"/>
          <w:color w:val="auto"/>
        </w:rPr>
        <w:t>Singapore 339942</w:t>
      </w:r>
    </w:p>
    <w:p>
      <w:pPr>
        <w:spacing w:after="0" w:line="200" w:lineRule="exact"/>
        <w:rPr>
          <w:sz w:val="20"/>
          <w:szCs w:val="20"/>
          <w:color w:val="auto"/>
        </w:rPr>
      </w:pPr>
    </w:p>
    <w:p>
      <w:pPr>
        <w:sectPr>
          <w:pgSz w:w="11900" w:h="16838" w:orient="portrait"/>
          <w:cols w:equalWidth="0" w:num="2">
            <w:col w:w="1360" w:space="440"/>
            <w:col w:w="7779"/>
          </w:cols>
          <w:pgMar w:left="880" w:top="717" w:right="1440" w:bottom="1440" w:gutter="0" w:footer="0" w:header="0"/>
          <w:type w:val="continuous"/>
        </w:sectPr>
      </w:pPr>
    </w:p>
    <w:p>
      <w:pPr>
        <w:spacing w:after="0" w:line="7" w:lineRule="exact"/>
        <w:rPr>
          <w:sz w:val="20"/>
          <w:szCs w:val="20"/>
          <w:color w:val="auto"/>
        </w:rPr>
      </w:pPr>
    </w:p>
    <w:p>
      <w:pPr>
        <w:ind w:right="1779" w:hanging="631"/>
        <w:spacing w:after="0" w:line="237" w:lineRule="auto"/>
        <w:rPr>
          <w:sz w:val="20"/>
          <w:szCs w:val="20"/>
          <w:color w:val="auto"/>
        </w:rPr>
      </w:pPr>
      <w:r>
        <w:rPr>
          <w:rFonts w:ascii="Courier New" w:cs="Courier New" w:eastAsia="Courier New" w:hAnsi="Courier New"/>
          <w:sz w:val="18"/>
          <w:szCs w:val="18"/>
          <w:color w:val="auto"/>
        </w:rPr>
        <w:t>15.2</w:t>
      </w:r>
      <w:r>
        <w:rPr>
          <w:sz w:val="20"/>
          <w:szCs w:val="20"/>
          <w:color w:val="auto"/>
        </w:rPr>
        <w:t xml:space="preserve"> </w:t>
      </w:r>
      <w:r>
        <w:rPr>
          <w:rFonts w:ascii="Courier New" w:cs="Courier New" w:eastAsia="Courier New" w:hAnsi="Courier New"/>
          <w:sz w:val="18"/>
          <w:szCs w:val="18"/>
          <w:color w:val="auto"/>
        </w:rPr>
        <w:t>Except as required by law, for governmental approval or as may be reasonably required for the operation of TECH, no Party shall, without the prior written consent of the other Party, disclose (i) to any third party other than Texas Instruments, Inc., its affiliates, any financial institution that is a party to the Credit Facility or lending to TECH thereunder, the PARTIES to the SHAREHOLDERS' AGREEMENT, and their affiliates either the terms or conditions of this</w:t>
      </w: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579"/>
          </w:cols>
          <w:pgMar w:left="880" w:top="717" w:right="1440" w:bottom="1440" w:gutter="0" w:footer="0" w:header="0"/>
          <w:type w:val="continuous"/>
        </w:sectPr>
      </w:pPr>
    </w:p>
    <w:bookmarkStart w:id="75" w:name="page76"/>
    <w:bookmarkEnd w:id="75"/>
    <w:p>
      <w:pPr>
        <w:ind w:right="1879"/>
        <w:spacing w:after="0" w:line="236" w:lineRule="auto"/>
        <w:rPr>
          <w:sz w:val="20"/>
          <w:szCs w:val="20"/>
          <w:color w:val="auto"/>
        </w:rPr>
      </w:pPr>
      <w:r>
        <w:rPr>
          <w:rFonts w:ascii="Courier New" w:cs="Courier New" w:eastAsia="Courier New" w:hAnsi="Courier New"/>
          <w:sz w:val="18"/>
          <w:szCs w:val="18"/>
          <w:color w:val="auto"/>
        </w:rPr>
        <w:t>Agreement, or (ii) to any third party any information of a proprietary nature which it obtains or which becomes available to it as the result of this Agreement or of the operations of TECH.</w:t>
      </w:r>
    </w:p>
    <w:p>
      <w:pPr>
        <w:spacing w:after="0" w:line="209" w:lineRule="exact"/>
        <w:rPr>
          <w:sz w:val="20"/>
          <w:szCs w:val="20"/>
          <w:color w:val="auto"/>
        </w:rPr>
      </w:pPr>
    </w:p>
    <w:p>
      <w:pPr>
        <w:ind w:right="2199" w:hanging="631"/>
        <w:spacing w:after="0" w:line="236" w:lineRule="auto"/>
        <w:rPr>
          <w:sz w:val="20"/>
          <w:szCs w:val="20"/>
          <w:color w:val="auto"/>
        </w:rPr>
      </w:pPr>
      <w:r>
        <w:rPr>
          <w:rFonts w:ascii="Courier New" w:cs="Courier New" w:eastAsia="Courier New" w:hAnsi="Courier New"/>
          <w:sz w:val="18"/>
          <w:szCs w:val="18"/>
          <w:color w:val="auto"/>
        </w:rPr>
        <w:t>15.3</w:t>
      </w:r>
      <w:r>
        <w:rPr>
          <w:sz w:val="20"/>
          <w:szCs w:val="20"/>
          <w:color w:val="auto"/>
        </w:rPr>
        <w:t xml:space="preserve"> </w:t>
      </w:r>
      <w:r>
        <w:rPr>
          <w:rFonts w:ascii="Courier New" w:cs="Courier New" w:eastAsia="Courier New" w:hAnsi="Courier New"/>
          <w:sz w:val="18"/>
          <w:szCs w:val="18"/>
          <w:color w:val="auto"/>
        </w:rPr>
        <w:t>TECH agrees to comply with all applicable export control laws and to obtain all export licenses required for performance of its obligations hereunder.</w:t>
      </w:r>
    </w:p>
    <w:p>
      <w:pPr>
        <w:spacing w:after="0" w:line="209" w:lineRule="exact"/>
        <w:rPr>
          <w:sz w:val="20"/>
          <w:szCs w:val="20"/>
          <w:color w:val="auto"/>
        </w:rPr>
      </w:pPr>
    </w:p>
    <w:p>
      <w:pPr>
        <w:ind w:right="1879" w:hanging="631"/>
        <w:spacing w:after="0" w:line="271" w:lineRule="auto"/>
        <w:rPr>
          <w:sz w:val="20"/>
          <w:szCs w:val="20"/>
          <w:color w:val="auto"/>
        </w:rPr>
      </w:pPr>
      <w:r>
        <w:rPr>
          <w:rFonts w:ascii="Courier New" w:cs="Courier New" w:eastAsia="Courier New" w:hAnsi="Courier New"/>
          <w:sz w:val="18"/>
          <w:szCs w:val="18"/>
          <w:color w:val="auto"/>
        </w:rPr>
        <w:t>15.4</w:t>
      </w:r>
      <w:r>
        <w:rPr>
          <w:sz w:val="20"/>
          <w:szCs w:val="20"/>
          <w:color w:val="auto"/>
        </w:rPr>
        <w:t xml:space="preserve"> </w:t>
      </w:r>
      <w:r>
        <w:rPr>
          <w:rFonts w:ascii="Courier New" w:cs="Courier New" w:eastAsia="Courier New" w:hAnsi="Courier New"/>
          <w:sz w:val="16"/>
          <w:szCs w:val="16"/>
          <w:color w:val="auto"/>
        </w:rPr>
        <w:t>MICRON may assign this Agreement or any obligation hereunder to any subsidiary of MICRON upon written notice to TECH. In such event, MICRON shall be the controlling party of such assignee and shall guarantee the obligations of such assignee under this Agreement. TECH shall not assign or transfer this Agreement or any portion hereof, or subcontract any obligation hereunder, without the prior written consent of MICRON. Any such attempted assignment, transfer or subcontract by TECH shall be void.</w:t>
      </w:r>
    </w:p>
    <w:p>
      <w:pPr>
        <w:spacing w:after="0" w:line="188" w:lineRule="exact"/>
        <w:rPr>
          <w:sz w:val="20"/>
          <w:szCs w:val="20"/>
          <w:color w:val="auto"/>
        </w:rPr>
      </w:pPr>
    </w:p>
    <w:p>
      <w:pPr>
        <w:ind w:right="1879" w:hanging="631"/>
        <w:spacing w:after="0" w:line="236" w:lineRule="auto"/>
        <w:rPr>
          <w:sz w:val="20"/>
          <w:szCs w:val="20"/>
          <w:color w:val="auto"/>
        </w:rPr>
      </w:pPr>
      <w:r>
        <w:rPr>
          <w:rFonts w:ascii="Courier New" w:cs="Courier New" w:eastAsia="Courier New" w:hAnsi="Courier New"/>
          <w:sz w:val="18"/>
          <w:szCs w:val="18"/>
          <w:color w:val="auto"/>
        </w:rPr>
        <w:t>15.5</w:t>
      </w:r>
      <w:r>
        <w:rPr>
          <w:sz w:val="20"/>
          <w:szCs w:val="20"/>
          <w:color w:val="auto"/>
        </w:rPr>
        <w:t xml:space="preserve"> </w:t>
      </w:r>
      <w:r>
        <w:rPr>
          <w:rFonts w:ascii="Courier New" w:cs="Courier New" w:eastAsia="Courier New" w:hAnsi="Courier New"/>
          <w:sz w:val="18"/>
          <w:szCs w:val="18"/>
          <w:color w:val="auto"/>
        </w:rPr>
        <w:t>The headings of the paragraphs of this Agreement are for reference purposes only and shall not be deemed to affect in any way the meaning or interpretation of the Paragraphs to which they refer.</w:t>
      </w:r>
    </w:p>
    <w:p>
      <w:pPr>
        <w:spacing w:after="0" w:line="209" w:lineRule="exact"/>
        <w:rPr>
          <w:sz w:val="20"/>
          <w:szCs w:val="20"/>
          <w:color w:val="auto"/>
        </w:rPr>
      </w:pPr>
    </w:p>
    <w:p>
      <w:pPr>
        <w:ind w:right="1779" w:hanging="631"/>
        <w:spacing w:after="0" w:line="237" w:lineRule="auto"/>
        <w:rPr>
          <w:sz w:val="20"/>
          <w:szCs w:val="20"/>
          <w:color w:val="auto"/>
        </w:rPr>
      </w:pPr>
      <w:r>
        <w:rPr>
          <w:rFonts w:ascii="Courier New" w:cs="Courier New" w:eastAsia="Courier New" w:hAnsi="Courier New"/>
          <w:sz w:val="18"/>
          <w:szCs w:val="18"/>
          <w:color w:val="auto"/>
        </w:rPr>
        <w:t>15.6</w:t>
      </w:r>
      <w:r>
        <w:rPr>
          <w:sz w:val="20"/>
          <w:szCs w:val="20"/>
          <w:color w:val="auto"/>
        </w:rPr>
        <w:t xml:space="preserve"> </w:t>
      </w:r>
      <w:r>
        <w:rPr>
          <w:rFonts w:ascii="Courier New" w:cs="Courier New" w:eastAsia="Courier New" w:hAnsi="Courier New"/>
          <w:sz w:val="18"/>
          <w:szCs w:val="18"/>
          <w:color w:val="auto"/>
        </w:rPr>
        <w:t>The failure on the part of any Party to exercise or enforce any rights conferred on it hereunder shall not be deemed to constitute a waiver of any rights or operate to bar the exercise or enforcement of any such right at any time or times thereafter.</w:t>
      </w:r>
    </w:p>
    <w:p>
      <w:pPr>
        <w:spacing w:after="0" w:line="207" w:lineRule="exact"/>
        <w:rPr>
          <w:sz w:val="20"/>
          <w:szCs w:val="20"/>
          <w:color w:val="auto"/>
        </w:rPr>
      </w:pPr>
    </w:p>
    <w:p>
      <w:pPr>
        <w:ind w:right="2199" w:hanging="631"/>
        <w:spacing w:after="0" w:line="236" w:lineRule="auto"/>
        <w:rPr>
          <w:sz w:val="20"/>
          <w:szCs w:val="20"/>
          <w:color w:val="auto"/>
        </w:rPr>
      </w:pPr>
      <w:r>
        <w:rPr>
          <w:rFonts w:ascii="Courier New" w:cs="Courier New" w:eastAsia="Courier New" w:hAnsi="Courier New"/>
          <w:sz w:val="18"/>
          <w:szCs w:val="18"/>
          <w:color w:val="auto"/>
        </w:rPr>
        <w:t>15.7</w:t>
      </w:r>
      <w:r>
        <w:rPr>
          <w:sz w:val="20"/>
          <w:szCs w:val="20"/>
          <w:color w:val="auto"/>
        </w:rPr>
        <w:t xml:space="preserve"> </w:t>
      </w:r>
      <w:r>
        <w:rPr>
          <w:rFonts w:ascii="Courier New" w:cs="Courier New" w:eastAsia="Courier New" w:hAnsi="Courier New"/>
          <w:sz w:val="18"/>
          <w:szCs w:val="18"/>
          <w:color w:val="auto"/>
        </w:rPr>
        <w:t>This Agreement may not be modified, except as permitted under Article 7.11(c) of the SHAREHOLDERS' AGREEMENT and with written consent of the Parties.</w:t>
      </w:r>
    </w:p>
    <w:p>
      <w:pPr>
        <w:spacing w:after="0" w:line="209" w:lineRule="exact"/>
        <w:rPr>
          <w:sz w:val="20"/>
          <w:szCs w:val="20"/>
          <w:color w:val="auto"/>
        </w:rPr>
      </w:pPr>
    </w:p>
    <w:p>
      <w:pPr>
        <w:jc w:val="both"/>
        <w:ind w:right="1879" w:hanging="631"/>
        <w:spacing w:after="0" w:line="279" w:lineRule="auto"/>
        <w:rPr>
          <w:sz w:val="20"/>
          <w:szCs w:val="20"/>
          <w:color w:val="auto"/>
        </w:rPr>
      </w:pPr>
      <w:r>
        <w:rPr>
          <w:rFonts w:ascii="Courier New" w:cs="Courier New" w:eastAsia="Courier New" w:hAnsi="Courier New"/>
          <w:sz w:val="18"/>
          <w:szCs w:val="18"/>
          <w:color w:val="auto"/>
        </w:rPr>
        <w:t>15.8</w:t>
      </w:r>
      <w:r>
        <w:rPr>
          <w:sz w:val="20"/>
          <w:szCs w:val="20"/>
          <w:color w:val="auto"/>
        </w:rPr>
        <w:t xml:space="preserve"> </w:t>
      </w:r>
      <w:r>
        <w:rPr>
          <w:rFonts w:ascii="Courier New" w:cs="Courier New" w:eastAsia="Courier New" w:hAnsi="Courier New"/>
          <w:sz w:val="16"/>
          <w:szCs w:val="16"/>
          <w:color w:val="auto"/>
        </w:rPr>
        <w:t>This Agreement may be executed in one or more counterparts, each of which shall be enforceable against the Parties executing such counterparts, and all of which together shall constitute one instrument.</w:t>
      </w:r>
    </w:p>
    <w:p>
      <w:pPr>
        <w:spacing w:after="0" w:line="178" w:lineRule="exact"/>
        <w:rPr>
          <w:sz w:val="20"/>
          <w:szCs w:val="20"/>
          <w:color w:val="auto"/>
        </w:rPr>
      </w:pPr>
    </w:p>
    <w:p>
      <w:pPr>
        <w:ind w:right="1779" w:hanging="631"/>
        <w:spacing w:after="0" w:line="237" w:lineRule="auto"/>
        <w:rPr>
          <w:sz w:val="20"/>
          <w:szCs w:val="20"/>
          <w:color w:val="auto"/>
        </w:rPr>
      </w:pPr>
      <w:r>
        <w:rPr>
          <w:rFonts w:ascii="Courier New" w:cs="Courier New" w:eastAsia="Courier New" w:hAnsi="Courier New"/>
          <w:sz w:val="18"/>
          <w:szCs w:val="18"/>
          <w:color w:val="auto"/>
        </w:rPr>
        <w:t>15.9</w:t>
      </w:r>
      <w:r>
        <w:rPr>
          <w:sz w:val="20"/>
          <w:szCs w:val="20"/>
          <w:color w:val="auto"/>
        </w:rPr>
        <w:t xml:space="preserve"> </w:t>
      </w:r>
      <w:r>
        <w:rPr>
          <w:rFonts w:ascii="Courier New" w:cs="Courier New" w:eastAsia="Courier New" w:hAnsi="Courier New"/>
          <w:sz w:val="18"/>
          <w:szCs w:val="18"/>
          <w:color w:val="auto"/>
        </w:rPr>
        <w:t>All notices , requests, demands, and other communications under this Agreement shall be in writing and shall be delivered personally (including by courier) or sent by registered or certified mail (postage prepaid) or given by facsimile transmission (with confirmation in writing) to the parties at the following addresses (or to such address as a party may have specified by notice given to the other pursuant to this provision) and shall be deemed given when so received:</w:t>
      </w:r>
    </w:p>
    <w:p>
      <w:pPr>
        <w:spacing w:after="0" w:line="205"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If to MICRON:</w:t>
      </w:r>
      <w:r>
        <w:rPr>
          <w:sz w:val="20"/>
          <w:szCs w:val="20"/>
          <w:color w:val="auto"/>
        </w:rPr>
        <w:tab/>
      </w:r>
      <w:r>
        <w:rPr>
          <w:rFonts w:ascii="Courier New" w:cs="Courier New" w:eastAsia="Courier New" w:hAnsi="Courier New"/>
          <w:sz w:val="16"/>
          <w:szCs w:val="16"/>
          <w:color w:val="auto"/>
        </w:rPr>
        <w:t>Site Manager</w:t>
      </w:r>
    </w:p>
    <w:p>
      <w:pPr>
        <w:ind w:left="1800"/>
        <w:spacing w:after="0" w:line="238" w:lineRule="auto"/>
        <w:rPr>
          <w:sz w:val="20"/>
          <w:szCs w:val="20"/>
          <w:color w:val="auto"/>
        </w:rPr>
      </w:pPr>
      <w:r>
        <w:rPr>
          <w:rFonts w:ascii="Courier New" w:cs="Courier New" w:eastAsia="Courier New" w:hAnsi="Courier New"/>
          <w:sz w:val="18"/>
          <w:szCs w:val="18"/>
          <w:color w:val="auto"/>
        </w:rPr>
        <w:t>Micron Semiconductor Asia Pte. Ltd.</w:t>
      </w:r>
    </w:p>
    <w:p>
      <w:pPr>
        <w:ind w:left="1800"/>
        <w:spacing w:after="0"/>
        <w:rPr>
          <w:sz w:val="20"/>
          <w:szCs w:val="20"/>
          <w:color w:val="auto"/>
        </w:rPr>
      </w:pPr>
      <w:r>
        <w:rPr>
          <w:rFonts w:ascii="Courier New" w:cs="Courier New" w:eastAsia="Courier New" w:hAnsi="Courier New"/>
          <w:sz w:val="18"/>
          <w:szCs w:val="18"/>
          <w:color w:val="auto"/>
        </w:rPr>
        <w:t>990 Bendemeer Road</w:t>
      </w:r>
    </w:p>
    <w:p>
      <w:pPr>
        <w:ind w:left="1800"/>
        <w:spacing w:after="0" w:line="237" w:lineRule="auto"/>
        <w:rPr>
          <w:sz w:val="20"/>
          <w:szCs w:val="20"/>
          <w:color w:val="auto"/>
        </w:rPr>
      </w:pPr>
      <w:r>
        <w:rPr>
          <w:rFonts w:ascii="Courier New" w:cs="Courier New" w:eastAsia="Courier New" w:hAnsi="Courier New"/>
          <w:sz w:val="18"/>
          <w:szCs w:val="18"/>
          <w:color w:val="auto"/>
        </w:rPr>
        <w:t>Singapore 339942</w:t>
      </w:r>
    </w:p>
    <w:p>
      <w:pPr>
        <w:spacing w:after="0" w:line="202"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With copy to:</w:t>
      </w:r>
      <w:r>
        <w:rPr>
          <w:sz w:val="20"/>
          <w:szCs w:val="20"/>
          <w:color w:val="auto"/>
        </w:rPr>
        <w:tab/>
      </w:r>
      <w:r>
        <w:rPr>
          <w:rFonts w:ascii="Courier New" w:cs="Courier New" w:eastAsia="Courier New" w:hAnsi="Courier New"/>
          <w:sz w:val="16"/>
          <w:szCs w:val="16"/>
          <w:color w:val="auto"/>
        </w:rPr>
        <w:t>General Counsel</w:t>
      </w:r>
    </w:p>
    <w:p>
      <w:pPr>
        <w:ind w:left="1800"/>
        <w:spacing w:after="0" w:line="238" w:lineRule="auto"/>
        <w:rPr>
          <w:sz w:val="20"/>
          <w:szCs w:val="20"/>
          <w:color w:val="auto"/>
        </w:rPr>
      </w:pPr>
      <w:r>
        <w:rPr>
          <w:rFonts w:ascii="Courier New" w:cs="Courier New" w:eastAsia="Courier New" w:hAnsi="Courier New"/>
          <w:sz w:val="18"/>
          <w:szCs w:val="18"/>
          <w:color w:val="auto"/>
        </w:rPr>
        <w:t>Micron Technology, Inc.</w:t>
      </w:r>
    </w:p>
    <w:p>
      <w:pPr>
        <w:ind w:left="1800"/>
        <w:spacing w:after="0"/>
        <w:rPr>
          <w:sz w:val="20"/>
          <w:szCs w:val="20"/>
          <w:color w:val="auto"/>
        </w:rPr>
      </w:pPr>
      <w:r>
        <w:rPr>
          <w:rFonts w:ascii="Courier New" w:cs="Courier New" w:eastAsia="Courier New" w:hAnsi="Courier New"/>
          <w:sz w:val="18"/>
          <w:szCs w:val="18"/>
          <w:color w:val="auto"/>
        </w:rPr>
        <w:t>8000 South Federal Way</w:t>
      </w:r>
    </w:p>
    <w:p>
      <w:pPr>
        <w:ind w:left="1800"/>
        <w:spacing w:after="0"/>
        <w:tabs>
          <w:tab w:leader="none" w:pos="3240" w:val="left"/>
        </w:tabs>
        <w:rPr>
          <w:sz w:val="20"/>
          <w:szCs w:val="20"/>
          <w:color w:val="auto"/>
        </w:rPr>
      </w:pPr>
      <w:r>
        <w:rPr>
          <w:rFonts w:ascii="Courier New" w:cs="Courier New" w:eastAsia="Courier New" w:hAnsi="Courier New"/>
          <w:sz w:val="18"/>
          <w:szCs w:val="18"/>
          <w:color w:val="auto"/>
        </w:rPr>
        <w:t>Boise, Idaho</w:t>
      </w:r>
      <w:r>
        <w:rPr>
          <w:sz w:val="20"/>
          <w:szCs w:val="20"/>
          <w:color w:val="auto"/>
        </w:rPr>
        <w:tab/>
      </w:r>
      <w:r>
        <w:rPr>
          <w:rFonts w:ascii="Courier New" w:cs="Courier New" w:eastAsia="Courier New" w:hAnsi="Courier New"/>
          <w:sz w:val="16"/>
          <w:szCs w:val="16"/>
          <w:color w:val="auto"/>
        </w:rPr>
        <w:t>83716-9632</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579"/>
          </w:cols>
          <w:pgMar w:left="880" w:top="723" w:right="1440" w:bottom="1440" w:gutter="0" w:footer="0" w:header="0"/>
        </w:sectPr>
      </w:pPr>
    </w:p>
    <w:bookmarkStart w:id="76" w:name="page77"/>
    <w:bookmarkEnd w:id="76"/>
    <w:p>
      <w:pPr>
        <w:spacing w:after="0" w:line="6" w:lineRule="exact"/>
        <w:rPr>
          <w:sz w:val="20"/>
          <w:szCs w:val="20"/>
          <w:color w:val="auto"/>
        </w:rPr>
      </w:pPr>
    </w:p>
    <w:p>
      <w:pPr>
        <w:jc w:val="center"/>
        <w:ind w:left="640"/>
        <w:spacing w:after="0"/>
        <w:rPr>
          <w:sz w:val="20"/>
          <w:szCs w:val="20"/>
          <w:color w:val="auto"/>
        </w:rPr>
      </w:pPr>
      <w:r>
        <w:rPr>
          <w:rFonts w:ascii="Courier New" w:cs="Courier New" w:eastAsia="Courier New" w:hAnsi="Courier New"/>
          <w:sz w:val="16"/>
          <w:szCs w:val="16"/>
          <w:color w:val="auto"/>
        </w:rPr>
        <w:t>If to TECH: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 Semiconductor Singapore Pte. Ltd.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1 Woodlands Industrial Park D</w:t>
      </w:r>
    </w:p>
    <w:p>
      <w:pPr>
        <w:spacing w:after="0" w:line="238" w:lineRule="auto"/>
        <w:rPr>
          <w:sz w:val="20"/>
          <w:szCs w:val="20"/>
          <w:color w:val="auto"/>
        </w:rPr>
      </w:pPr>
      <w:r>
        <w:rPr>
          <w:rFonts w:ascii="Courier New" w:cs="Courier New" w:eastAsia="Courier New" w:hAnsi="Courier New"/>
          <w:sz w:val="18"/>
          <w:szCs w:val="18"/>
          <w:color w:val="auto"/>
        </w:rPr>
        <w:t>Street 1</w:t>
      </w:r>
    </w:p>
    <w:p>
      <w:pPr>
        <w:spacing w:after="0"/>
        <w:rPr>
          <w:sz w:val="20"/>
          <w:szCs w:val="20"/>
          <w:color w:val="auto"/>
        </w:rPr>
      </w:pPr>
      <w:r>
        <w:rPr>
          <w:rFonts w:ascii="Courier New" w:cs="Courier New" w:eastAsia="Courier New" w:hAnsi="Courier New"/>
          <w:sz w:val="18"/>
          <w:szCs w:val="18"/>
          <w:color w:val="auto"/>
        </w:rPr>
        <w:t>Singapore 738799</w:t>
      </w:r>
    </w:p>
    <w:p>
      <w:pPr>
        <w:spacing w:after="0" w:line="237" w:lineRule="auto"/>
        <w:tabs>
          <w:tab w:leader="none" w:pos="600" w:val="left"/>
        </w:tabs>
        <w:rPr>
          <w:sz w:val="20"/>
          <w:szCs w:val="20"/>
          <w:color w:val="auto"/>
        </w:rPr>
      </w:pPr>
      <w:r>
        <w:rPr>
          <w:rFonts w:ascii="Courier New" w:cs="Courier New" w:eastAsia="Courier New" w:hAnsi="Courier New"/>
          <w:sz w:val="18"/>
          <w:szCs w:val="18"/>
          <w:color w:val="auto"/>
        </w:rPr>
        <w:t>Fax:</w:t>
        <w:tab/>
        <w:t>(65) 365-2016</w:t>
      </w:r>
    </w:p>
    <w:p>
      <w:pPr>
        <w:spacing w:after="0" w:line="200" w:lineRule="exact"/>
        <w:rPr>
          <w:sz w:val="20"/>
          <w:szCs w:val="20"/>
          <w:color w:val="auto"/>
        </w:rPr>
      </w:pPr>
    </w:p>
    <w:p>
      <w:pPr>
        <w:sectPr>
          <w:pgSz w:w="11900" w:h="16838" w:orient="portrait"/>
          <w:cols w:equalWidth="0" w:num="2">
            <w:col w:w="1800" w:space="640"/>
            <w:col w:w="7779"/>
          </w:cols>
          <w:pgMar w:left="240" w:top="717" w:right="1440" w:bottom="1440" w:gutter="0" w:footer="0" w:header="0"/>
        </w:sectPr>
      </w:pPr>
    </w:p>
    <w:p>
      <w:pPr>
        <w:spacing w:after="0" w:line="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to the extent required by Singapore law, on each member of TECH's Board of Directors at their address of record. All such notices, requests, demands, and other communications shall be deemed received on the date of receipt by the recipient thereof if received prior to 5 p.m. in the place of receipt and such day is a business day in the place of receipt. Otherwise, any such notice, request, demand or other communication shall be deemed not to have been received until the next succeeding business day in the place of receipt.</w:t>
      </w: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15.10</w:t>
      </w:r>
      <w:r>
        <w:rPr>
          <w:sz w:val="20"/>
          <w:szCs w:val="20"/>
          <w:color w:val="auto"/>
        </w:rPr>
        <w:tab/>
      </w:r>
      <w:r>
        <w:rPr>
          <w:rFonts w:ascii="Courier New" w:cs="Courier New" w:eastAsia="Courier New" w:hAnsi="Courier New"/>
          <w:sz w:val="16"/>
          <w:szCs w:val="16"/>
          <w:color w:val="auto"/>
        </w:rPr>
        <w:t>All correspondence relating to this Agreement shall be in English.</w:t>
      </w:r>
    </w:p>
    <w:p>
      <w:pPr>
        <w:spacing w:after="0" w:line="207" w:lineRule="exact"/>
        <w:rPr>
          <w:sz w:val="20"/>
          <w:szCs w:val="20"/>
          <w:color w:val="auto"/>
        </w:rPr>
      </w:pPr>
    </w:p>
    <w:p>
      <w:pPr>
        <w:ind w:left="740" w:right="17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15.11</w:t>
        <w:tab/>
        <w:t>This Agreement is written and executed in English. No translation of this Agreement into any other language shall have any force or effect in the interpretation of the construction of this Agreement in determination of the intent of the Parties hereto.</w:t>
      </w:r>
    </w:p>
    <w:p>
      <w:pPr>
        <w:spacing w:after="0" w:line="207" w:lineRule="exact"/>
        <w:rPr>
          <w:sz w:val="20"/>
          <w:szCs w:val="20"/>
          <w:color w:val="auto"/>
        </w:rPr>
      </w:pPr>
    </w:p>
    <w:p>
      <w:pPr>
        <w:ind w:left="740" w:right="177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15.12</w:t>
        <w:tab/>
        <w:t>If any provision of this Agreement shall be held invalid or unenforceable by any court of competent jurisdiction or as a result of future legislative action, such holding or action shall be strictly construed and, subject to applicable law, shall not affect the validity or effect of any other provisions hereof.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260" w:right="100"/>
        <w:spacing w:after="0" w:line="235" w:lineRule="auto"/>
        <w:rPr>
          <w:sz w:val="20"/>
          <w:szCs w:val="20"/>
          <w:color w:val="auto"/>
        </w:rPr>
      </w:pPr>
      <w:r>
        <w:rPr>
          <w:rFonts w:ascii="Courier New" w:cs="Courier New" w:eastAsia="Courier New" w:hAnsi="Courier New"/>
          <w:sz w:val="18"/>
          <w:szCs w:val="18"/>
          <w:color w:val="auto"/>
        </w:rPr>
        <w:t>[The remainder of this page is intentionally left blank.  Signatures appear on the following page.]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type w:val="continuous"/>
        </w:sectPr>
      </w:pPr>
    </w:p>
    <w:bookmarkStart w:id="77" w:name="page78"/>
    <w:bookmarkEnd w:id="77"/>
    <w:p>
      <w:pPr>
        <w:ind w:right="2619" w:firstLine="527"/>
        <w:spacing w:after="0" w:line="235" w:lineRule="auto"/>
        <w:rPr>
          <w:sz w:val="20"/>
          <w:szCs w:val="20"/>
          <w:color w:val="auto"/>
        </w:rPr>
      </w:pPr>
      <w:r>
        <w:rPr>
          <w:rFonts w:ascii="Courier New" w:cs="Courier New" w:eastAsia="Courier New" w:hAnsi="Courier New"/>
          <w:sz w:val="18"/>
          <w:szCs w:val="18"/>
          <w:color w:val="auto"/>
        </w:rPr>
        <w:t>IN WITNESS WHEREOF, the Parties have signed and dated this Purchase Agreement in the space provided below.</w:t>
      </w:r>
    </w:p>
    <w:p>
      <w:pPr>
        <w:sectPr>
          <w:pgSz w:w="11900" w:h="16838" w:orient="portrait"/>
          <w:cols w:equalWidth="0" w:num="1">
            <w:col w:w="10219"/>
          </w:cols>
          <w:pgMar w:left="240" w:top="7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60"/>
        <w:spacing w:after="0" w:line="235" w:lineRule="auto"/>
        <w:rPr>
          <w:sz w:val="20"/>
          <w:szCs w:val="20"/>
          <w:color w:val="auto"/>
        </w:rPr>
      </w:pPr>
      <w:r>
        <w:rPr>
          <w:rFonts w:ascii="Courier New" w:cs="Courier New" w:eastAsia="Courier New" w:hAnsi="Courier New"/>
          <w:sz w:val="18"/>
          <w:szCs w:val="18"/>
          <w:color w:val="auto"/>
        </w:rPr>
        <w:t>TECH SEMICONDUCTOR SINGAPORE PTE.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418" w:lineRule="exact"/>
        <w:rPr>
          <w:sz w:val="20"/>
          <w:szCs w:val="20"/>
          <w:color w:val="auto"/>
        </w:rPr>
      </w:pPr>
    </w:p>
    <w:p>
      <w:pPr>
        <w:sectPr>
          <w:pgSz w:w="11900" w:h="16838" w:orient="portrait"/>
          <w:cols w:equalWidth="0" w:num="2">
            <w:col w:w="3820" w:space="720"/>
            <w:col w:w="5679"/>
          </w:cols>
          <w:pgMar w:left="240" w:top="722" w:right="1440"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w:t>
      </w:r>
    </w:p>
    <w:p>
      <w:pPr>
        <w:spacing w:after="0" w:line="200" w:lineRule="exact"/>
        <w:rPr>
          <w:sz w:val="20"/>
          <w:szCs w:val="20"/>
          <w:color w:val="auto"/>
        </w:rPr>
      </w:pPr>
    </w:p>
    <w:p>
      <w:pPr>
        <w:sectPr>
          <w:pgSz w:w="11900" w:h="16838" w:orient="portrait"/>
          <w:cols w:equalWidth="0" w:num="2">
            <w:col w:w="3820" w:space="720"/>
            <w:col w:w="5679"/>
          </w:cols>
          <w:pgMar w:left="240" w:top="72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Name:_______________________________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Name:________________________________</w:t>
      </w:r>
    </w:p>
    <w:p>
      <w:pPr>
        <w:spacing w:after="0" w:line="200" w:lineRule="exact"/>
        <w:rPr>
          <w:sz w:val="20"/>
          <w:szCs w:val="20"/>
          <w:color w:val="auto"/>
        </w:rPr>
      </w:pPr>
    </w:p>
    <w:p>
      <w:pPr>
        <w:sectPr>
          <w:pgSz w:w="11900" w:h="16838" w:orient="portrait"/>
          <w:cols w:equalWidth="0" w:num="2">
            <w:col w:w="3820" w:space="720"/>
            <w:col w:w="5679"/>
          </w:cols>
          <w:pgMar w:left="240" w:top="72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Title:______________________________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Title:_______________________________</w:t>
      </w:r>
    </w:p>
    <w:p>
      <w:pPr>
        <w:spacing w:after="0" w:line="200" w:lineRule="exact"/>
        <w:rPr>
          <w:sz w:val="20"/>
          <w:szCs w:val="20"/>
          <w:color w:val="auto"/>
        </w:rPr>
      </w:pPr>
    </w:p>
    <w:p>
      <w:pPr>
        <w:sectPr>
          <w:pgSz w:w="11900" w:h="16838" w:orient="portrait"/>
          <w:cols w:equalWidth="0" w:num="2">
            <w:col w:w="3820" w:space="720"/>
            <w:col w:w="5679"/>
          </w:cols>
          <w:pgMar w:left="240" w:top="72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Date:_______________________________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Date:________________________________</w:t>
      </w:r>
    </w:p>
    <w:p>
      <w:pPr>
        <w:spacing w:after="0" w:line="200" w:lineRule="exact"/>
        <w:rPr>
          <w:sz w:val="20"/>
          <w:szCs w:val="20"/>
          <w:color w:val="auto"/>
        </w:rPr>
      </w:pPr>
    </w:p>
    <w:p>
      <w:pPr>
        <w:sectPr>
          <w:pgSz w:w="11900" w:h="16838" w:orient="portrait"/>
          <w:cols w:equalWidth="0" w:num="2">
            <w:col w:w="3820" w:space="720"/>
            <w:col w:w="5679"/>
          </w:cols>
          <w:pgMar w:left="240" w:top="722" w:right="1440" w:bottom="1440" w:gutter="0" w:footer="0" w:header="0"/>
          <w:type w:val="continuous"/>
        </w:sectPr>
      </w:pPr>
    </w:p>
    <w:p>
      <w:pPr>
        <w:spacing w:after="0" w:line="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722" w:right="1440" w:bottom="1440" w:gutter="0" w:footer="0" w:header="0"/>
          <w:type w:val="continuous"/>
        </w:sectPr>
      </w:pPr>
    </w:p>
    <w:bookmarkStart w:id="78" w:name="page79"/>
    <w:bookmarkEnd w:id="7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5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THE ACCOMPANYING FINANCIAL STATEMENTS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SEP-02-1999</w:t>
      </w:r>
    </w:p>
    <w:p>
      <w:pPr>
        <w:ind w:left="3240"/>
        <w:spacing w:after="0"/>
        <w:rPr>
          <w:sz w:val="20"/>
          <w:szCs w:val="20"/>
          <w:color w:val="auto"/>
        </w:rPr>
      </w:pPr>
      <w:r>
        <w:rPr>
          <w:rFonts w:ascii="Courier New" w:cs="Courier New" w:eastAsia="Courier New" w:hAnsi="Courier New"/>
          <w:sz w:val="18"/>
          <w:szCs w:val="18"/>
          <w:color w:val="auto"/>
        </w:rPr>
        <w:t>DEC-03-1998</w:t>
      </w:r>
    </w:p>
    <w:p>
      <w:pPr>
        <w:jc w:val="center"/>
        <w:ind w:right="439"/>
        <w:spacing w:after="0" w:line="237" w:lineRule="auto"/>
        <w:rPr>
          <w:sz w:val="20"/>
          <w:szCs w:val="20"/>
          <w:color w:val="auto"/>
        </w:rPr>
      </w:pPr>
      <w:r>
        <w:rPr>
          <w:rFonts w:ascii="Courier New" w:cs="Courier New" w:eastAsia="Courier New" w:hAnsi="Courier New"/>
          <w:sz w:val="18"/>
          <w:szCs w:val="18"/>
          <w:color w:val="auto"/>
        </w:rPr>
        <w:t>768</w:t>
      </w:r>
    </w:p>
    <w:p>
      <w:pPr>
        <w:ind w:left="3980"/>
        <w:spacing w:after="0" w:line="238" w:lineRule="auto"/>
        <w:rPr>
          <w:sz w:val="20"/>
          <w:szCs w:val="20"/>
          <w:color w:val="auto"/>
        </w:rPr>
      </w:pPr>
      <w:r>
        <w:rPr>
          <w:rFonts w:ascii="Courier New" w:cs="Courier New" w:eastAsia="Courier New" w:hAnsi="Courier New"/>
          <w:sz w:val="18"/>
          <w:szCs w:val="18"/>
          <w:color w:val="auto"/>
        </w:rPr>
        <w:t>1157</w:t>
      </w:r>
    </w:p>
    <w:p>
      <w:pPr>
        <w:ind w:left="3980"/>
        <w:spacing w:after="0"/>
        <w:rPr>
          <w:sz w:val="20"/>
          <w:szCs w:val="20"/>
          <w:color w:val="auto"/>
        </w:rPr>
      </w:pPr>
      <w:r>
        <w:rPr>
          <w:rFonts w:ascii="Courier New" w:cs="Courier New" w:eastAsia="Courier New" w:hAnsi="Courier New"/>
          <w:sz w:val="18"/>
          <w:szCs w:val="18"/>
          <w:color w:val="auto"/>
        </w:rPr>
        <w:t>503</w:t>
      </w:r>
    </w:p>
    <w:p>
      <w:pPr>
        <w:ind w:left="3980"/>
        <w:spacing w:after="0" w:line="237" w:lineRule="auto"/>
        <w:rPr>
          <w:sz w:val="20"/>
          <w:szCs w:val="20"/>
          <w:color w:val="auto"/>
        </w:rPr>
      </w:pPr>
      <w:r>
        <w:rPr>
          <w:rFonts w:ascii="Courier New" w:cs="Courier New" w:eastAsia="Courier New" w:hAnsi="Courier New"/>
          <w:sz w:val="18"/>
          <w:szCs w:val="18"/>
          <w:color w:val="auto"/>
        </w:rPr>
        <w:t>(21)</w:t>
      </w:r>
    </w:p>
    <w:p>
      <w:pPr>
        <w:ind w:left="4180"/>
        <w:spacing w:after="0"/>
        <w:rPr>
          <w:sz w:val="20"/>
          <w:szCs w:val="20"/>
          <w:color w:val="auto"/>
        </w:rPr>
      </w:pPr>
      <w:r>
        <w:rPr>
          <w:rFonts w:ascii="Courier New" w:cs="Courier New" w:eastAsia="Courier New" w:hAnsi="Courier New"/>
          <w:sz w:val="18"/>
          <w:szCs w:val="18"/>
          <w:color w:val="auto"/>
        </w:rPr>
        <w:t>360</w:t>
      </w:r>
    </w:p>
    <w:p>
      <w:pPr>
        <w:ind w:left="3540"/>
        <w:spacing w:after="0" w:line="237" w:lineRule="auto"/>
        <w:rPr>
          <w:sz w:val="20"/>
          <w:szCs w:val="20"/>
          <w:color w:val="auto"/>
        </w:rPr>
      </w:pPr>
      <w:r>
        <w:rPr>
          <w:rFonts w:ascii="Courier New" w:cs="Courier New" w:eastAsia="Courier New" w:hAnsi="Courier New"/>
          <w:sz w:val="18"/>
          <w:szCs w:val="18"/>
          <w:color w:val="auto"/>
        </w:rPr>
        <w:t>2850</w:t>
      </w:r>
    </w:p>
    <w:p>
      <w:pPr>
        <w:ind w:left="4600"/>
        <w:spacing w:after="0"/>
        <w:rPr>
          <w:sz w:val="20"/>
          <w:szCs w:val="20"/>
          <w:color w:val="auto"/>
        </w:rPr>
      </w:pPr>
      <w:r>
        <w:rPr>
          <w:rFonts w:ascii="Courier New" w:cs="Courier New" w:eastAsia="Courier New" w:hAnsi="Courier New"/>
          <w:sz w:val="18"/>
          <w:szCs w:val="18"/>
          <w:color w:val="auto"/>
        </w:rPr>
        <w:t>5405</w:t>
      </w:r>
    </w:p>
    <w:p>
      <w:pPr>
        <w:jc w:val="right"/>
        <w:ind w:right="5999"/>
        <w:spacing w:after="0" w:line="237" w:lineRule="auto"/>
        <w:rPr>
          <w:sz w:val="20"/>
          <w:szCs w:val="20"/>
          <w:color w:val="auto"/>
        </w:rPr>
      </w:pPr>
      <w:r>
        <w:rPr>
          <w:rFonts w:ascii="Courier New" w:cs="Courier New" w:eastAsia="Courier New" w:hAnsi="Courier New"/>
          <w:sz w:val="18"/>
          <w:szCs w:val="18"/>
          <w:color w:val="auto"/>
        </w:rPr>
        <w:t>(1803)</w:t>
      </w:r>
    </w:p>
    <w:p>
      <w:pPr>
        <w:jc w:val="right"/>
        <w:ind w:right="5999"/>
        <w:spacing w:after="0" w:line="238" w:lineRule="auto"/>
        <w:rPr>
          <w:sz w:val="20"/>
          <w:szCs w:val="20"/>
          <w:color w:val="auto"/>
        </w:rPr>
      </w:pPr>
      <w:r>
        <w:rPr>
          <w:rFonts w:ascii="Courier New" w:cs="Courier New" w:eastAsia="Courier New" w:hAnsi="Courier New"/>
          <w:sz w:val="18"/>
          <w:szCs w:val="18"/>
          <w:color w:val="auto"/>
        </w:rPr>
        <w:t>6788</w:t>
      </w:r>
    </w:p>
    <w:p>
      <w:pPr>
        <w:ind w:left="3120"/>
        <w:spacing w:after="0"/>
        <w:rPr>
          <w:sz w:val="20"/>
          <w:szCs w:val="20"/>
          <w:color w:val="auto"/>
        </w:rPr>
      </w:pPr>
      <w:r>
        <w:rPr>
          <w:rFonts w:ascii="Courier New" w:cs="Courier New" w:eastAsia="Courier New" w:hAnsi="Courier New"/>
          <w:sz w:val="18"/>
          <w:szCs w:val="18"/>
          <w:color w:val="auto"/>
        </w:rPr>
        <w:t>862</w:t>
      </w:r>
    </w:p>
    <w:p>
      <w:pPr>
        <w:jc w:val="center"/>
        <w:ind w:right="439"/>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25</w:t>
      </w:r>
    </w:p>
    <w:p>
      <w:pPr>
        <w:ind w:left="4180"/>
        <w:spacing w:after="0" w:line="237" w:lineRule="auto"/>
        <w:rPr>
          <w:sz w:val="20"/>
          <w:szCs w:val="20"/>
          <w:color w:val="auto"/>
        </w:rPr>
      </w:pPr>
      <w:r>
        <w:rPr>
          <w:rFonts w:ascii="Courier New" w:cs="Courier New" w:eastAsia="Courier New" w:hAnsi="Courier New"/>
          <w:sz w:val="18"/>
          <w:szCs w:val="18"/>
          <w:color w:val="auto"/>
        </w:rPr>
        <w:t>3811</w:t>
      </w:r>
    </w:p>
    <w:p>
      <w:pPr>
        <w:ind w:left="2280"/>
        <w:spacing w:after="0" w:line="238" w:lineRule="auto"/>
        <w:rPr>
          <w:sz w:val="20"/>
          <w:szCs w:val="20"/>
          <w:color w:val="auto"/>
        </w:rPr>
      </w:pPr>
      <w:r>
        <w:rPr>
          <w:rFonts w:ascii="Courier New" w:cs="Courier New" w:eastAsia="Courier New" w:hAnsi="Courier New"/>
          <w:sz w:val="18"/>
          <w:szCs w:val="18"/>
          <w:color w:val="auto"/>
        </w:rPr>
        <w:t>6788</w:t>
      </w:r>
    </w:p>
    <w:p>
      <w:pPr>
        <w:ind w:left="4600"/>
        <w:spacing w:after="0"/>
        <w:rPr>
          <w:sz w:val="20"/>
          <w:szCs w:val="20"/>
          <w:color w:val="auto"/>
        </w:rPr>
      </w:pPr>
      <w:r>
        <w:rPr>
          <w:rFonts w:ascii="Courier New" w:cs="Courier New" w:eastAsia="Courier New" w:hAnsi="Courier New"/>
          <w:sz w:val="18"/>
          <w:szCs w:val="18"/>
          <w:color w:val="auto"/>
        </w:rPr>
        <w:t>794</w:t>
      </w:r>
    </w:p>
    <w:p>
      <w:pPr>
        <w:ind w:left="3660"/>
        <w:spacing w:after="0" w:line="237" w:lineRule="auto"/>
        <w:rPr>
          <w:sz w:val="20"/>
          <w:szCs w:val="20"/>
          <w:color w:val="auto"/>
        </w:rPr>
      </w:pPr>
      <w:r>
        <w:rPr>
          <w:rFonts w:ascii="Courier New" w:cs="Courier New" w:eastAsia="Courier New" w:hAnsi="Courier New"/>
          <w:sz w:val="18"/>
          <w:szCs w:val="18"/>
          <w:color w:val="auto"/>
        </w:rPr>
        <w:t>794</w:t>
      </w:r>
    </w:p>
    <w:p>
      <w:pPr>
        <w:jc w:val="center"/>
        <w:ind w:right="239"/>
        <w:spacing w:after="0"/>
        <w:rPr>
          <w:sz w:val="20"/>
          <w:szCs w:val="20"/>
          <w:color w:val="auto"/>
        </w:rPr>
      </w:pPr>
      <w:r>
        <w:rPr>
          <w:rFonts w:ascii="Courier New" w:cs="Courier New" w:eastAsia="Courier New" w:hAnsi="Courier New"/>
          <w:sz w:val="18"/>
          <w:szCs w:val="18"/>
          <w:color w:val="auto"/>
        </w:rPr>
        <w:t>678</w:t>
      </w:r>
    </w:p>
    <w:p>
      <w:pPr>
        <w:ind w:left="3980"/>
        <w:spacing w:after="0" w:line="237" w:lineRule="auto"/>
        <w:rPr>
          <w:sz w:val="20"/>
          <w:szCs w:val="20"/>
          <w:color w:val="auto"/>
        </w:rPr>
      </w:pPr>
      <w:r>
        <w:rPr>
          <w:rFonts w:ascii="Courier New" w:cs="Courier New" w:eastAsia="Courier New" w:hAnsi="Courier New"/>
          <w:sz w:val="18"/>
          <w:szCs w:val="18"/>
          <w:color w:val="auto"/>
        </w:rPr>
        <w:t>856</w:t>
      </w:r>
    </w:p>
    <w:p>
      <w:pPr>
        <w:ind w:left="386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440"/>
        <w:spacing w:after="0"/>
        <w:rPr>
          <w:sz w:val="20"/>
          <w:szCs w:val="20"/>
          <w:color w:val="auto"/>
        </w:rPr>
      </w:pPr>
      <w:r>
        <w:rPr>
          <w:rFonts w:ascii="Courier New" w:cs="Courier New" w:eastAsia="Courier New" w:hAnsi="Courier New"/>
          <w:sz w:val="18"/>
          <w:szCs w:val="18"/>
          <w:color w:val="auto"/>
        </w:rPr>
        <w:t>(8)</w:t>
      </w:r>
    </w:p>
    <w:p>
      <w:pPr>
        <w:ind w:left="3660"/>
        <w:spacing w:after="0" w:line="237" w:lineRule="auto"/>
        <w:rPr>
          <w:sz w:val="20"/>
          <w:szCs w:val="20"/>
          <w:color w:val="auto"/>
        </w:rPr>
      </w:pPr>
      <w:r>
        <w:rPr>
          <w:rFonts w:ascii="Courier New" w:cs="Courier New" w:eastAsia="Courier New" w:hAnsi="Courier New"/>
          <w:sz w:val="18"/>
          <w:szCs w:val="18"/>
          <w:color w:val="auto"/>
        </w:rPr>
        <w:t>(74)</w:t>
      </w:r>
    </w:p>
    <w:p>
      <w:pPr>
        <w:ind w:left="3980"/>
        <w:spacing w:after="0" w:line="238" w:lineRule="auto"/>
        <w:rPr>
          <w:sz w:val="20"/>
          <w:szCs w:val="20"/>
          <w:color w:val="auto"/>
        </w:rPr>
      </w:pPr>
      <w:r>
        <w:rPr>
          <w:rFonts w:ascii="Courier New" w:cs="Courier New" w:eastAsia="Courier New" w:hAnsi="Courier New"/>
          <w:sz w:val="18"/>
          <w:szCs w:val="18"/>
          <w:color w:val="auto"/>
        </w:rPr>
        <w:t>(28)</w:t>
      </w:r>
    </w:p>
    <w:p>
      <w:pPr>
        <w:ind w:left="3540"/>
        <w:spacing w:after="0"/>
        <w:rPr>
          <w:sz w:val="20"/>
          <w:szCs w:val="20"/>
          <w:color w:val="auto"/>
        </w:rPr>
      </w:pPr>
      <w:r>
        <w:rPr>
          <w:rFonts w:ascii="Courier New" w:cs="Courier New" w:eastAsia="Courier New" w:hAnsi="Courier New"/>
          <w:sz w:val="18"/>
          <w:szCs w:val="18"/>
          <w:color w:val="auto"/>
        </w:rPr>
        <w:t>0</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(46)</w:t>
      </w:r>
    </w:p>
    <w:p>
      <w:pPr>
        <w:ind w:left="3660"/>
        <w:spacing w:after="0" w:line="237" w:lineRule="auto"/>
        <w:rPr>
          <w:sz w:val="20"/>
          <w:szCs w:val="20"/>
          <w:color w:val="auto"/>
        </w:rPr>
      </w:pPr>
      <w:r>
        <w:rPr>
          <w:rFonts w:ascii="Courier New" w:cs="Courier New" w:eastAsia="Courier New" w:hAnsi="Courier New"/>
          <w:sz w:val="18"/>
          <w:szCs w:val="18"/>
          <w:color w:val="auto"/>
        </w:rPr>
        <w:t>(0.19)</w:t>
      </w:r>
    </w:p>
    <w:p>
      <w:pPr>
        <w:ind w:left="3660"/>
        <w:spacing w:after="0" w:line="238" w:lineRule="auto"/>
        <w:rPr>
          <w:sz w:val="20"/>
          <w:szCs w:val="20"/>
          <w:color w:val="auto"/>
        </w:rPr>
      </w:pPr>
      <w:r>
        <w:rPr>
          <w:rFonts w:ascii="Courier New" w:cs="Courier New" w:eastAsia="Courier New" w:hAnsi="Courier New"/>
          <w:sz w:val="18"/>
          <w:szCs w:val="18"/>
          <w:color w:val="auto"/>
        </w:rPr>
        <w:t>(0.19)</w:t>
      </w:r>
    </w:p>
    <w:sectPr>
      <w:pgSz w:w="11900" w:h="16838" w:orient="portrait"/>
      <w:cols w:equalWidth="0" w:num="1">
        <w:col w:w="10179"/>
      </w:cols>
      <w:pgMar w:left="2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upperLetter"/>
      <w:start w:val="24"/>
    </w:lvl>
  </w:abstractNum>
  <w:abstractNum w:abstractNumId="1">
    <w:nsid w:val="8EDBDAB"/>
    <w:multiLevelType w:val="hybridMultilevel"/>
    <w:lvl w:ilvl="0">
      <w:lvlJc w:val="left"/>
      <w:lvlText w:val="(%1)"/>
      <w:numFmt w:val="decimal"/>
      <w:start w:val="208"/>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decimal"/>
      <w:start w:val="3"/>
    </w:lvl>
  </w:abstractNum>
  <w:abstractNum w:abstractNumId="6">
    <w:nsid w:val="54E49EB4"/>
    <w:multiLevelType w:val="hybridMultilevel"/>
    <w:lvl w:ilvl="0">
      <w:lvlJc w:val="left"/>
      <w:lvlText w:val="%1."/>
      <w:numFmt w:val="decimal"/>
      <w:start w:val="4"/>
    </w:lvl>
  </w:abstractNum>
  <w:abstractNum w:abstractNumId="7">
    <w:nsid w:val="71F32454"/>
    <w:multiLevelType w:val="hybridMultilevel"/>
    <w:lvl w:ilvl="0">
      <w:lvlJc w:val="left"/>
      <w:lvlText w:val="%1."/>
      <w:numFmt w:val="decimal"/>
      <w:start w:val="5"/>
    </w:lvl>
  </w:abstractNum>
  <w:abstractNum w:abstractNumId="8">
    <w:nsid w:val="2CA88611"/>
    <w:multiLevelType w:val="hybridMultilevel"/>
    <w:lvl w:ilvl="0">
      <w:lvlJc w:val="left"/>
      <w:lvlText w:val="%1."/>
      <w:numFmt w:val="decimal"/>
      <w:start w:val="6"/>
    </w:lvl>
  </w:abstractNum>
  <w:abstractNum w:abstractNumId="9">
    <w:nsid w:val="836C40E"/>
    <w:multiLevelType w:val="hybridMultilevel"/>
    <w:lvl w:ilvl="0">
      <w:lvlJc w:val="left"/>
      <w:lvlText w:val="%1."/>
      <w:numFmt w:val="decimal"/>
      <w:start w:val="7"/>
    </w:lvl>
  </w:abstractNum>
  <w:abstractNum w:abstractNumId="10">
    <w:nsid w:val="2901D82"/>
    <w:multiLevelType w:val="hybridMultilevel"/>
    <w:lvl w:ilvl="0">
      <w:lvlJc w:val="left"/>
      <w:lvlText w:val="%1."/>
      <w:numFmt w:val="decimal"/>
      <w:start w:val="8"/>
    </w:lvl>
  </w:abstractNum>
  <w:abstractNum w:abstractNumId="11">
    <w:nsid w:val="3A95F874"/>
    <w:multiLevelType w:val="hybridMultilevel"/>
    <w:lvl w:ilvl="0">
      <w:lvlJc w:val="left"/>
      <w:lvlText w:val="%1."/>
      <w:numFmt w:val="decimal"/>
      <w:start w:val="9"/>
    </w:lvl>
  </w:abstractNum>
  <w:abstractNum w:abstractNumId="12">
    <w:nsid w:val="8138641"/>
    <w:multiLevelType w:val="hybridMultilevel"/>
    <w:lvl w:ilvl="0">
      <w:lvlJc w:val="left"/>
      <w:lvlText w:val="%1."/>
      <w:numFmt w:val="decimal"/>
      <w:start w:val="10"/>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lowerLetter"/>
      <w:start w:val="4"/>
    </w:lvl>
  </w:abstractNum>
  <w:abstractNum w:abstractNumId="16">
    <w:nsid w:val="6CEAF087"/>
    <w:multiLevelType w:val="hybridMultilevel"/>
    <w:lvl w:ilvl="0">
      <w:lvlJc w:val="left"/>
      <w:lvlText w:val="(%1)"/>
      <w:numFmt w:val="lowerLetter"/>
      <w:start w:val="1"/>
    </w:lvl>
  </w:abstractNum>
  <w:abstractNum w:abstractNumId="17">
    <w:nsid w:val="22221A70"/>
    <w:multiLevelType w:val="hybridMultilevel"/>
    <w:lvl w:ilvl="0">
      <w:lvlJc w:val="left"/>
      <w:lvlText w:val="%1"/>
      <w:numFmt w:val="lowerLetter"/>
      <w:start w:val="1"/>
    </w:lvl>
    <w:lvl w:ilvl="1">
      <w:lvlJc w:val="left"/>
      <w:lvlText w:val="%2"/>
      <w:numFmt w:val="decimal"/>
      <w:start w:val="27"/>
    </w:lvl>
  </w:abstractNum>
  <w:abstractNum w:abstractNumId="18">
    <w:nsid w:val="4516DDE9"/>
    <w:multiLevelType w:val="hybridMultilevel"/>
    <w:lvl w:ilvl="0">
      <w:lvlJc w:val="left"/>
      <w:lvlText w:val="(%1)"/>
      <w:numFmt w:val="lowerLetter"/>
      <w:start w:val="2"/>
    </w:lvl>
    <w:lvl w:ilvl="1">
      <w:lvlJc w:val="left"/>
      <w:lvlText w:val="%2"/>
      <w:numFmt w:val="decimal"/>
      <w:start w:val="1"/>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1)"/>
      <w:numFmt w:val="lowerLetter"/>
      <w:start w:val="3"/>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3"/>
    </w:lvl>
  </w:abstractNum>
  <w:abstractNum w:abstractNumId="23">
    <w:nsid w:val="440BADFC"/>
    <w:multiLevelType w:val="hybridMultilevel"/>
    <w:lvl w:ilvl="0">
      <w:lvlJc w:val="left"/>
      <w:lvlText w:val="%1."/>
      <w:numFmt w:val="decimal"/>
      <w:start w:val="7"/>
    </w:lvl>
  </w:abstractNum>
  <w:abstractNum w:abstractNumId="24">
    <w:nsid w:val="5072367"/>
    <w:multiLevelType w:val="hybridMultilevel"/>
    <w:lvl w:ilvl="0">
      <w:lvlJc w:val="left"/>
      <w:lvlText w:val="%1."/>
      <w:numFmt w:val="decimal"/>
      <w:start w:val="8"/>
    </w:lvl>
  </w:abstractNum>
  <w:abstractNum w:abstractNumId="25">
    <w:nsid w:val="3804823E"/>
    <w:multiLevelType w:val="hybridMultilevel"/>
    <w:lvl w:ilvl="0">
      <w:lvlJc w:val="left"/>
      <w:lvlText w:val="%1."/>
      <w:numFmt w:val="decimal"/>
      <w:start w:val="9"/>
    </w:lvl>
  </w:abstractNum>
  <w:abstractNum w:abstractNumId="26">
    <w:nsid w:val="77465F01"/>
    <w:multiLevelType w:val="hybridMultilevel"/>
    <w:lvl w:ilvl="0">
      <w:lvlJc w:val="left"/>
      <w:lvlText w:val="%1."/>
      <w:numFmt w:val="decimal"/>
      <w:start w:val="12"/>
    </w:lvl>
  </w:abstractNum>
  <w:abstractNum w:abstractNumId="27">
    <w:nsid w:val="7724C67E"/>
    <w:multiLevelType w:val="hybridMultilevel"/>
    <w:lvl w:ilvl="0">
      <w:lvlJc w:val="left"/>
      <w:lvlText w:val="%1."/>
      <w:numFmt w:val="decimal"/>
      <w:start w:val="14"/>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2"/>
    </w:lvl>
  </w:abstractNum>
  <w:abstractNum w:abstractNumId="30">
    <w:nsid w:val="5E884ADC"/>
    <w:multiLevelType w:val="hybridMultilevel"/>
    <w:lvl w:ilvl="0">
      <w:lvlJc w:val="left"/>
      <w:lvlText w:val="%1."/>
      <w:numFmt w:val="decimal"/>
      <w:start w:val="3"/>
    </w:lvl>
  </w:abstractNum>
  <w:abstractNum w:abstractNumId="31">
    <w:nsid w:val="51EAD36B"/>
    <w:multiLevelType w:val="hybridMultilevel"/>
    <w:lvl w:ilvl="0">
      <w:lvlJc w:val="left"/>
      <w:lvlText w:val="%1."/>
      <w:numFmt w:val="decimal"/>
      <w:start w:val="4"/>
    </w:lvl>
  </w:abstractNum>
  <w:abstractNum w:abstractNumId="32">
    <w:nsid w:val="2D517796"/>
    <w:multiLevelType w:val="hybridMultilevel"/>
    <w:lvl w:ilvl="0">
      <w:lvlJc w:val="left"/>
      <w:lvlText w:val="%1."/>
      <w:numFmt w:val="decimal"/>
      <w:start w:val="5"/>
    </w:lvl>
  </w:abstractNum>
  <w:abstractNum w:abstractNumId="33">
    <w:nsid w:val="580BD78F"/>
    <w:multiLevelType w:val="hybridMultilevel"/>
    <w:lvl w:ilvl="0">
      <w:lvlJc w:val="left"/>
      <w:lvlText w:val="%1."/>
      <w:numFmt w:val="decimal"/>
      <w:start w:val="6"/>
    </w:lvl>
  </w:abstractNum>
  <w:abstractNum w:abstractNumId="34">
    <w:nsid w:val="153EA438"/>
    <w:multiLevelType w:val="hybridMultilevel"/>
    <w:lvl w:ilvl="0">
      <w:lvlJc w:val="left"/>
      <w:lvlText w:val="(%1)"/>
      <w:numFmt w:val="lowerRoman"/>
      <w:start w:val="1"/>
    </w:lvl>
  </w:abstractNum>
  <w:abstractNum w:abstractNumId="35">
    <w:nsid w:val="3855585C"/>
    <w:multiLevelType w:val="hybridMultilevel"/>
    <w:lvl w:ilvl="0">
      <w:lvlJc w:val="left"/>
      <w:lvlText w:val="%1."/>
      <w:numFmt w:val="decimal"/>
      <w:start w:val="7"/>
    </w:lvl>
  </w:abstractNum>
  <w:abstractNum w:abstractNumId="36">
    <w:nsid w:val="70A64E2A"/>
    <w:multiLevelType w:val="hybridMultilevel"/>
    <w:lvl w:ilvl="0">
      <w:lvlJc w:val="left"/>
      <w:lvlText w:val="(%1)"/>
      <w:numFmt w:val="lowerLetter"/>
      <w:start w:val="2"/>
    </w:lvl>
  </w:abstractNum>
  <w:abstractNum w:abstractNumId="37">
    <w:nsid w:val="6A2342EC"/>
    <w:multiLevelType w:val="hybridMultilevel"/>
    <w:lvl w:ilvl="0">
      <w:lvlJc w:val="left"/>
      <w:lvlText w:val="(%1)"/>
      <w:numFmt w:val="lowerLetter"/>
      <w:start w:val="3"/>
    </w:lvl>
  </w:abstractNum>
  <w:abstractNum w:abstractNumId="38">
    <w:nsid w:val="2A487CB0"/>
    <w:multiLevelType w:val="hybridMultilevel"/>
    <w:lvl w:ilvl="0">
      <w:lvlJc w:val="left"/>
      <w:lvlText w:val="%1."/>
      <w:numFmt w:val="decimal"/>
      <w:start w:val="8"/>
    </w:lvl>
  </w:abstractNum>
  <w:abstractNum w:abstractNumId="39">
    <w:nsid w:val="1D4ED43B"/>
    <w:multiLevelType w:val="hybridMultilevel"/>
    <w:lvl w:ilvl="0">
      <w:lvlJc w:val="left"/>
      <w:lvlText w:val="%1."/>
      <w:numFmt w:val="decimal"/>
      <w:start w:val="9"/>
    </w:lvl>
  </w:abstractNum>
  <w:abstractNum w:abstractNumId="40">
    <w:nsid w:val="725A06FB"/>
    <w:multiLevelType w:val="hybridMultilevel"/>
    <w:lvl w:ilvl="0">
      <w:lvlJc w:val="left"/>
      <w:lvlText w:val="%1."/>
      <w:numFmt w:val="decimal"/>
      <w:start w:val="10"/>
    </w:lvl>
  </w:abstractNum>
  <w:abstractNum w:abstractNumId="41">
    <w:nsid w:val="2CD89A32"/>
    <w:multiLevelType w:val="hybridMultilevel"/>
    <w:lvl w:ilvl="0">
      <w:lvlJc w:val="left"/>
      <w:lvlText w:val="%1."/>
      <w:numFmt w:val="decimal"/>
      <w:start w:val="11"/>
    </w:lvl>
  </w:abstractNum>
  <w:abstractNum w:abstractNumId="42">
    <w:nsid w:val="57E4CCAF"/>
    <w:multiLevelType w:val="hybridMultilevel"/>
    <w:lvl w:ilvl="0">
      <w:lvlJc w:val="left"/>
      <w:lvlText w:val="(%1)"/>
      <w:numFmt w:val="decimal"/>
      <w:start w:val="120"/>
    </w:lvl>
  </w:abstractNum>
  <w:abstractNum w:abstractNumId="43">
    <w:nsid w:val="7A6D8D3C"/>
    <w:multiLevelType w:val="hybridMultilevel"/>
    <w:lvl w:ilvl="0">
      <w:lvlJc w:val="left"/>
      <w:lvlText w:val="%1."/>
      <w:numFmt w:val="decimal"/>
      <w:start w:val="12"/>
    </w:lvl>
  </w:abstractNum>
  <w:abstractNum w:abstractNumId="44">
    <w:nsid w:val="4B588F54"/>
    <w:multiLevelType w:val="hybridMultilevel"/>
    <w:lvl w:ilvl="0">
      <w:lvlJc w:val="left"/>
      <w:lvlText w:val="%1."/>
      <w:numFmt w:val="decimal"/>
      <w:start w:val="13"/>
    </w:lvl>
  </w:abstractNum>
  <w:abstractNum w:abstractNumId="45">
    <w:nsid w:val="542289EC"/>
    <w:multiLevelType w:val="hybridMultilevel"/>
    <w:lvl w:ilvl="0">
      <w:lvlJc w:val="left"/>
      <w:lvlText w:val="%1."/>
      <w:numFmt w:val="decimal"/>
      <w:start w:val="14"/>
    </w:lvl>
  </w:abstractNum>
  <w:abstractNum w:abstractNumId="46">
    <w:nsid w:val="6DE91B18"/>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2019-12-12T07:16:59Z</dcterms:created>
  <dcterms:modified xsi:type="dcterms:W3CDTF">2019-12-12T07:16:59Z</dcterms:modified>
</cp:coreProperties>
</file>