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166370</wp:posOffset>
            </wp:positionV>
            <wp:extent cx="180848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848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1760" w:type="dxa"/>
        <w:tblCellMar>
          <w:top w:w="0" w:type="dxa"/>
          <w:left w:w="0" w:type="dxa"/>
          <w:bottom w:w="0" w:type="dxa"/>
          <w:right w:w="0" w:type="dxa"/>
        </w:tblCellMar>
      </w:tblPr>
      <w:tr>
        <w:trPr>
          <w:trHeight w:val="235"/>
        </w:trPr>
        <w:tc>
          <w:tcPr>
            <w:tcW w:w="4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Delaware</w:t>
            </w:r>
          </w:p>
        </w:tc>
        <w:tc>
          <w:tcPr>
            <w:tcW w:w="3020" w:type="dxa"/>
            <w:vAlign w:val="bottom"/>
          </w:tcPr>
          <w:p>
            <w:pPr>
              <w:jc w:val="right"/>
              <w:ind w:right="1090"/>
              <w:spacing w:after="0"/>
              <w:rPr>
                <w:sz w:val="20"/>
                <w:szCs w:val="20"/>
                <w:color w:val="auto"/>
              </w:rPr>
            </w:pPr>
            <w:r>
              <w:rPr>
                <w:rFonts w:ascii="Arial" w:cs="Arial" w:eastAsia="Arial" w:hAnsi="Arial"/>
                <w:sz w:val="18"/>
                <w:szCs w:val="18"/>
                <w:b w:val="1"/>
                <w:bCs w:val="1"/>
                <w:color w:val="auto"/>
              </w:rPr>
              <w:t>1-10658</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160" w:type="dxa"/>
            <w:vAlign w:val="bottom"/>
          </w:tcPr>
          <w:p>
            <w:pPr>
              <w:spacing w:after="0"/>
              <w:rPr>
                <w:sz w:val="20"/>
                <w:szCs w:val="20"/>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(Commission File Number)</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1470660</wp:posOffset>
            </wp:positionH>
            <wp:positionV relativeFrom="paragraph">
              <wp:posOffset>6985</wp:posOffset>
            </wp:positionV>
            <wp:extent cx="4200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Mark Murphy</w:t>
      </w:r>
    </w:p>
    <w:p>
      <w:pPr>
        <w:jc w:val="center"/>
        <w:spacing w:after="0" w:line="203" w:lineRule="auto"/>
        <w:rPr>
          <w:sz w:val="20"/>
          <w:szCs w:val="20"/>
          <w:color w:val="auto"/>
        </w:rPr>
      </w:pPr>
      <w:r>
        <w:rPr>
          <w:rFonts w:ascii="Arial" w:cs="Arial" w:eastAsia="Arial" w:hAnsi="Arial"/>
          <w:sz w:val="18"/>
          <w:szCs w:val="18"/>
          <w:b w:val="1"/>
          <w:bCs w:val="1"/>
          <w:color w:val="auto"/>
        </w:rPr>
        <w:t>Executive Vice President and Chief Financial Officer</w:t>
      </w: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1565275</wp:posOffset>
            </wp:positionH>
            <wp:positionV relativeFrom="paragraph">
              <wp:posOffset>6350</wp:posOffset>
            </wp:positionV>
            <wp:extent cx="4011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w:t>
      </w:r>
    </w:p>
    <w:p>
      <w:pPr>
        <w:jc w:val="center"/>
        <w:spacing w:after="0"/>
        <w:rPr>
          <w:sz w:val="20"/>
          <w:szCs w:val="20"/>
          <w:color w:val="auto"/>
        </w:rPr>
      </w:pPr>
      <w:r>
        <w:rPr>
          <w:rFonts w:ascii="Arial" w:cs="Arial" w:eastAsia="Arial" w:hAnsi="Arial"/>
          <w:sz w:val="18"/>
          <w:szCs w:val="18"/>
          <w:color w:val="auto"/>
        </w:rPr>
        <w:t>connection with this report.)</w:t>
      </w:r>
    </w:p>
    <w:p>
      <w:pPr>
        <w:spacing w:after="0" w:line="32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to indicate the rule pursuant to which this Form is being submitted, and provide the period to which the information in this Form applies:</w:t>
      </w:r>
    </w:p>
    <w:p>
      <w:pPr>
        <w:spacing w:after="0" w:line="18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2024.</w:t>
      </w:r>
    </w:p>
    <w:p>
      <w:pPr>
        <w:spacing w:after="0" w:line="25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600"/>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2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Rule 13p-1 under the Securities Exchange Act of 1934, as amended (the “Rule”), we conducted a reasonable country of origin inquiry (“RCOI”) to assess whether conflict minerals necessary to the functionality or production of products we manufactured or contracted to manufacture in calendar year 2024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2024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56"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 xml:space="preserve">A copy of the Conflict Minerals Report for the calendar year ended December 31, 2024 is available on our website at </w:t>
      </w:r>
      <w:r>
        <w:rPr>
          <w:rFonts w:ascii="Arial" w:cs="Arial" w:eastAsia="Arial" w:hAnsi="Arial"/>
          <w:sz w:val="17"/>
          <w:szCs w:val="17"/>
          <w:u w:val="single" w:color="auto"/>
          <w:color w:val="auto"/>
        </w:rPr>
        <w:t>https://www.micron.com/about/company/our-commitment/conflict-minerals-policy</w:t>
      </w:r>
      <w:r>
        <w:rPr>
          <w:rFonts w:ascii="Arial" w:cs="Arial" w:eastAsia="Arial" w:hAnsi="Arial"/>
          <w:sz w:val="17"/>
          <w:szCs w:val="17"/>
          <w:color w:val="auto"/>
        </w:rPr>
        <w:t>. The content of any website referred to in this Form SD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included for general information only and is not incorporated by reference in this Form SD</w:t>
      </w:r>
      <w:r>
        <w:rPr>
          <w:rFonts w:ascii="Arial" w:cs="Arial" w:eastAsia="Arial" w:hAnsi="Arial"/>
          <w:sz w:val="21"/>
          <w:szCs w:val="21"/>
          <w:color w:val="008080"/>
        </w:rPr>
        <w:t>.</w:t>
      </w:r>
    </w:p>
    <w:p>
      <w:pPr>
        <w:spacing w:after="0" w:line="27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Exhibit.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calendar year ended December 31, 2024 is filed as Exhibit 1.01 hereto.</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Section 2 - Resource Extraction Issuer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Section 3 - Exhibits</w:t>
      </w:r>
    </w:p>
    <w:p>
      <w:pPr>
        <w:spacing w:after="0" w:line="21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8"/>
          <w:szCs w:val="18"/>
          <w:b w:val="1"/>
          <w:bCs w:val="1"/>
          <w:color w:val="auto"/>
        </w:rPr>
        <w:t>Exhibits.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SD.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FF"/>
        </w:rPr>
        <w:t>Conflict Minerals Report</w:t>
      </w:r>
      <w:r>
        <w:rPr>
          <w:rFonts w:ascii="Arial" w:cs="Arial" w:eastAsia="Arial" w:hAnsi="Arial"/>
          <w:sz w:val="18"/>
          <w:szCs w:val="18"/>
          <w:color w:val="auto"/>
        </w:rPr>
        <w:t xml:space="preserve"> as required by Items 1.01 and 1.02 of this Form SD.</w:t>
      </w:r>
    </w:p>
    <w:p>
      <w:pPr>
        <w:sectPr>
          <w:pgSz w:w="11900" w:h="16838" w:orient="portrait"/>
          <w:cols w:equalWidth="0" w:num="1">
            <w:col w:w="11180"/>
          </w:cols>
          <w:pgMar w:left="320" w:top="142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20" w:type="dxa"/>
            <w:vAlign w:val="bottom"/>
          </w:tcPr>
          <w:p>
            <w:pPr>
              <w:spacing w:after="0"/>
              <w:rPr>
                <w:sz w:val="21"/>
                <w:szCs w:val="21"/>
                <w:color w:val="auto"/>
              </w:rPr>
            </w:pPr>
          </w:p>
        </w:tc>
        <w:tc>
          <w:tcPr>
            <w:tcW w:w="740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820" w:type="dxa"/>
            <w:vAlign w:val="bottom"/>
          </w:tcPr>
          <w:p>
            <w:pPr>
              <w:spacing w:after="0"/>
              <w:rPr>
                <w:sz w:val="20"/>
                <w:szCs w:val="20"/>
                <w:color w:val="auto"/>
              </w:rPr>
            </w:pPr>
            <w:r>
              <w:rPr>
                <w:rFonts w:ascii="Arial" w:cs="Arial" w:eastAsia="Arial" w:hAnsi="Arial"/>
                <w:sz w:val="18"/>
                <w:szCs w:val="18"/>
                <w:color w:val="auto"/>
                <w:w w:val="98"/>
              </w:rPr>
              <w:t>Date:May 20, 2025</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820" w:type="dxa"/>
            <w:vAlign w:val="bottom"/>
          </w:tcPr>
          <w:p>
            <w:pPr>
              <w:spacing w:after="0"/>
              <w:rPr>
                <w:sz w:val="18"/>
                <w:szCs w:val="18"/>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Mark Murphy</w:t>
            </w:r>
          </w:p>
        </w:tc>
      </w:tr>
      <w:tr>
        <w:trPr>
          <w:trHeight w:val="239"/>
        </w:trPr>
        <w:tc>
          <w:tcPr>
            <w:tcW w:w="3820" w:type="dxa"/>
            <w:vAlign w:val="bottom"/>
          </w:tcPr>
          <w:p>
            <w:pPr>
              <w:spacing w:after="0"/>
              <w:rPr>
                <w:sz w:val="20"/>
                <w:szCs w:val="20"/>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color w:val="auto"/>
        </w:rPr>
        <w:t>Conflict Minerals Report</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color w:val="auto"/>
        </w:rPr>
        <w:t>Calendar Year 2024</w:t>
      </w:r>
    </w:p>
    <w:p>
      <w:pPr>
        <w:spacing w:after="0" w:line="23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prepared this Conflict Minerals Report (</w:t>
      </w:r>
      <w:r>
        <w:rPr>
          <w:rFonts w:ascii="Arial" w:cs="Arial" w:eastAsia="Arial" w:hAnsi="Arial"/>
          <w:sz w:val="18"/>
          <w:szCs w:val="18"/>
          <w:b w:val="1"/>
          <w:bCs w:val="1"/>
          <w:color w:val="auto"/>
        </w:rPr>
        <w:t>“CMR”</w:t>
      </w:r>
      <w:r>
        <w:rPr>
          <w:rFonts w:ascii="Arial" w:cs="Arial" w:eastAsia="Arial" w:hAnsi="Arial"/>
          <w:sz w:val="18"/>
          <w:szCs w:val="18"/>
          <w:color w:val="auto"/>
        </w:rPr>
        <w:t xml:space="preserve">) pursuant to Rule 13p-1 under the Securities Exchange Act of 1934, as amended (the </w:t>
      </w:r>
      <w:r>
        <w:rPr>
          <w:rFonts w:ascii="Arial" w:cs="Arial" w:eastAsia="Arial" w:hAnsi="Arial"/>
          <w:sz w:val="18"/>
          <w:szCs w:val="18"/>
          <w:b w:val="1"/>
          <w:bCs w:val="1"/>
          <w:color w:val="auto"/>
        </w:rPr>
        <w:t>“Rule”</w:t>
      </w:r>
      <w:r>
        <w:rPr>
          <w:rFonts w:ascii="Arial" w:cs="Arial" w:eastAsia="Arial" w:hAnsi="Arial"/>
          <w:sz w:val="18"/>
          <w:szCs w:val="18"/>
          <w:color w:val="auto"/>
        </w:rPr>
        <w:t>). This CMR covers the calendar year reporting period ended December 31, 2024</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and is filed as an exhibit to our Form SD. This</w:t>
      </w:r>
      <w:r>
        <w:rPr>
          <w:rFonts w:ascii="Arial" w:cs="Arial" w:eastAsia="Arial" w:hAnsi="Arial"/>
          <w:sz w:val="18"/>
          <w:szCs w:val="18"/>
          <w:b w:val="1"/>
          <w:bCs w:val="1"/>
          <w:color w:val="auto"/>
        </w:rPr>
        <w:t xml:space="preserve"> </w:t>
      </w:r>
      <w:r>
        <w:rPr>
          <w:rFonts w:ascii="Arial" w:cs="Arial" w:eastAsia="Arial" w:hAnsi="Arial"/>
          <w:sz w:val="18"/>
          <w:szCs w:val="18"/>
          <w:color w:val="auto"/>
        </w:rPr>
        <w:t>CMR includes a description of the measures we have taken to exercise due diligence on the source and chain of custody of conflict minerals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(specifically gold, cassiterite, columbite-tantalite and wolframite and their derivatives tin, tantalum, and tungsten (collectively </w:t>
      </w:r>
      <w:r>
        <w:rPr>
          <w:rFonts w:ascii="Arial" w:cs="Arial" w:eastAsia="Arial" w:hAnsi="Arial"/>
          <w:sz w:val="18"/>
          <w:szCs w:val="18"/>
          <w:b w:val="1"/>
          <w:bCs w:val="1"/>
          <w:color w:val="auto"/>
        </w:rPr>
        <w:t>“3TG”</w:t>
      </w:r>
      <w:r>
        <w:rPr>
          <w:rFonts w:ascii="Arial" w:cs="Arial" w:eastAsia="Arial" w:hAnsi="Arial"/>
          <w:sz w:val="18"/>
          <w:szCs w:val="18"/>
          <w:color w:val="auto"/>
        </w:rPr>
        <w:t xml:space="preserve"> or </w:t>
      </w:r>
      <w:r>
        <w:rPr>
          <w:rFonts w:ascii="Arial" w:cs="Arial" w:eastAsia="Arial" w:hAnsi="Arial"/>
          <w:sz w:val="18"/>
          <w:szCs w:val="18"/>
          <w:b w:val="1"/>
          <w:bCs w:val="1"/>
          <w:color w:val="auto"/>
        </w:rPr>
        <w:t>“conflict minerals”</w:t>
      </w:r>
      <w:r>
        <w:rPr>
          <w:rFonts w:ascii="Arial" w:cs="Arial" w:eastAsia="Arial" w:hAnsi="Arial"/>
          <w:sz w:val="18"/>
          <w:szCs w:val="18"/>
          <w:color w:val="auto"/>
        </w:rPr>
        <w:t>)) necessary to the functionality or production of our memory and storage products manufactured during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2024.</w:t>
      </w: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 of Our Commitment to Responsible Sourcing:</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8"/>
          <w:szCs w:val="18"/>
          <w:b w:val="1"/>
          <w:bCs w:val="1"/>
          <w:color w:val="auto"/>
        </w:rPr>
        <w:t>“DRC”</w:t>
      </w:r>
      <w:r>
        <w:rPr>
          <w:rFonts w:ascii="Arial" w:cs="Arial" w:eastAsia="Arial" w:hAnsi="Arial"/>
          <w:sz w:val="18"/>
          <w:szCs w:val="18"/>
          <w:color w:val="auto"/>
        </w:rPr>
        <w:t>) or adjoining countries (collectively, the “</w:t>
      </w:r>
      <w:r>
        <w:rPr>
          <w:rFonts w:ascii="Arial" w:cs="Arial" w:eastAsia="Arial" w:hAnsi="Arial"/>
          <w:sz w:val="18"/>
          <w:szCs w:val="18"/>
          <w:b w:val="1"/>
          <w:bCs w:val="1"/>
          <w:color w:val="auto"/>
        </w:rPr>
        <w:t>Covered Countries</w:t>
      </w:r>
      <w:r>
        <w:rPr>
          <w:rFonts w:ascii="Arial" w:cs="Arial" w:eastAsia="Arial" w:hAnsi="Arial"/>
          <w:sz w:val="18"/>
          <w:szCs w:val="18"/>
          <w:color w:val="auto"/>
        </w:rPr>
        <w:t>”) are not used in the manufacture of Micron products. We also believe that responsible sourcing means continuing to support stable economic development in the Covered Countries (rather than a Covered Country embargo), and accordingly we do not prohibit our suppliers from using 3TG metals sourced from the Covered Countries, provided that the metal sources are compliant with our program requirements. Our conflict mineral supply chain monitoring program is consistent with the Organisation for Economic Co-operation and Development Due Diligence Guidance for Responsible Supply Chains of Minerals from Conflict-Affected and High-Risk Areas (Third Edition) (the “</w:t>
      </w:r>
      <w:r>
        <w:rPr>
          <w:rFonts w:ascii="Arial" w:cs="Arial" w:eastAsia="Arial" w:hAnsi="Arial"/>
          <w:sz w:val="18"/>
          <w:szCs w:val="18"/>
          <w:b w:val="1"/>
          <w:bCs w:val="1"/>
          <w:color w:val="auto"/>
        </w:rPr>
        <w:t>OECD Guidance</w:t>
      </w:r>
      <w:r>
        <w:rPr>
          <w:rFonts w:ascii="Arial" w:cs="Arial" w:eastAsia="Arial" w:hAnsi="Arial"/>
          <w:sz w:val="18"/>
          <w:szCs w:val="18"/>
          <w:color w:val="auto"/>
        </w:rPr>
        <w:t>”) and integrates tools developed by the Responsible Minerals Initiative (</w:t>
      </w:r>
      <w:r>
        <w:rPr>
          <w:rFonts w:ascii="Arial" w:cs="Arial" w:eastAsia="Arial" w:hAnsi="Arial"/>
          <w:sz w:val="18"/>
          <w:szCs w:val="18"/>
          <w:b w:val="1"/>
          <w:bCs w:val="1"/>
          <w:color w:val="auto"/>
        </w:rPr>
        <w:t>“RMI”</w:t>
      </w:r>
      <w:r>
        <w:rPr>
          <w:rFonts w:ascii="Arial" w:cs="Arial" w:eastAsia="Arial" w:hAnsi="Arial"/>
          <w:sz w:val="18"/>
          <w:szCs w:val="18"/>
          <w:color w:val="auto"/>
        </w:rPr>
        <w:t>).</w:t>
      </w:r>
    </w:p>
    <w:p>
      <w:pPr>
        <w:spacing w:after="0" w:line="198"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Micron is a founding member of RMI (member ID MICR). We continue to support RMI and its Responsible Minerals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third-party auditing program, the Responsible Minerals Assurance Process (</w:t>
      </w:r>
      <w:r>
        <w:rPr>
          <w:rFonts w:ascii="Arial" w:cs="Arial" w:eastAsia="Arial" w:hAnsi="Arial"/>
          <w:sz w:val="18"/>
          <w:szCs w:val="18"/>
          <w:b w:val="1"/>
          <w:bCs w:val="1"/>
          <w:color w:val="auto"/>
        </w:rPr>
        <w:t>“RMAP”</w:t>
      </w:r>
      <w:r>
        <w:rPr>
          <w:rFonts w:ascii="Arial" w:cs="Arial" w:eastAsia="Arial" w:hAnsi="Arial"/>
          <w:sz w:val="18"/>
          <w:szCs w:val="18"/>
          <w:color w:val="auto"/>
        </w:rPr>
        <w:t>), as part of our commitment to drive ethical sourcing of 3TG metals throughout our supply chain. In 2024, we continued working with RMI and provided leadership through multiple RMI leadership working groups, including the Smelter Engagement, Multi-Stakeholder, Gold, Cobalt Task Force, Due Diligence Practices, Mineral Reporting Templates, Emerging Minerals, and RMI Plenary Working Groups. The RMI Plenary Working Group is tasked with defining future directions, protocol, procedures, issue resolutions, recognition of other reporting organizations, training, oversight, and smelter and refiner engagements. To learn more about RMI’s initiatives to help companies achieve a responsible minerals supply chain and the RMAP visit responsiblemineralsinitiative.org.</w:t>
      </w:r>
    </w:p>
    <w:p>
      <w:pPr>
        <w:spacing w:after="0" w:line="22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 xml:space="preserve">Micron’s Conflict Minerals Policy is published at </w:t>
      </w:r>
      <w:r>
        <w:rPr>
          <w:rFonts w:ascii="Arial" w:cs="Arial" w:eastAsia="Arial" w:hAnsi="Arial"/>
          <w:sz w:val="18"/>
          <w:szCs w:val="18"/>
          <w:u w:val="single" w:color="auto"/>
          <w:color w:val="auto"/>
        </w:rPr>
        <w:t>https://www.micron.com/about/company/our-commitment/conflict-minerals-policy</w:t>
      </w:r>
      <w:r>
        <w:rPr>
          <w:rFonts w:ascii="Arial" w:cs="Arial" w:eastAsia="Arial" w:hAnsi="Arial"/>
          <w:sz w:val="18"/>
          <w:szCs w:val="18"/>
          <w:color w:val="auto"/>
        </w:rPr>
        <w:t xml:space="preserve"> about our responsible minerals supplier requirements, see our Micron Supplier Requirements Standard (</w:t>
      </w:r>
      <w:r>
        <w:rPr>
          <w:rFonts w:ascii="Arial" w:cs="Arial" w:eastAsia="Arial" w:hAnsi="Arial"/>
          <w:sz w:val="18"/>
          <w:szCs w:val="18"/>
          <w:b w:val="1"/>
          <w:bCs w:val="1"/>
          <w:color w:val="auto"/>
        </w:rPr>
        <w:t>“SRS”</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https://www.micron.com/about/company/suppliers</w:t>
      </w:r>
      <w:r>
        <w:rPr>
          <w:rFonts w:ascii="Arial" w:cs="Arial" w:eastAsia="Arial" w:hAnsi="Arial"/>
          <w:sz w:val="18"/>
          <w:szCs w:val="18"/>
          <w:color w:val="auto"/>
        </w:rPr>
        <w:t>. The content of any website referred to in this Report is included for general information only and is not incorporated by reference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2" w:lineRule="exact"/>
        <w:rPr>
          <w:sz w:val="20"/>
          <w:szCs w:val="20"/>
          <w:color w:val="auto"/>
        </w:rPr>
      </w:pPr>
    </w:p>
    <w:p>
      <w:pPr>
        <w:ind w:left="660" w:hanging="652"/>
        <w:spacing w:after="0" w:line="218" w:lineRule="auto"/>
        <w:tabs>
          <w:tab w:leader="none" w:pos="277"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In this CMR, unless otherwise indicated or the context otherwise requires, “we,” “us,” “our,” “Micron,” and the “Company” refers to Micron Technology, Inc. and its subsidiaries.</w:t>
      </w:r>
    </w:p>
    <w:p>
      <w:pPr>
        <w:ind w:left="280" w:hanging="272"/>
        <w:spacing w:after="0" w:line="196" w:lineRule="auto"/>
        <w:tabs>
          <w:tab w:leader="none" w:pos="28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Unless otherwise noted, any designation of years refers to calendar years.</w:t>
      </w:r>
    </w:p>
    <w:p>
      <w:pPr>
        <w:ind w:left="280" w:hanging="272"/>
        <w:spacing w:after="0" w:line="196" w:lineRule="auto"/>
        <w:tabs>
          <w:tab w:leader="none" w:pos="280"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w:t>
      </w:r>
    </w:p>
    <w:p>
      <w:pPr>
        <w:spacing w:after="0" w:line="11" w:lineRule="exact"/>
        <w:rPr>
          <w:sz w:val="20"/>
          <w:szCs w:val="20"/>
          <w:color w:val="auto"/>
        </w:rPr>
      </w:pPr>
    </w:p>
    <w:p>
      <w:pPr>
        <w:ind w:left="660" w:right="40" w:hanging="652"/>
        <w:spacing w:after="0" w:line="223" w:lineRule="auto"/>
        <w:tabs>
          <w:tab w:leader="none" w:pos="277"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The term “responsible minerals” as used herein refers to a process to verify that relevant smelters or refiners are Conformant with the RMI’s RMAP or an equivalent third-party auditing program.</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auto"/>
        </w:rPr>
        <w:t>Overview of Micron’s Responsible Minerals Program:</w:t>
      </w:r>
    </w:p>
    <w:p>
      <w:pPr>
        <w:spacing w:after="0" w:line="25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require our suppliers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 source 3TG metals from smelters and refiners validated as Conformant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 responsible minerals sourcing standards (such as the RMAP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Jewellery Council (</w:t>
      </w:r>
      <w:r>
        <w:rPr>
          <w:rFonts w:ascii="Arial" w:cs="Arial" w:eastAsia="Arial" w:hAnsi="Arial"/>
          <w:sz w:val="18"/>
          <w:szCs w:val="18"/>
          <w:b w:val="1"/>
          <w:bCs w:val="1"/>
          <w:color w:val="auto"/>
        </w:rPr>
        <w:t>“RJC”</w:t>
      </w:r>
      <w:r>
        <w:rPr>
          <w:rFonts w:ascii="Arial" w:cs="Arial" w:eastAsia="Arial" w:hAnsi="Arial"/>
          <w:sz w:val="18"/>
          <w:szCs w:val="18"/>
          <w:color w:val="auto"/>
        </w:rPr>
        <w:t>)). To ensure our suppliers meet our SRS requirements for responsible minerals sourcing, we make all suppliers aware of our commitment to responsible sourcing and our expectation that all smelters and refiners in our supply chain are Conformant with responsible minerals sourcing standards; conduct ongoing due diligence on the source and chain of custody of conflict minerals in our supply chain consistent with the OECD Guidance; encourage suppliers to adopt responsible sourcing practices; and collaborate with industry stakeholders through our leadership in the RMI. To further transparency in the conflict mineral supply chain, in addition to publicly reporting the results of our due diligence efforts annually, we share our due diligence results directly with our customers.</w:t>
      </w:r>
    </w:p>
    <w:p>
      <w:pPr>
        <w:spacing w:after="0" w:line="208"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In 2024, we requested that all new suppliers take a Supplier Compliance Training, which helped increase awareness of and focus on our requirement that Micron suppliers may only use Conformant smelters and refiners. All of our applicable suppliers for 2024 provided CMRT responses and the associated supply chain data. As a result of our supplier engagement efforts during 2024, and for the eighth consecutive year, based on the information provided by our suppliers, no supplier within our memory and storage products supply chain reported any smelters or refiners that had a Non-Conformant status with RMI as of December 31, 2024. Only two of our smelters and refiners were listed as Active</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by RMI as of December 31, 2024. We continue to monitor Active smelters and refiners in our supply chain while they progress through the RMI assessment or re-assessment process. We also continued to implement our resolution process to quickly identify and work toward removal of smelters and refiners from our supply chain either (a) when they drop out of the RMI, LBMA, or RJC programs and thus become Non-Conformant or (b) when their Conformant status with RMI is no longer valid.</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Based on the information provided by our suppliers and our due diligence efforts through December 31, 2024, we identified a total of 201 smelters and refiners we believe were in our memory and storage products supply chain at any point during the year ended December 31, 2024, none of which had a Non-Conformant status with RMI at the time they entered our supply chain. 30 smelters and refiners that were reported to be in our memory and storage products supply chain during 2024 were subsequently determined, on or prior to December 31, 2024, to be inoperative or removed. We determined that 171 smelters and refiners were in our memory and storage products supply chain as of December 31, 2024, of which 169 were validated as Conformant and two were listed as Active with RMI.</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Our Outreach to Suppliers and Reasonable Country of Origin Inquiry</w:t>
      </w:r>
    </w:p>
    <w:p>
      <w:pPr>
        <w:spacing w:after="0" w:line="22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goal is to ensure that all 3TG metals in our supply chain are sourced through responsible minerals smelters and refiners. In furtherance of that goal, we collect information at least annually utilizing the RMI Conflict Minerals Reporting Template (“</w:t>
      </w:r>
      <w:r>
        <w:rPr>
          <w:rFonts w:ascii="Arial" w:cs="Arial" w:eastAsia="Arial" w:hAnsi="Arial"/>
          <w:sz w:val="18"/>
          <w:szCs w:val="18"/>
          <w:b w:val="1"/>
          <w:bCs w:val="1"/>
          <w:color w:val="auto"/>
        </w:rPr>
        <w:t>CMRT</w:t>
      </w:r>
      <w:r>
        <w:rPr>
          <w:rFonts w:ascii="Arial" w:cs="Arial" w:eastAsia="Arial" w:hAnsi="Arial"/>
          <w:sz w:val="18"/>
          <w:szCs w:val="18"/>
          <w:color w:val="auto"/>
        </w:rPr>
        <w:t>”) from applicable suppliers regarding their supply chains, including the names and locations of smelters and refiners of 3TG and whether any 3TG are sourced from Covered Countries or from conflict-affected and high-risk areas. We then ask that suppliers review and acknowledge our Conflict Minerals Policy and our SRS, which outlines our expectations that all smelters and refiners in our supply chain are, and remain, validated as Conformant.</w:t>
      </w:r>
    </w:p>
    <w:p>
      <w:pPr>
        <w:spacing w:after="0" w:line="206" w:lineRule="exact"/>
        <w:rPr>
          <w:sz w:val="20"/>
          <w:szCs w:val="20"/>
          <w:color w:val="auto"/>
        </w:rPr>
      </w:pPr>
    </w:p>
    <w:p>
      <w:pPr>
        <w:ind w:right="1020"/>
        <w:spacing w:after="0" w:line="271" w:lineRule="auto"/>
        <w:rPr>
          <w:sz w:val="20"/>
          <w:szCs w:val="20"/>
          <w:color w:val="auto"/>
        </w:rPr>
      </w:pPr>
      <w:r>
        <w:rPr>
          <w:rFonts w:ascii="Arial" w:cs="Arial" w:eastAsia="Arial" w:hAnsi="Arial"/>
          <w:sz w:val="18"/>
          <w:szCs w:val="18"/>
          <w:color w:val="auto"/>
        </w:rPr>
        <w:t>In addition, we required that new suppliers in our memory and storage products supply chain participate in our Supplier Lifecycle Performance Management process as they were added to our memory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left="660" w:right="220" w:hanging="652"/>
        <w:spacing w:after="0" w:line="226" w:lineRule="auto"/>
        <w:tabs>
          <w:tab w:leader="none" w:pos="277"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The term “supplier(s)” refers to both incumbent and new suppliers and manufacturers that are likely to provide us with products containing 3TG metals that are necessary to the function or manufacture of our memory and storage products. The term “supplier(s)” does not include suppliers and manufacturers to the extent that they supply us with equipment or tools used in manufacturing our products.</w:t>
      </w:r>
    </w:p>
    <w:p>
      <w:pPr>
        <w:ind w:left="280" w:hanging="272"/>
        <w:spacing w:after="0" w:line="194" w:lineRule="auto"/>
        <w:tabs>
          <w:tab w:leader="none" w:pos="28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The term “Conformant” means that a smelter or refiner is verified as Conformant with the RMI’s RMAP or an equivalent third-party auditing program.</w:t>
      </w:r>
    </w:p>
    <w:p>
      <w:pPr>
        <w:spacing w:after="0" w:line="1" w:lineRule="exact"/>
        <w:rPr>
          <w:sz w:val="20"/>
          <w:szCs w:val="20"/>
          <w:color w:val="auto"/>
        </w:rPr>
      </w:pPr>
    </w:p>
    <w:p>
      <w:pPr>
        <w:ind w:left="660" w:right="360" w:hanging="652"/>
        <w:spacing w:after="0" w:line="227" w:lineRule="auto"/>
        <w:tabs>
          <w:tab w:leader="none" w:pos="29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term “Active,” with respect to the RMI, means that a smelter or refiner has committed to undergo an RMAP assessment, completed the relevant documents, and scheduled an on-site assessment.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33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storage products supply chain throughout the year, and we requested that they complete our formal Supplier Compliance Training program.</w:t>
      </w:r>
    </w:p>
    <w:p>
      <w:pPr>
        <w:spacing w:after="0" w:line="23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reinforce our responsible sourcing expectations and requirements with direct reference to our SRS. Throughout 2024, we worked with our suppliers to help raise awareness of our expectations, provide ongoing education concerning our requirements, and provide training through our risk mitigation and escalation process.</w:t>
      </w:r>
    </w:p>
    <w:p>
      <w:pPr>
        <w:spacing w:after="0" w:line="2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outreach to suppliers, which included our reasonable country of origin inquiry, provided us with aggregated mine level information on the origin of 3TG from smelters and refiners reported to be in our memory and storage products supply chain in 2024. Although we were unable to determine mine-specific country of origin information, we had reason to believe that at least some sourcing was from the DRC and adjoining countries. Accordingly, we conducted due diligence on the chain and custody of 3TG and prepared this Conflict Minerals Report.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Our Conflict Minerals Due Diligence Program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Our Conflict Minerals Due Diligence Program Design</w:t>
      </w:r>
    </w:p>
    <w:p>
      <w:pPr>
        <w:spacing w:after="0" w:line="237"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We have designed our conflict minerals due diligence program in conformance, in all material respects, with the principles of the OECD Guidance and the supplements thereto as applied to downstream companies. As a downstream purchaser of 3TG metals, our due diligence</w:t>
      </w:r>
    </w:p>
    <w:p>
      <w:pPr>
        <w:spacing w:after="0" w:line="226" w:lineRule="auto"/>
        <w:rPr>
          <w:sz w:val="20"/>
          <w:szCs w:val="20"/>
          <w:color w:val="auto"/>
        </w:rPr>
      </w:pPr>
      <w:r>
        <w:rPr>
          <w:rFonts w:ascii="Arial" w:cs="Arial" w:eastAsia="Arial" w:hAnsi="Arial"/>
          <w:sz w:val="18"/>
          <w:szCs w:val="18"/>
          <w:color w:val="auto"/>
        </w:rPr>
        <w:t>program can provide only reasonable, not absolute, assurance regarding the source and chain of custody of the 3TG metals necessary to the functionality or production of our products. Our due diligence processes are based on the necessity of seeking data from our direct suppliers</w:t>
      </w:r>
    </w:p>
    <w:p>
      <w:pPr>
        <w:spacing w:after="0" w:line="2"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and those suppliers seeking similar information within their supply chains to identify the original sources of the 3TG metals contained in our memory and storage products. We also rely, to a large extent, on information collected and provided by RMI and other third-party auditing programs. Such sources of information may yield inaccurate, incomplete, or over-inclusive information and may be subject to fraud.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Our Conflict Minerals Due Diligence for 2024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2.2.1 Our Management Systems</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year ended December 31, 2024, management of our responsible minerals program was provided by a cross-functional Responsible Minerals Steering Team (“</w:t>
      </w:r>
      <w:r>
        <w:rPr>
          <w:rFonts w:ascii="Arial" w:cs="Arial" w:eastAsia="Arial" w:hAnsi="Arial"/>
          <w:sz w:val="18"/>
          <w:szCs w:val="18"/>
          <w:b w:val="1"/>
          <w:bCs w:val="1"/>
          <w:color w:val="auto"/>
        </w:rPr>
        <w:t>Steering Team</w:t>
      </w:r>
      <w:r>
        <w:rPr>
          <w:rFonts w:ascii="Arial" w:cs="Arial" w:eastAsia="Arial" w:hAnsi="Arial"/>
          <w:sz w:val="18"/>
          <w:szCs w:val="18"/>
          <w:color w:val="auto"/>
        </w:rPr>
        <w:t>”), with representatives from Micron’s Procurement, Supply Chain, Finance, Sales, Sustainability, and Legal departments, headed by a senior procurement compliance manager. The Steering Team met at least monthly during the year ended December 31, 2024, to review progress towards maintaining our goal of a responsibly-sourced supply chain. Oversight of the Steering Team was provided by a cross-functional Responsible Minerals Executive Team (“</w:t>
      </w:r>
      <w:r>
        <w:rPr>
          <w:rFonts w:ascii="Arial" w:cs="Arial" w:eastAsia="Arial" w:hAnsi="Arial"/>
          <w:sz w:val="18"/>
          <w:szCs w:val="18"/>
          <w:b w:val="1"/>
          <w:bCs w:val="1"/>
          <w:color w:val="auto"/>
        </w:rPr>
        <w:t>Executive Team</w:t>
      </w:r>
      <w:r>
        <w:rPr>
          <w:rFonts w:ascii="Arial" w:cs="Arial" w:eastAsia="Arial" w:hAnsi="Arial"/>
          <w:sz w:val="18"/>
          <w:szCs w:val="18"/>
          <w:color w:val="auto"/>
        </w:rPr>
        <w:t>”) comprised of Vice President-level executives, and the Executive Team is charged with sponsoring and reviewing our responsible minerals program. In addition, our Global Supply Chain Compliance Council, which includes a subset of the Executive Team, is charged with direct oversight of our responsible sourcing program. During the year ended December 31, 2024, the Steering Team reported regularly to the Global Supply Chain Compliance Council to review our progress towards our goal of achieving a responsibly-sourced supply chain.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Micron’s Conflict Minerals Policy is published at </w:t>
      </w:r>
      <w:r>
        <w:rPr>
          <w:rFonts w:ascii="Arial" w:cs="Arial" w:eastAsia="Arial" w:hAnsi="Arial"/>
          <w:sz w:val="18"/>
          <w:szCs w:val="18"/>
          <w:u w:val="single" w:color="auto"/>
          <w:color w:val="auto"/>
        </w:rPr>
        <w:t>https://micron.com/about/company/our-commitment/conflict-minerals-polic</w:t>
      </w:r>
      <w:r>
        <w:rPr>
          <w:rFonts w:ascii="Arial" w:cs="Arial" w:eastAsia="Arial" w:hAnsi="Arial"/>
          <w:sz w:val="18"/>
          <w:szCs w:val="18"/>
          <w:color w:val="auto"/>
        </w:rPr>
        <w: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79" w:right="339" w:bottom="1440" w:gutter="0" w:footer="0" w:header="0"/>
        </w:sectPr>
      </w:pPr>
    </w:p>
    <w:bookmarkStart w:id="6" w:name="page7"/>
    <w:bookmarkEnd w:id="6"/>
    <w:p>
      <w:pPr>
        <w:ind w:right="140"/>
        <w:spacing w:after="0" w:line="262" w:lineRule="auto"/>
        <w:rPr>
          <w:sz w:val="20"/>
          <w:szCs w:val="20"/>
          <w:color w:val="auto"/>
        </w:rPr>
      </w:pPr>
      <w:r>
        <w:rPr>
          <w:rFonts w:ascii="Arial" w:cs="Arial" w:eastAsia="Arial" w:hAnsi="Arial"/>
          <w:sz w:val="18"/>
          <w:szCs w:val="18"/>
          <w:color w:val="auto"/>
        </w:rPr>
        <w:t>We also continued to incorporate our responsible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helpline, which can be used to report issues relating to conflict minerals. Our program includes a sixteen-year record retention policy for our responsible minerals documents.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2.2.2 Our Risk Assessment</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specific country of origin of some of the necessary 3TG metals contained in memory and storage products we manufactured and sold during the year ended December 31, 2024 and/or whether some of the memory and storage products we manufactured and sold during the year ended December 31, 2024 contained 3TG metals that may have directly or indirectly financed or benefited armed groups in the DRC or an adjoining country.</w:t>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part of our due diligence process, we collected, screened, and analyzed CMRTs from all applicable suppliers for the year ended December 31, 2024. We provided our suppliers with formal notification of Micron’s requirements to convey our expectations that they report to us any changes to their supply chains that would affect their CMRT status.</w:t>
      </w:r>
    </w:p>
    <w:p>
      <w:pPr>
        <w:spacing w:after="0" w:line="198"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We reviewed all CMRT responses and updates received for the year ended December 31, 2024, and determined whether the disclosed smelters or refiners were recognized by RMI or equivalents as processors of 3TG metals, and if so, whether they had been validated as Conformant by these organizations. We reviewed supplier CMRTs for accuracy and overall adherence to our responsible minerals requirements, as delivered through our inquiry letter to suppliers, and we began our risk mitigation (and escalation processes, if necessary) set out in our responsible minerals procedures with suppliers having disclosed any smelters or refiners that were not Conformant.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Other elements of our risk assessment process are described in “Overview of Micron’s Responsible Minerals Program.”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2.2.3 Our Risk Management</w:t>
      </w:r>
    </w:p>
    <w:p>
      <w:pPr>
        <w:spacing w:after="0" w:line="23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If a supplier delivers a CMRT that includes smelters or refiners not listed as Conformant, we implement our risk mitigation procedures, beginning with direct outreach to the supplier and escalating discussions up through the management structure of our respective companies. We work with these suppliers throughout the risk mitigation process to provide awareness of Micron’s goal to only source from Conformant smelters or refiners. 30 smelters and refiners that were reported to be in our memory and storage products supply chain during 2024 were subsequently determined, on or prior to December 31, 2024, to be inoperative or removed. As of December 31, 2024, two smelters and refiners in our memory and storage products supply chain were listed as Active with RMI.</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members of multiple RMI working groups, including the RMI Smelter Engagement Working Group, which was tasked with identifying and influencing smelters and refiners in the supply chains of RMI members to join the RMAP and become validated as responsibly sourced. Micron also has additional RMI formal representation and leadership positions on multiple RMI working groups, including the Multi-Stakeholder, Due Diligence Practices, Mineral Reporting Templates, Gold, Cobalt Task Force, Emerging Minerals, and RMI Plenary Working Groups. Through our membership dues and audit fund contributions, we provide funding to DRC in-region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t>2.2.4 Smelter and Refiner Auditing</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we do not source necessary 3TG metals directly from smelters or refiners, we rely on independent third-party auditing programs, such as the RMAP, LBMA, and RJC to coordinate audits of smelters and refiners in our memory and storage products supply chain.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2.2.5 Reporting</w:t>
      </w:r>
    </w:p>
    <w:p>
      <w:pPr>
        <w:spacing w:after="0" w:line="25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We report our annual conflict minerals due diligence results in our responsible minerals program to the U.S. Securities and Exchange Commission through the Form SD and the CMR. We make the CMR available on our company website.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Our Product Descriptions</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dynamic random access memory (“</w:t>
      </w:r>
      <w:r>
        <w:rPr>
          <w:rFonts w:ascii="Arial" w:cs="Arial" w:eastAsia="Arial" w:hAnsi="Arial"/>
          <w:sz w:val="18"/>
          <w:szCs w:val="18"/>
          <w:b w:val="1"/>
          <w:bCs w:val="1"/>
          <w:color w:val="auto"/>
        </w:rPr>
        <w:t>DRAM</w:t>
      </w:r>
      <w:r>
        <w:rPr>
          <w:rFonts w:ascii="Arial" w:cs="Arial" w:eastAsia="Arial" w:hAnsi="Arial"/>
          <w:sz w:val="18"/>
          <w:szCs w:val="18"/>
          <w:color w:val="auto"/>
        </w:rPr>
        <w:t>”), NAND, and NOR (both as described below). We sell our products through our business units into various markets in numerous forms, including: components, modules, solid state drives (“</w:t>
      </w:r>
      <w:r>
        <w:rPr>
          <w:rFonts w:ascii="Arial" w:cs="Arial" w:eastAsia="Arial" w:hAnsi="Arial"/>
          <w:sz w:val="18"/>
          <w:szCs w:val="18"/>
          <w:b w:val="1"/>
          <w:bCs w:val="1"/>
          <w:color w:val="auto"/>
        </w:rPr>
        <w:t>SSDs</w:t>
      </w:r>
      <w:r>
        <w:rPr>
          <w:rFonts w:ascii="Arial" w:cs="Arial" w:eastAsia="Arial" w:hAnsi="Arial"/>
          <w:sz w:val="18"/>
          <w:szCs w:val="18"/>
          <w:color w:val="auto"/>
        </w:rPr>
        <w:t>”), managed NAND, multi-chip packages, and wafers. Many of our system-level solutions combine NAND, a controller, firmware, and in some cases DRAM. During the year ended December 31, 2024, we manufactured or contracted to manufacture the following types of memory and storage products containing 3TG metals.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DRAM</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DRAM products are dynamic random access memory semiconductor devices with low latency that provide high-speed data retrieval with a variety of performance characteristics. DRAM products lose content when power is turned off (“</w:t>
      </w:r>
      <w:r>
        <w:rPr>
          <w:rFonts w:ascii="Arial" w:cs="Arial" w:eastAsia="Arial" w:hAnsi="Arial"/>
          <w:sz w:val="18"/>
          <w:szCs w:val="18"/>
          <w:b w:val="1"/>
          <w:bCs w:val="1"/>
          <w:color w:val="auto"/>
        </w:rPr>
        <w:t>volatile</w:t>
      </w:r>
      <w:r>
        <w:rPr>
          <w:rFonts w:ascii="Arial" w:cs="Arial" w:eastAsia="Arial" w:hAnsi="Arial"/>
          <w:sz w:val="18"/>
          <w:szCs w:val="18"/>
          <w:color w:val="auto"/>
        </w:rPr>
        <w:t>”) and are most commonly used in the data center, client PC, graphics, industrial, and automotive markets.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NAND</w:t>
      </w:r>
    </w:p>
    <w:p>
      <w:pPr>
        <w:spacing w:after="0" w:line="250"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NAND products are non-volatile, re-writeable semiconductor storage devices that provide high-capacity, low-cost storage with a variety of performance characteristics. NAND is used in SSDs for the data center, client PC,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NOR products are non-volatile, re-writable semiconductor memory devices that provide fast read speeds. NOR is most commonly used 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Due Diligence Review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Reported Smelters and Refiners Used to Process 3TG Metals</w:t>
      </w: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Throughout 2024, we worked with our suppliers in an effort to source only from smelters and refiners that were validated as Conformant with a responsibly-sourced auditing program. We identified 201 smelters and refiners that are recognized by RMI, LBMA, or RJC to be processors of 3TG metals and that we believe were potentially in our memory and storage products supply chain for the year ended December 31, 2024, none of which had a Non-Conformant status with RMI at the time they entered our supply chain. 30 smelters and refiners that were reported to be in our memory and storage products supply chain during 2024 were subsequently determined, on or prior to December 31, 2024, to be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95" w:right="359" w:bottom="1440" w:gutter="0" w:footer="0" w:header="0"/>
        </w:sectPr>
      </w:pPr>
    </w:p>
    <w:bookmarkStart w:id="8" w:name="page9"/>
    <w:bookmarkEnd w:id="8"/>
    <w:p>
      <w:pPr>
        <w:ind w:right="180"/>
        <w:spacing w:after="0" w:line="271" w:lineRule="auto"/>
        <w:rPr>
          <w:sz w:val="20"/>
          <w:szCs w:val="20"/>
          <w:color w:val="auto"/>
        </w:rPr>
      </w:pPr>
      <w:r>
        <w:rPr>
          <w:rFonts w:ascii="Arial" w:cs="Arial" w:eastAsia="Arial" w:hAnsi="Arial"/>
          <w:sz w:val="18"/>
          <w:szCs w:val="18"/>
          <w:color w:val="auto"/>
        </w:rPr>
        <w:t>inoperative or removed. Therefore, based on such information, we believe that 171 smelters and refiners were in our memory and storage products supply chain as of December 31, 2024, of which 169 were validated as Conformant and two were listed as Active with RMI.</w:t>
      </w:r>
    </w:p>
    <w:p>
      <w:pPr>
        <w:spacing w:after="0" w:line="19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Many of our suppliers reported smelter and refiner information at the company level rather than limiting their responses to smelters and refiners associated with products sold to Micron. As a result, some reported smelters and refiners may not be associated with our memory and storage products. Appendix A sets forth a list of the names and locations of all of the potential smelters and refiners in our memory and storage products supply chain as reported by our suppliers for the year ended December 31, 2024.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Aggregated Countries of Origin of 3TG Metals</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due diligence efforts did not result in sufficient information to conclusively determine the countries of origin of all necessary 3TG metals in our products. Appendix B sets forth a list of potential countries of origin of 3TG metals that may be in our products based on information provided to us by our suppliers and RMI, all of which information is available to us (and is therefore being disclosed) on an aggregated basis only for RMAP Conformant smelters.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Mine or Location of Origin</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spacing w:after="0" w:line="18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required the suppliers in our memory and storage products supply chain to complete the RMI CMRT. We reviewed the supplier responses as well as information available through the RMI on the mine or location of origin of 3TG metals processed by these smelters and refiners collectively. Our suppliers’ responses and the RMI’s information did not provide sufficiently detailed information for us to determine the mine or location of origin of the necessary 3TG in our products for the calendar year 2024.</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2025 Due Diligence Improvement Measures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During the 2025 reporting year, Micron intends to:</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engage with and provide active participation and leadership in the various RMI working groups;</w:t>
      </w:r>
    </w:p>
    <w:p>
      <w:pPr>
        <w:spacing w:after="0" w:line="252"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proactively engage with all suppliers in an effort to accomplish our goal that all smelters and refiners in our supply chain are Conformant;</w:t>
      </w:r>
    </w:p>
    <w:p>
      <w:pPr>
        <w:spacing w:after="0" w:line="179"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refine and improve our responsible minerals program to ensure quick remediation of any smelter or refiner that loses Conformant status; and</w:t>
      </w:r>
    </w:p>
    <w:p>
      <w:pPr>
        <w:spacing w:after="0" w:line="179"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responsible minerals program to ensure responsible sourcing of additional minerals beyond 3TG and include more geographies as practicable in line with industry standards and RMI capabilities and programs.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ind w:right="40"/>
        <w:spacing w:after="0" w:line="371" w:lineRule="auto"/>
        <w:rPr>
          <w:sz w:val="20"/>
          <w:szCs w:val="20"/>
          <w:color w:val="auto"/>
        </w:rPr>
      </w:pPr>
      <w:r>
        <w:rPr>
          <w:rFonts w:ascii="Arial" w:cs="Arial" w:eastAsia="Arial" w:hAnsi="Arial"/>
          <w:sz w:val="18"/>
          <w:szCs w:val="18"/>
          <w:i w:val="1"/>
          <w:iCs w:val="1"/>
          <w:color w:val="auto"/>
        </w:rPr>
        <w:t>This Conflict Minerals Report contains forward looking statements related to our conflict minerals due diligence programs for 2025. We wish to caution you that such statements are predictions and that actual events or results may differ materially.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1079" w:right="439" w:bottom="1440" w:gutter="0" w:footer="0" w:header="0"/>
        </w:sectPr>
      </w:pPr>
    </w:p>
    <w:bookmarkStart w:id="9" w:name="page10"/>
    <w:bookmarkEnd w:id="9"/>
    <w:p>
      <w:pPr>
        <w:spacing w:after="0"/>
        <w:rPr>
          <w:sz w:val="20"/>
          <w:szCs w:val="20"/>
          <w:color w:val="auto"/>
        </w:rPr>
      </w:pPr>
      <w:r>
        <w:rPr>
          <w:rFonts w:ascii="Arial" w:cs="Arial" w:eastAsia="Arial" w:hAnsi="Arial"/>
          <w:sz w:val="40"/>
          <w:szCs w:val="40"/>
          <w:b w:val="1"/>
          <w:bCs w:val="1"/>
          <w:color w:val="auto"/>
        </w:rPr>
        <w:t>Appendix A</w:t>
      </w:r>
    </w:p>
    <w:p>
      <w:pPr>
        <w:spacing w:after="0" w:line="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Reported 3TG Smelters and Refiners List</w:t>
      </w:r>
    </w:p>
    <w:p>
      <w:pPr>
        <w:spacing w:after="0" w:line="2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table provides the names and locations of all of the potential 3TG smelters and refiners in our memory and storage products supply chain that were reported by our suppliers for the year ended December 31, 2024. This table reflects the (i) smelter or refiner’s Conformant or Active status as reflected in the RMI Smelter Database as of December 31, 2024 and (ii) names and locations of such smelters and refiners as listed in the RMI Smelter Database as of January 8, 2025. We cannot confirm which of the smelters and refiners in this table processed the necessary 3TG metals contained in our products, as many of our suppliers identified all smelters and refiners in their total supply chain rather than just those smelters and refiners associated with products sold to us.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5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35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Abington Reldan Metals, LLC</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Advanced Chemical Company</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Agosi AG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Aida Chemical Industries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Almalyk Mining and Metallurgical Complex (AMMC)</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Uzbekistan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AngloGold Ashanti Corrego do Sitio Mineracao</w:t>
            </w:r>
          </w:p>
        </w:tc>
        <w:tc>
          <w:tcPr>
            <w:tcW w:w="3560" w:type="dxa"/>
            <w:vAlign w:val="bottom"/>
          </w:tcPr>
          <w:p>
            <w:pPr>
              <w:ind w:left="600"/>
              <w:spacing w:after="0"/>
              <w:rPr>
                <w:sz w:val="20"/>
                <w:szCs w:val="20"/>
                <w:color w:val="auto"/>
              </w:rPr>
            </w:pPr>
            <w:r>
              <w:rPr>
                <w:rFonts w:ascii="Arial" w:cs="Arial" w:eastAsia="Arial" w:hAnsi="Arial"/>
                <w:sz w:val="18"/>
                <w:szCs w:val="18"/>
                <w:color w:val="auto"/>
              </w:rPr>
              <w:t>Brazil</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Argor-Heraeus S.A.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ASAHI METALFINE, Inc.</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Asahi Refining Canada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Canada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Asahi Refining USA Inc.</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Aurubis AG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Bangalore Refinery**</w:t>
            </w:r>
          </w:p>
        </w:tc>
        <w:tc>
          <w:tcPr>
            <w:tcW w:w="3560" w:type="dxa"/>
            <w:vAlign w:val="bottom"/>
          </w:tcPr>
          <w:p>
            <w:pPr>
              <w:ind w:left="600"/>
              <w:spacing w:after="0"/>
              <w:rPr>
                <w:sz w:val="20"/>
                <w:szCs w:val="20"/>
                <w:color w:val="auto"/>
              </w:rPr>
            </w:pPr>
            <w:r>
              <w:rPr>
                <w:rFonts w:ascii="Arial" w:cs="Arial" w:eastAsia="Arial" w:hAnsi="Arial"/>
                <w:sz w:val="18"/>
                <w:szCs w:val="18"/>
                <w:color w:val="auto"/>
              </w:rPr>
              <w:t>India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Bangko Sentral ng Pilipinas (Central Bank of the Philippines)</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Philippines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Boliden Ronnskar</w:t>
            </w:r>
          </w:p>
        </w:tc>
        <w:tc>
          <w:tcPr>
            <w:tcW w:w="3560" w:type="dxa"/>
            <w:vAlign w:val="bottom"/>
          </w:tcPr>
          <w:p>
            <w:pPr>
              <w:ind w:left="600"/>
              <w:spacing w:after="0"/>
              <w:rPr>
                <w:sz w:val="20"/>
                <w:szCs w:val="20"/>
                <w:color w:val="auto"/>
              </w:rPr>
            </w:pPr>
            <w:r>
              <w:rPr>
                <w:rFonts w:ascii="Arial" w:cs="Arial" w:eastAsia="Arial" w:hAnsi="Arial"/>
                <w:sz w:val="18"/>
                <w:szCs w:val="18"/>
                <w:color w:val="auto"/>
              </w:rPr>
              <w:t>Sweden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 Hafner GmbH + Co. KG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CCR Refinery - Glencore Canada Corporation</w:t>
            </w:r>
          </w:p>
        </w:tc>
        <w:tc>
          <w:tcPr>
            <w:tcW w:w="3560" w:type="dxa"/>
            <w:vAlign w:val="bottom"/>
          </w:tcPr>
          <w:p>
            <w:pPr>
              <w:ind w:left="600"/>
              <w:spacing w:after="0"/>
              <w:rPr>
                <w:sz w:val="20"/>
                <w:szCs w:val="20"/>
                <w:color w:val="auto"/>
              </w:rPr>
            </w:pPr>
            <w:r>
              <w:rPr>
                <w:rFonts w:ascii="Arial" w:cs="Arial" w:eastAsia="Arial" w:hAnsi="Arial"/>
                <w:sz w:val="18"/>
                <w:szCs w:val="18"/>
                <w:color w:val="auto"/>
              </w:rPr>
              <w:t>Canada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Chimet S.p.A.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Italy</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Chugai Mining</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Dowa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Gold by Gold Colombia</w:t>
            </w:r>
          </w:p>
        </w:tc>
        <w:tc>
          <w:tcPr>
            <w:tcW w:w="3560" w:type="dxa"/>
            <w:vAlign w:val="bottom"/>
          </w:tcPr>
          <w:p>
            <w:pPr>
              <w:ind w:left="600"/>
              <w:spacing w:after="0"/>
              <w:rPr>
                <w:sz w:val="20"/>
                <w:szCs w:val="20"/>
                <w:color w:val="auto"/>
              </w:rPr>
            </w:pPr>
            <w:r>
              <w:rPr>
                <w:rFonts w:ascii="Arial" w:cs="Arial" w:eastAsia="Arial" w:hAnsi="Arial"/>
                <w:sz w:val="18"/>
                <w:szCs w:val="18"/>
                <w:color w:val="auto"/>
              </w:rPr>
              <w:t>Colombia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Gold Refinery of Zijin Mining Group Co.,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Heimerle + Meule GmbH</w:t>
            </w:r>
          </w:p>
        </w:tc>
        <w:tc>
          <w:tcPr>
            <w:tcW w:w="3560" w:type="dxa"/>
            <w:vAlign w:val="bottom"/>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Heraeus Germany GmbH Co. KG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Heraeus Metals Hong Kong Ltd.</w:t>
            </w:r>
          </w:p>
        </w:tc>
        <w:tc>
          <w:tcPr>
            <w:tcW w:w="3560" w:type="dxa"/>
            <w:vAlign w:val="bottom"/>
          </w:tcPr>
          <w:p>
            <w:pPr>
              <w:ind w:left="60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Inner Mongolia Qiankun Gold and Silver Refinery Share Co.,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Ishifuku Metal Industry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Istanbul Gold Refinery</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Turkey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Italpreziosi</w:t>
            </w:r>
          </w:p>
        </w:tc>
        <w:tc>
          <w:tcPr>
            <w:tcW w:w="3560" w:type="dxa"/>
            <w:vAlign w:val="bottom"/>
          </w:tcPr>
          <w:p>
            <w:pPr>
              <w:ind w:left="600"/>
              <w:spacing w:after="0"/>
              <w:rPr>
                <w:sz w:val="20"/>
                <w:szCs w:val="20"/>
                <w:color w:val="auto"/>
              </w:rPr>
            </w:pPr>
            <w:r>
              <w:rPr>
                <w:rFonts w:ascii="Arial" w:cs="Arial" w:eastAsia="Arial" w:hAnsi="Arial"/>
                <w:sz w:val="18"/>
                <w:szCs w:val="18"/>
                <w:color w:val="auto"/>
              </w:rPr>
              <w:t>Italy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Japan Mint</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Japan</w:t>
            </w:r>
          </w:p>
        </w:tc>
      </w:tr>
      <w:tr>
        <w:trPr>
          <w:trHeight w:val="23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Jiangxi Copper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15" w:right="339" w:bottom="1440" w:gutter="0" w:footer="0" w:header="0"/>
        </w:sectPr>
      </w:pPr>
    </w:p>
    <w:bookmarkStart w:id="10" w:name="page11"/>
    <w:bookmarkEnd w:id="1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4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36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1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JX Nippon Mining &amp; Metals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Kazzinc</w:t>
            </w:r>
          </w:p>
        </w:tc>
        <w:tc>
          <w:tcPr>
            <w:tcW w:w="3620" w:type="dxa"/>
            <w:vAlign w:val="bottom"/>
          </w:tcPr>
          <w:p>
            <w:pPr>
              <w:ind w:left="660"/>
              <w:spacing w:after="0"/>
              <w:rPr>
                <w:sz w:val="20"/>
                <w:szCs w:val="20"/>
                <w:color w:val="auto"/>
              </w:rPr>
            </w:pPr>
            <w:r>
              <w:rPr>
                <w:rFonts w:ascii="Arial" w:cs="Arial" w:eastAsia="Arial" w:hAnsi="Arial"/>
                <w:sz w:val="18"/>
                <w:szCs w:val="18"/>
                <w:color w:val="auto"/>
              </w:rPr>
              <w:t>Kazakhstan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Kennecott Utah Copper LLC</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KGHM Polska Miedz Spolka Akcyjna</w:t>
            </w:r>
          </w:p>
        </w:tc>
        <w:tc>
          <w:tcPr>
            <w:tcW w:w="3620" w:type="dxa"/>
            <w:vAlign w:val="bottom"/>
          </w:tcPr>
          <w:p>
            <w:pPr>
              <w:ind w:left="660"/>
              <w:spacing w:after="0"/>
              <w:rPr>
                <w:sz w:val="20"/>
                <w:szCs w:val="20"/>
                <w:color w:val="auto"/>
              </w:rPr>
            </w:pPr>
            <w:r>
              <w:rPr>
                <w:rFonts w:ascii="Arial" w:cs="Arial" w:eastAsia="Arial" w:hAnsi="Arial"/>
                <w:sz w:val="18"/>
                <w:szCs w:val="18"/>
                <w:color w:val="auto"/>
              </w:rPr>
              <w:t>Poland</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Kojima Chemicals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Korea Zinc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L'Orfebre S.A.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Andorra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LS MnM Inc.</w:t>
            </w:r>
          </w:p>
        </w:tc>
        <w:tc>
          <w:tcPr>
            <w:tcW w:w="3620" w:type="dxa"/>
            <w:vAlign w:val="bottom"/>
          </w:tcPr>
          <w:p>
            <w:pPr>
              <w:ind w:left="660"/>
              <w:spacing w:after="0"/>
              <w:rPr>
                <w:sz w:val="20"/>
                <w:szCs w:val="20"/>
                <w:color w:val="auto"/>
              </w:rPr>
            </w:pPr>
            <w:r>
              <w:rPr>
                <w:rFonts w:ascii="Arial" w:cs="Arial" w:eastAsia="Arial" w:hAnsi="Arial"/>
                <w:sz w:val="18"/>
                <w:szCs w:val="18"/>
                <w:color w:val="auto"/>
              </w:rPr>
              <w:t>South Korea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LT Metal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Matsuda Sangyo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 Concentrators SA (Pty)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South Africa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Metalor Technologies (Hong Kong)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Technologies (Singapore) Pte.,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Singapore</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Metalor Technologies (Suzhou)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Technologies S.A.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Metalor USA Refining Corporation</w:t>
            </w:r>
          </w:p>
        </w:tc>
        <w:tc>
          <w:tcPr>
            <w:tcW w:w="3620" w:type="dxa"/>
            <w:vAlign w:val="bottom"/>
          </w:tcPr>
          <w:p>
            <w:pPr>
              <w:ind w:left="66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Metalurgica Met-Mex Penoles S.A. De C.V.</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Mexico</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Mitsubishi Materials Corporation</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Mitsui Mining and Smelting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MKS PAMP SA</w:t>
            </w:r>
          </w:p>
        </w:tc>
        <w:tc>
          <w:tcPr>
            <w:tcW w:w="3620" w:type="dxa"/>
            <w:vAlign w:val="bottom"/>
          </w:tcPr>
          <w:p>
            <w:pPr>
              <w:ind w:left="66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MMTC-PAMP India Pvt.,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India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Nadir Metal Rafineri San. Ve Tic. A.S.</w:t>
            </w:r>
          </w:p>
        </w:tc>
        <w:tc>
          <w:tcPr>
            <w:tcW w:w="3620" w:type="dxa"/>
            <w:vAlign w:val="bottom"/>
          </w:tcPr>
          <w:p>
            <w:pPr>
              <w:ind w:left="660"/>
              <w:spacing w:after="0"/>
              <w:rPr>
                <w:sz w:val="20"/>
                <w:szCs w:val="20"/>
                <w:color w:val="auto"/>
              </w:rPr>
            </w:pPr>
            <w:r>
              <w:rPr>
                <w:rFonts w:ascii="Arial" w:cs="Arial" w:eastAsia="Arial" w:hAnsi="Arial"/>
                <w:sz w:val="18"/>
                <w:szCs w:val="18"/>
                <w:color w:val="auto"/>
              </w:rPr>
              <w:t>Turkey</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Navoi Mining and Metallurgical Combinat</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Uzbekistan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NH Recytech Company</w:t>
            </w:r>
          </w:p>
        </w:tc>
        <w:tc>
          <w:tcPr>
            <w:tcW w:w="3620" w:type="dxa"/>
            <w:vAlign w:val="bottom"/>
          </w:tcPr>
          <w:p>
            <w:pPr>
              <w:ind w:left="660"/>
              <w:spacing w:after="0"/>
              <w:rPr>
                <w:sz w:val="20"/>
                <w:szCs w:val="20"/>
                <w:color w:val="auto"/>
              </w:rPr>
            </w:pPr>
            <w:r>
              <w:rPr>
                <w:rFonts w:ascii="Arial" w:cs="Arial" w:eastAsia="Arial" w:hAnsi="Arial"/>
                <w:sz w:val="18"/>
                <w:szCs w:val="18"/>
                <w:color w:val="auto"/>
              </w:rPr>
              <w:t>South Korea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Nihon Material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Ogussa Osterreichische Gold- und Silber-Scheideanstalt GmbH</w:t>
            </w:r>
          </w:p>
        </w:tc>
        <w:tc>
          <w:tcPr>
            <w:tcW w:w="3620" w:type="dxa"/>
            <w:vAlign w:val="bottom"/>
          </w:tcPr>
          <w:p>
            <w:pPr>
              <w:ind w:left="660"/>
              <w:spacing w:after="0"/>
              <w:rPr>
                <w:sz w:val="20"/>
                <w:szCs w:val="20"/>
                <w:color w:val="auto"/>
              </w:rPr>
            </w:pPr>
            <w:r>
              <w:rPr>
                <w:rFonts w:ascii="Arial" w:cs="Arial" w:eastAsia="Arial" w:hAnsi="Arial"/>
                <w:sz w:val="18"/>
                <w:szCs w:val="18"/>
                <w:color w:val="auto"/>
              </w:rPr>
              <w:t>Austria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Planta Recuperadora de Metales SpA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Chile</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PT Aneka Tambang (Persero) Tbk</w:t>
            </w:r>
          </w:p>
        </w:tc>
        <w:tc>
          <w:tcPr>
            <w:tcW w:w="3620" w:type="dxa"/>
            <w:vAlign w:val="bottom"/>
          </w:tcPr>
          <w:p>
            <w:pPr>
              <w:ind w:left="66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PX Precinox S.A.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Switzerland</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Rand Refinery (Pty) Ltd.</w:t>
            </w:r>
          </w:p>
        </w:tc>
        <w:tc>
          <w:tcPr>
            <w:tcW w:w="3620" w:type="dxa"/>
            <w:vAlign w:val="bottom"/>
          </w:tcPr>
          <w:p>
            <w:pPr>
              <w:ind w:left="660"/>
              <w:spacing w:after="0"/>
              <w:rPr>
                <w:sz w:val="20"/>
                <w:szCs w:val="20"/>
                <w:color w:val="auto"/>
              </w:rPr>
            </w:pPr>
            <w:r>
              <w:rPr>
                <w:rFonts w:ascii="Arial" w:cs="Arial" w:eastAsia="Arial" w:hAnsi="Arial"/>
                <w:sz w:val="18"/>
                <w:szCs w:val="18"/>
                <w:color w:val="auto"/>
              </w:rPr>
              <w:t>South Africa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Royal Canadian Mint</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Canada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SAFINA A.S.</w:t>
            </w:r>
          </w:p>
        </w:tc>
        <w:tc>
          <w:tcPr>
            <w:tcW w:w="3620" w:type="dxa"/>
            <w:vAlign w:val="bottom"/>
          </w:tcPr>
          <w:p>
            <w:pPr>
              <w:ind w:left="660"/>
              <w:spacing w:after="0"/>
              <w:rPr>
                <w:sz w:val="20"/>
                <w:szCs w:val="20"/>
                <w:color w:val="auto"/>
              </w:rPr>
            </w:pPr>
            <w:r>
              <w:rPr>
                <w:rFonts w:ascii="Arial" w:cs="Arial" w:eastAsia="Arial" w:hAnsi="Arial"/>
                <w:sz w:val="18"/>
                <w:szCs w:val="18"/>
                <w:color w:val="auto"/>
              </w:rPr>
              <w:t>Czechia (Czech Republic)</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SEMPSA Joyeria Plateria S.A.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Spain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Shandong Gold Smelting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Shandong Zhaojin Gold &amp; Silver Refinery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Sichuan Tianze Precious Metals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Solar Applied Materials Technology Corp.</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Chinese Taipei (Taiwan)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Sumitomo Metal Mining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T.C.A S.p.A</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Italy</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440" w:type="dxa"/>
            <w:vAlign w:val="bottom"/>
          </w:tcPr>
          <w:p>
            <w:pPr>
              <w:ind w:left="700"/>
              <w:spacing w:after="0"/>
              <w:rPr>
                <w:sz w:val="20"/>
                <w:szCs w:val="20"/>
                <w:color w:val="auto"/>
              </w:rPr>
            </w:pPr>
            <w:r>
              <w:rPr>
                <w:rFonts w:ascii="Arial" w:cs="Arial" w:eastAsia="Arial" w:hAnsi="Arial"/>
                <w:sz w:val="18"/>
                <w:szCs w:val="18"/>
                <w:color w:val="auto"/>
              </w:rPr>
              <w:t>Tanaka Kikinzoku Kogyo K.K.</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4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Tokuriki Honten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Japan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0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9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r>
      <w:tr>
        <w:trPr>
          <w:trHeight w:val="263"/>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TOO Tau-Ken-Altyn</w:t>
            </w:r>
          </w:p>
        </w:tc>
        <w:tc>
          <w:tcPr>
            <w:tcW w:w="3920" w:type="dxa"/>
            <w:vAlign w:val="bottom"/>
          </w:tcPr>
          <w:p>
            <w:pPr>
              <w:ind w:left="960"/>
              <w:spacing w:after="0"/>
              <w:rPr>
                <w:sz w:val="20"/>
                <w:szCs w:val="20"/>
                <w:color w:val="auto"/>
              </w:rPr>
            </w:pPr>
            <w:r>
              <w:rPr>
                <w:rFonts w:ascii="Arial" w:cs="Arial" w:eastAsia="Arial" w:hAnsi="Arial"/>
                <w:sz w:val="18"/>
                <w:szCs w:val="18"/>
                <w:color w:val="auto"/>
              </w:rPr>
              <w:t>Kazakhstan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Torecom</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South Korea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Umicore S.A. Business Unit Precious Metals Refining</w:t>
            </w:r>
          </w:p>
        </w:tc>
        <w:tc>
          <w:tcPr>
            <w:tcW w:w="3920" w:type="dxa"/>
            <w:vAlign w:val="bottom"/>
          </w:tcPr>
          <w:p>
            <w:pPr>
              <w:ind w:left="960"/>
              <w:spacing w:after="0"/>
              <w:rPr>
                <w:sz w:val="20"/>
                <w:szCs w:val="20"/>
                <w:color w:val="auto"/>
              </w:rPr>
            </w:pPr>
            <w:r>
              <w:rPr>
                <w:rFonts w:ascii="Arial" w:cs="Arial" w:eastAsia="Arial" w:hAnsi="Arial"/>
                <w:sz w:val="18"/>
                <w:szCs w:val="18"/>
                <w:color w:val="auto"/>
              </w:rPr>
              <w:t>Belgium</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United Precious Metal Refining, Inc.</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Valcambi S.A.</w:t>
            </w:r>
          </w:p>
        </w:tc>
        <w:tc>
          <w:tcPr>
            <w:tcW w:w="3920" w:type="dxa"/>
            <w:vAlign w:val="bottom"/>
          </w:tcPr>
          <w:p>
            <w:pPr>
              <w:ind w:left="960"/>
              <w:spacing w:after="0"/>
              <w:rPr>
                <w:sz w:val="20"/>
                <w:szCs w:val="20"/>
                <w:color w:val="auto"/>
              </w:rPr>
            </w:pPr>
            <w:r>
              <w:rPr>
                <w:rFonts w:ascii="Arial" w:cs="Arial" w:eastAsia="Arial" w:hAnsi="Arial"/>
                <w:sz w:val="18"/>
                <w:szCs w:val="18"/>
                <w:color w:val="auto"/>
              </w:rPr>
              <w:t>Switzerland</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Western Australian Mint (T/a The Perth Mint)</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Australia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00" w:type="dxa"/>
            <w:vAlign w:val="bottom"/>
          </w:tcPr>
          <w:p>
            <w:pPr>
              <w:ind w:left="560"/>
              <w:spacing w:after="0"/>
              <w:rPr>
                <w:sz w:val="20"/>
                <w:szCs w:val="20"/>
                <w:color w:val="auto"/>
              </w:rPr>
            </w:pPr>
            <w:r>
              <w:rPr>
                <w:rFonts w:ascii="Arial" w:cs="Arial" w:eastAsia="Arial" w:hAnsi="Arial"/>
                <w:sz w:val="18"/>
                <w:szCs w:val="18"/>
                <w:color w:val="auto"/>
              </w:rPr>
              <w:t>Zhongyuan Gold Smelter of Zhongjin Gold Corporation</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AMG Brasil</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Brazil</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D Block Metals, LLC</w:t>
            </w:r>
          </w:p>
        </w:tc>
        <w:tc>
          <w:tcPr>
            <w:tcW w:w="3920" w:type="dxa"/>
            <w:vAlign w:val="bottom"/>
          </w:tcPr>
          <w:p>
            <w:pPr>
              <w:ind w:left="9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F&amp;X Electro-Materials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FIR Metals &amp; Resource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Global Advanced Metals Boyertown</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Hengyang King Xing Lifeng New Materials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Dinghai Tantalum &amp; Niobium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Jiangxi Tuohong New Raw Material</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JiuJiang JinXin Nonferrous Metals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Jiujiang Tanbre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Jiujiang Zhongao Tantalum &amp; Niobium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KEMET de Mexico*</w:t>
            </w:r>
          </w:p>
        </w:tc>
        <w:tc>
          <w:tcPr>
            <w:tcW w:w="3920" w:type="dxa"/>
            <w:vAlign w:val="bottom"/>
          </w:tcPr>
          <w:p>
            <w:pPr>
              <w:ind w:left="960"/>
              <w:spacing w:after="0"/>
              <w:rPr>
                <w:sz w:val="20"/>
                <w:szCs w:val="20"/>
                <w:color w:val="auto"/>
              </w:rPr>
            </w:pPr>
            <w:r>
              <w:rPr>
                <w:rFonts w:ascii="Arial" w:cs="Arial" w:eastAsia="Arial" w:hAnsi="Arial"/>
                <w:sz w:val="18"/>
                <w:szCs w:val="18"/>
                <w:color w:val="auto"/>
              </w:rPr>
              <w:t>Mexico</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Materion Newton Inc.</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Metallurgical Products India Pvt., Ltd.</w:t>
            </w:r>
          </w:p>
        </w:tc>
        <w:tc>
          <w:tcPr>
            <w:tcW w:w="3920" w:type="dxa"/>
            <w:vAlign w:val="bottom"/>
          </w:tcPr>
          <w:p>
            <w:pPr>
              <w:ind w:left="960"/>
              <w:spacing w:after="0"/>
              <w:rPr>
                <w:sz w:val="20"/>
                <w:szCs w:val="20"/>
                <w:color w:val="auto"/>
              </w:rPr>
            </w:pPr>
            <w:r>
              <w:rPr>
                <w:rFonts w:ascii="Arial" w:cs="Arial" w:eastAsia="Arial" w:hAnsi="Arial"/>
                <w:sz w:val="18"/>
                <w:szCs w:val="18"/>
                <w:color w:val="auto"/>
              </w:rPr>
              <w:t>India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Mineracao Taboca S.A.</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Mitsui Mining and Smelting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Ningxia Orient Tantalum Industry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NPM Silmet AS</w:t>
            </w:r>
          </w:p>
        </w:tc>
        <w:tc>
          <w:tcPr>
            <w:tcW w:w="3920" w:type="dxa"/>
            <w:vAlign w:val="bottom"/>
          </w:tcPr>
          <w:p>
            <w:pPr>
              <w:ind w:left="960"/>
              <w:spacing w:after="0"/>
              <w:rPr>
                <w:sz w:val="20"/>
                <w:szCs w:val="20"/>
                <w:color w:val="auto"/>
              </w:rPr>
            </w:pPr>
            <w:r>
              <w:rPr>
                <w:rFonts w:ascii="Arial" w:cs="Arial" w:eastAsia="Arial" w:hAnsi="Arial"/>
                <w:sz w:val="18"/>
                <w:szCs w:val="18"/>
                <w:color w:val="auto"/>
              </w:rPr>
              <w:t>Estonia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Resind Industria e Comercio Ltda.</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RFH Yancheng Jinye New Material Technology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Thailand</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TANIOBIS GmbH</w:t>
            </w:r>
          </w:p>
        </w:tc>
        <w:tc>
          <w:tcPr>
            <w:tcW w:w="3920" w:type="dxa"/>
            <w:vAlign w:val="bottom"/>
          </w:tcPr>
          <w:p>
            <w:pPr>
              <w:ind w:left="960"/>
              <w:spacing w:after="0"/>
              <w:rPr>
                <w:sz w:val="20"/>
                <w:szCs w:val="20"/>
                <w:color w:val="auto"/>
              </w:rPr>
            </w:pPr>
            <w:r>
              <w:rPr>
                <w:rFonts w:ascii="Arial" w:cs="Arial" w:eastAsia="Arial" w:hAnsi="Arial"/>
                <w:sz w:val="18"/>
                <w:szCs w:val="18"/>
                <w:color w:val="auto"/>
              </w:rPr>
              <w:t>Germany</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Japan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TANIOBIS Smelting GmbH &amp; Co. KG</w:t>
            </w:r>
          </w:p>
        </w:tc>
        <w:tc>
          <w:tcPr>
            <w:tcW w:w="3920" w:type="dxa"/>
            <w:vAlign w:val="bottom"/>
          </w:tcPr>
          <w:p>
            <w:pPr>
              <w:ind w:left="96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Telex Metals*</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Ulba Metallurgical Plant JSC</w:t>
            </w:r>
          </w:p>
        </w:tc>
        <w:tc>
          <w:tcPr>
            <w:tcW w:w="3920" w:type="dxa"/>
            <w:vAlign w:val="bottom"/>
          </w:tcPr>
          <w:p>
            <w:pPr>
              <w:ind w:left="960"/>
              <w:spacing w:after="0"/>
              <w:rPr>
                <w:sz w:val="20"/>
                <w:szCs w:val="20"/>
                <w:color w:val="auto"/>
              </w:rPr>
            </w:pPr>
            <w:r>
              <w:rPr>
                <w:rFonts w:ascii="Arial" w:cs="Arial" w:eastAsia="Arial" w:hAnsi="Arial"/>
                <w:sz w:val="18"/>
                <w:szCs w:val="18"/>
                <w:color w:val="auto"/>
              </w:rPr>
              <w:t>Kazakhstan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XIMEI RESOURCES (GUANGDONG) LIMITED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tcPr>
          <w:p>
            <w:pPr>
              <w:ind w:left="560"/>
              <w:spacing w:after="0"/>
              <w:rPr>
                <w:sz w:val="20"/>
                <w:szCs w:val="20"/>
                <w:color w:val="auto"/>
              </w:rPr>
            </w:pPr>
            <w:r>
              <w:rPr>
                <w:rFonts w:ascii="Arial" w:cs="Arial" w:eastAsia="Arial" w:hAnsi="Arial"/>
                <w:sz w:val="18"/>
                <w:szCs w:val="18"/>
                <w:color w:val="auto"/>
              </w:rPr>
              <w:t>XinXing HaoRong Electronic Material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Yanling Jincheng Tantalum &amp; Niobium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000" w:type="dxa"/>
            <w:vAlign w:val="bottom"/>
          </w:tcPr>
          <w:p>
            <w:pPr>
              <w:ind w:left="560"/>
              <w:spacing w:after="0"/>
              <w:rPr>
                <w:sz w:val="20"/>
                <w:szCs w:val="20"/>
                <w:color w:val="auto"/>
              </w:rPr>
            </w:pPr>
            <w:r>
              <w:rPr>
                <w:rFonts w:ascii="Arial" w:cs="Arial" w:eastAsia="Arial" w:hAnsi="Arial"/>
                <w:sz w:val="18"/>
                <w:szCs w:val="18"/>
                <w:color w:val="auto"/>
              </w:rPr>
              <w:t>Alpha Assembly Solutions Inc</w:t>
            </w:r>
          </w:p>
        </w:tc>
        <w:tc>
          <w:tcPr>
            <w:tcW w:w="3920" w:type="dxa"/>
            <w:vAlign w:val="bottom"/>
          </w:tcPr>
          <w:p>
            <w:pPr>
              <w:ind w:left="9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Aurubis Beerse*</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Belgium</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000" w:type="dxa"/>
            <w:vAlign w:val="bottom"/>
          </w:tcPr>
          <w:p>
            <w:pPr>
              <w:ind w:left="560"/>
              <w:spacing w:after="0"/>
              <w:rPr>
                <w:sz w:val="20"/>
                <w:szCs w:val="20"/>
                <w:color w:val="auto"/>
              </w:rPr>
            </w:pPr>
            <w:r>
              <w:rPr>
                <w:rFonts w:ascii="Arial" w:cs="Arial" w:eastAsia="Arial" w:hAnsi="Arial"/>
                <w:sz w:val="18"/>
                <w:szCs w:val="18"/>
                <w:color w:val="auto"/>
              </w:rPr>
              <w:t>Aurubis Berango</w:t>
            </w:r>
          </w:p>
        </w:tc>
        <w:tc>
          <w:tcPr>
            <w:tcW w:w="3920" w:type="dxa"/>
            <w:vAlign w:val="bottom"/>
          </w:tcPr>
          <w:p>
            <w:pPr>
              <w:ind w:left="960"/>
              <w:spacing w:after="0"/>
              <w:rPr>
                <w:sz w:val="20"/>
                <w:szCs w:val="20"/>
                <w:color w:val="auto"/>
              </w:rPr>
            </w:pPr>
            <w:r>
              <w:rPr>
                <w:rFonts w:ascii="Arial" w:cs="Arial" w:eastAsia="Arial" w:hAnsi="Arial"/>
                <w:sz w:val="18"/>
                <w:szCs w:val="18"/>
                <w:color w:val="auto"/>
              </w:rPr>
              <w:t>Spain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0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Chenzhou Yunxiang Mining and Metallurgy Co., Ltd.</w:t>
            </w:r>
          </w:p>
        </w:tc>
        <w:tc>
          <w:tcPr>
            <w:tcW w:w="3920" w:type="dxa"/>
            <w:vAlign w:val="bottom"/>
            <w:shd w:val="clear" w:color="auto" w:fill="DBDBDB"/>
          </w:tcPr>
          <w:p>
            <w:pPr>
              <w:ind w:left="960"/>
              <w:spacing w:after="0"/>
              <w:rPr>
                <w:sz w:val="20"/>
                <w:szCs w:val="20"/>
                <w:color w:val="auto"/>
              </w:rPr>
            </w:pPr>
            <w:r>
              <w:rPr>
                <w:rFonts w:ascii="Arial" w:cs="Arial" w:eastAsia="Arial" w:hAnsi="Arial"/>
                <w:sz w:val="18"/>
                <w:szCs w:val="18"/>
                <w:color w:val="auto"/>
              </w:rPr>
              <w:t>China</w:t>
            </w:r>
          </w:p>
        </w:tc>
      </w:tr>
      <w:tr>
        <w:trPr>
          <w:trHeight w:val="23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000" w:type="dxa"/>
            <w:vAlign w:val="bottom"/>
          </w:tcPr>
          <w:p>
            <w:pPr>
              <w:ind w:left="560"/>
              <w:spacing w:after="0"/>
              <w:rPr>
                <w:sz w:val="20"/>
                <w:szCs w:val="20"/>
                <w:color w:val="auto"/>
              </w:rPr>
            </w:pPr>
            <w:r>
              <w:rPr>
                <w:rFonts w:ascii="Arial" w:cs="Arial" w:eastAsia="Arial" w:hAnsi="Arial"/>
                <w:sz w:val="18"/>
                <w:szCs w:val="18"/>
                <w:color w:val="auto"/>
              </w:rPr>
              <w:t>Chifeng Dajingzi Tin Industry Co., Ltd.</w:t>
            </w:r>
          </w:p>
        </w:tc>
        <w:tc>
          <w:tcPr>
            <w:tcW w:w="3920" w:type="dxa"/>
            <w:vAlign w:val="bottom"/>
          </w:tcPr>
          <w:p>
            <w:pPr>
              <w:ind w:left="960"/>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59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410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1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China Tin Group Co., Ltd.</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CV Ayi Jaya*</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CV Venus Inti Perkasa*</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DS Myanmar*</w:t>
            </w:r>
          </w:p>
        </w:tc>
        <w:tc>
          <w:tcPr>
            <w:tcW w:w="4100" w:type="dxa"/>
            <w:vAlign w:val="bottom"/>
          </w:tcPr>
          <w:p>
            <w:pPr>
              <w:ind w:left="1140"/>
              <w:spacing w:after="0"/>
              <w:rPr>
                <w:sz w:val="20"/>
                <w:szCs w:val="20"/>
                <w:color w:val="auto"/>
              </w:rPr>
            </w:pPr>
            <w:r>
              <w:rPr>
                <w:rFonts w:ascii="Arial" w:cs="Arial" w:eastAsia="Arial" w:hAnsi="Arial"/>
                <w:sz w:val="18"/>
                <w:szCs w:val="18"/>
                <w:color w:val="auto"/>
              </w:rPr>
              <w:t>Myanmar</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EM Vinto</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Bolivia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Estanho de Rondonia S.A.</w:t>
            </w:r>
          </w:p>
        </w:tc>
        <w:tc>
          <w:tcPr>
            <w:tcW w:w="4100" w:type="dxa"/>
            <w:vAlign w:val="bottom"/>
          </w:tcPr>
          <w:p>
            <w:pPr>
              <w:ind w:left="1140"/>
              <w:spacing w:after="0"/>
              <w:rPr>
                <w:sz w:val="20"/>
                <w:szCs w:val="20"/>
                <w:color w:val="auto"/>
              </w:rPr>
            </w:pPr>
            <w:r>
              <w:rPr>
                <w:rFonts w:ascii="Arial" w:cs="Arial" w:eastAsia="Arial" w:hAnsi="Arial"/>
                <w:sz w:val="18"/>
                <w:szCs w:val="18"/>
                <w:color w:val="auto"/>
              </w:rPr>
              <w:t>Brazil</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Fabrica Auricchio Industria e Comercio Ltda.</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Brazil</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Fenix Metals*</w:t>
            </w:r>
          </w:p>
        </w:tc>
        <w:tc>
          <w:tcPr>
            <w:tcW w:w="4100" w:type="dxa"/>
            <w:vAlign w:val="bottom"/>
          </w:tcPr>
          <w:p>
            <w:pPr>
              <w:ind w:left="1140"/>
              <w:spacing w:after="0"/>
              <w:rPr>
                <w:sz w:val="20"/>
                <w:szCs w:val="20"/>
                <w:color w:val="auto"/>
              </w:rPr>
            </w:pPr>
            <w:r>
              <w:rPr>
                <w:rFonts w:ascii="Arial" w:cs="Arial" w:eastAsia="Arial" w:hAnsi="Arial"/>
                <w:sz w:val="18"/>
                <w:szCs w:val="18"/>
                <w:color w:val="auto"/>
              </w:rPr>
              <w:t>Poland</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Gejiu Non-Ferrous Metal Processing Co., Ltd.</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Guangdong Hanhe Non-Ferrous Metal Co., Ltd.</w:t>
            </w:r>
          </w:p>
        </w:tc>
        <w:tc>
          <w:tcPr>
            <w:tcW w:w="4100" w:type="dxa"/>
            <w:vAlign w:val="bottom"/>
          </w:tcPr>
          <w:p>
            <w:pPr>
              <w:ind w:left="114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HuiChang Hill Tin Industry Co., Ltd.</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Jiangxi New Nanshan Technology Ltd.</w:t>
            </w:r>
          </w:p>
        </w:tc>
        <w:tc>
          <w:tcPr>
            <w:tcW w:w="4100" w:type="dxa"/>
            <w:vAlign w:val="bottom"/>
          </w:tcPr>
          <w:p>
            <w:pPr>
              <w:ind w:left="1140"/>
              <w:spacing w:after="0"/>
              <w:rPr>
                <w:sz w:val="20"/>
                <w:szCs w:val="20"/>
                <w:color w:val="auto"/>
              </w:rPr>
            </w:pPr>
            <w:r>
              <w:rPr>
                <w:rFonts w:ascii="Arial" w:cs="Arial" w:eastAsia="Arial" w:hAnsi="Arial"/>
                <w:sz w:val="18"/>
                <w:szCs w:val="18"/>
                <w:color w:val="auto"/>
              </w:rPr>
              <w:t>China</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Luna Smelter, Ltd.</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Rwanda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Magnu's Minerais Metais e Ligas Ltda.</w:t>
            </w:r>
          </w:p>
        </w:tc>
        <w:tc>
          <w:tcPr>
            <w:tcW w:w="4100" w:type="dxa"/>
            <w:vAlign w:val="bottom"/>
          </w:tcPr>
          <w:p>
            <w:pPr>
              <w:ind w:left="1140"/>
              <w:spacing w:after="0"/>
              <w:rPr>
                <w:sz w:val="20"/>
                <w:szCs w:val="20"/>
                <w:color w:val="auto"/>
              </w:rPr>
            </w:pPr>
            <w:r>
              <w:rPr>
                <w:rFonts w:ascii="Arial" w:cs="Arial" w:eastAsia="Arial" w:hAnsi="Arial"/>
                <w:sz w:val="18"/>
                <w:szCs w:val="18"/>
                <w:color w:val="auto"/>
              </w:rPr>
              <w:t>Brazil</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Malaysia Smelting Corporation (MSC)</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Malaysia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Malaysia Smelting Corporation Berhad (Port Klang)</w:t>
            </w:r>
          </w:p>
        </w:tc>
        <w:tc>
          <w:tcPr>
            <w:tcW w:w="4100" w:type="dxa"/>
            <w:vAlign w:val="bottom"/>
          </w:tcPr>
          <w:p>
            <w:pPr>
              <w:ind w:left="1140"/>
              <w:spacing w:after="0"/>
              <w:rPr>
                <w:sz w:val="20"/>
                <w:szCs w:val="20"/>
                <w:color w:val="auto"/>
              </w:rPr>
            </w:pPr>
            <w:r>
              <w:rPr>
                <w:rFonts w:ascii="Arial" w:cs="Arial" w:eastAsia="Arial" w:hAnsi="Arial"/>
                <w:sz w:val="18"/>
                <w:szCs w:val="18"/>
                <w:color w:val="auto"/>
              </w:rPr>
              <w:t>Malaysia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Metallic Resources, Inc.</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Mineracao Taboca S.A.</w:t>
            </w:r>
          </w:p>
        </w:tc>
        <w:tc>
          <w:tcPr>
            <w:tcW w:w="4100" w:type="dxa"/>
            <w:vAlign w:val="bottom"/>
          </w:tcPr>
          <w:p>
            <w:pPr>
              <w:ind w:left="1140"/>
              <w:spacing w:after="0"/>
              <w:rPr>
                <w:sz w:val="20"/>
                <w:szCs w:val="20"/>
                <w:color w:val="auto"/>
              </w:rPr>
            </w:pPr>
            <w:r>
              <w:rPr>
                <w:rFonts w:ascii="Arial" w:cs="Arial" w:eastAsia="Arial" w:hAnsi="Arial"/>
                <w:sz w:val="18"/>
                <w:szCs w:val="18"/>
                <w:color w:val="auto"/>
              </w:rPr>
              <w:t>Brazil</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Mining Minerals Resources SARL</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Democratic Republic of the Congo</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Minsur</w:t>
            </w:r>
          </w:p>
        </w:tc>
        <w:tc>
          <w:tcPr>
            <w:tcW w:w="4100" w:type="dxa"/>
            <w:vAlign w:val="bottom"/>
          </w:tcPr>
          <w:p>
            <w:pPr>
              <w:ind w:left="1140"/>
              <w:spacing w:after="0"/>
              <w:rPr>
                <w:sz w:val="20"/>
                <w:szCs w:val="20"/>
                <w:color w:val="auto"/>
              </w:rPr>
            </w:pPr>
            <w:r>
              <w:rPr>
                <w:rFonts w:ascii="Arial" w:cs="Arial" w:eastAsia="Arial" w:hAnsi="Arial"/>
                <w:sz w:val="18"/>
                <w:szCs w:val="18"/>
                <w:color w:val="auto"/>
              </w:rPr>
              <w:t>Peru</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Operaciones Metalurgicas S.A.</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Bolivia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Precious Minerals and Smelting Limited**</w:t>
            </w:r>
          </w:p>
        </w:tc>
        <w:tc>
          <w:tcPr>
            <w:tcW w:w="4100" w:type="dxa"/>
            <w:vAlign w:val="bottom"/>
          </w:tcPr>
          <w:p>
            <w:pPr>
              <w:ind w:left="1140"/>
              <w:spacing w:after="0"/>
              <w:rPr>
                <w:sz w:val="20"/>
                <w:szCs w:val="20"/>
                <w:color w:val="auto"/>
              </w:rPr>
            </w:pPr>
            <w:r>
              <w:rPr>
                <w:rFonts w:ascii="Arial" w:cs="Arial" w:eastAsia="Arial" w:hAnsi="Arial"/>
                <w:sz w:val="18"/>
                <w:szCs w:val="18"/>
                <w:color w:val="auto"/>
              </w:rPr>
              <w:t>India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Aries Kencana Sejahtera*</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Artha Cipta Langgeng*</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ATD Makmur Mandiri Jaya</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Babel Inti Perkasa*</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Babel Surya Alam Lestari*</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Bangka Prima Tin</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Bangka Serumpun*</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Belitung Industri Sejahtera*</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Bukit Timah*</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Cipta Persada Mulia</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Menara Cipta Mulia*</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Mitra Stania Prima</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Mitra Sukses Globalindo</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Premium Tin Indonesia</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Prima Timah Utama*</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Putera Sarana Shakti (PT PSS)</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Rajawali Rimba Perkasa*</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Tin</w:t>
            </w:r>
          </w:p>
        </w:tc>
        <w:tc>
          <w:tcPr>
            <w:tcW w:w="5960" w:type="dxa"/>
            <w:vAlign w:val="bottom"/>
          </w:tcPr>
          <w:p>
            <w:pPr>
              <w:ind w:left="700"/>
              <w:spacing w:after="0"/>
              <w:rPr>
                <w:sz w:val="20"/>
                <w:szCs w:val="20"/>
                <w:color w:val="auto"/>
              </w:rPr>
            </w:pPr>
            <w:r>
              <w:rPr>
                <w:rFonts w:ascii="Arial" w:cs="Arial" w:eastAsia="Arial" w:hAnsi="Arial"/>
                <w:sz w:val="18"/>
                <w:szCs w:val="18"/>
                <w:color w:val="auto"/>
              </w:rPr>
              <w:t>PT Rajehan Ariq</w:t>
            </w:r>
          </w:p>
        </w:tc>
        <w:tc>
          <w:tcPr>
            <w:tcW w:w="4100" w:type="dxa"/>
            <w:vAlign w:val="bottom"/>
          </w:tcPr>
          <w:p>
            <w:pPr>
              <w:ind w:left="1140"/>
              <w:spacing w:after="0"/>
              <w:rPr>
                <w:sz w:val="20"/>
                <w:szCs w:val="20"/>
                <w:color w:val="auto"/>
              </w:rPr>
            </w:pPr>
            <w:r>
              <w:rPr>
                <w:rFonts w:ascii="Arial" w:cs="Arial" w:eastAsia="Arial" w:hAnsi="Arial"/>
                <w:sz w:val="18"/>
                <w:szCs w:val="18"/>
                <w:color w:val="auto"/>
              </w:rPr>
              <w:t>Indonesia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96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PT Refined Bangka Tin*</w:t>
            </w:r>
          </w:p>
        </w:tc>
        <w:tc>
          <w:tcPr>
            <w:tcW w:w="4100" w:type="dxa"/>
            <w:vAlign w:val="bottom"/>
            <w:shd w:val="clear" w:color="auto" w:fill="DBDBDB"/>
          </w:tcPr>
          <w:p>
            <w:pPr>
              <w:ind w:left="1140"/>
              <w:spacing w:after="0"/>
              <w:rPr>
                <w:sz w:val="20"/>
                <w:szCs w:val="20"/>
                <w:color w:val="auto"/>
              </w:rPr>
            </w:pPr>
            <w:r>
              <w:rPr>
                <w:rFonts w:ascii="Arial" w:cs="Arial" w:eastAsia="Arial" w:hAnsi="Arial"/>
                <w:sz w:val="18"/>
                <w:szCs w:val="18"/>
                <w:color w:val="auto"/>
              </w:rPr>
              <w:t>Indonesia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6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63"/>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Sariwiguna Binasentosa*</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Stanindo Inti Perkasa*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Sukses Inti Makmur (SIM)*</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Timah Nusantara*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Timah Tbk Kundur</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Timah Tbk Mentok</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PT Tinindo Inter Nusa*</w:t>
            </w:r>
          </w:p>
        </w:tc>
        <w:tc>
          <w:tcPr>
            <w:tcW w:w="306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Tommy Utama*</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Resind Industria e Comercio Ltda.</w:t>
            </w:r>
          </w:p>
        </w:tc>
        <w:tc>
          <w:tcPr>
            <w:tcW w:w="3060" w:type="dxa"/>
            <w:vAlign w:val="bottom"/>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Rui Da Hung</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Chinese Taipei (Taiwan)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Super Ligas</w:t>
            </w:r>
          </w:p>
        </w:tc>
        <w:tc>
          <w:tcPr>
            <w:tcW w:w="3060" w:type="dxa"/>
            <w:vAlign w:val="bottom"/>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6"/>
        </w:trPr>
        <w:tc>
          <w:tcPr>
            <w:tcW w:w="132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line="176" w:lineRule="exact"/>
              <w:rPr>
                <w:sz w:val="20"/>
                <w:szCs w:val="20"/>
                <w:color w:val="auto"/>
              </w:rPr>
            </w:pPr>
            <w:r>
              <w:rPr>
                <w:rFonts w:ascii="Arial" w:cs="Arial" w:eastAsia="Arial" w:hAnsi="Arial"/>
                <w:sz w:val="18"/>
                <w:szCs w:val="18"/>
                <w:color w:val="auto"/>
              </w:rPr>
              <w:t>Takehara PVD Materials Plant / PVD Materials Division of MITSUI MINING &amp;</w:t>
            </w:r>
          </w:p>
        </w:tc>
        <w:tc>
          <w:tcPr>
            <w:tcW w:w="3060" w:type="dxa"/>
            <w:vAlign w:val="bottom"/>
            <w:vMerge w:val="restart"/>
            <w:shd w:val="clear" w:color="auto" w:fill="DBDBDB"/>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43"/>
        </w:trPr>
        <w:tc>
          <w:tcPr>
            <w:tcW w:w="1320" w:type="dxa"/>
            <w:vAlign w:val="bottom"/>
            <w:vMerge w:val="continue"/>
            <w:shd w:val="clear" w:color="auto" w:fill="DBDBDB"/>
          </w:tcPr>
          <w:p>
            <w:pPr>
              <w:spacing w:after="0"/>
              <w:rPr>
                <w:sz w:val="21"/>
                <w:szCs w:val="21"/>
                <w:color w:val="auto"/>
              </w:rPr>
            </w:pP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SMELTING CO., LTD.</w:t>
            </w:r>
          </w:p>
        </w:tc>
        <w:tc>
          <w:tcPr>
            <w:tcW w:w="30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Thaisarco</w:t>
            </w:r>
          </w:p>
        </w:tc>
        <w:tc>
          <w:tcPr>
            <w:tcW w:w="3060" w:type="dxa"/>
            <w:vAlign w:val="bottom"/>
          </w:tcPr>
          <w:p>
            <w:pPr>
              <w:ind w:left="10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Tin Smelting Branch of Yunnan Tin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White Solder Metalurgia e Mineracao Ltda.</w:t>
            </w:r>
          </w:p>
        </w:tc>
        <w:tc>
          <w:tcPr>
            <w:tcW w:w="3060" w:type="dxa"/>
            <w:vAlign w:val="bottom"/>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Woodcross Smelting Company Limited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Uganda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6860" w:type="dxa"/>
            <w:vAlign w:val="bottom"/>
          </w:tcPr>
          <w:p>
            <w:pPr>
              <w:ind w:left="560"/>
              <w:spacing w:after="0"/>
              <w:rPr>
                <w:sz w:val="20"/>
                <w:szCs w:val="20"/>
                <w:color w:val="auto"/>
              </w:rPr>
            </w:pPr>
            <w:r>
              <w:rPr>
                <w:rFonts w:ascii="Arial" w:cs="Arial" w:eastAsia="Arial" w:hAnsi="Arial"/>
                <w:sz w:val="18"/>
                <w:szCs w:val="18"/>
                <w:color w:val="auto"/>
              </w:rPr>
              <w:t>Yunnan Chengfeng Non-ferrous Metals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Yunnan Yunfan Non-ferrous Metals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A.L.M.T. Corp.</w:t>
            </w:r>
          </w:p>
        </w:tc>
        <w:tc>
          <w:tcPr>
            <w:tcW w:w="3060" w:type="dxa"/>
            <w:vAlign w:val="bottom"/>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Asia Tungsten Products Vietnam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Vietnam</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China Molybdenum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Chongyi Zhangyuan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Cronimet Brasil Ltda</w:t>
            </w:r>
          </w:p>
        </w:tc>
        <w:tc>
          <w:tcPr>
            <w:tcW w:w="3060" w:type="dxa"/>
            <w:vAlign w:val="bottom"/>
          </w:tcPr>
          <w:p>
            <w:pPr>
              <w:ind w:left="1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Fujian Xinlu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Ganzhou Haichuang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Ganzhou Jiangwu Ferrotungsten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Ganzhou Seadragon W &amp; Mo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Global Tungsten &amp; Powders LLC</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Guangdong Xianglu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H.C. Starck Tungsten GmbH*</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Hunan Chenzhou Mining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5"/>
        </w:trPr>
        <w:tc>
          <w:tcPr>
            <w:tcW w:w="132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line="176" w:lineRule="exact"/>
              <w:rPr>
                <w:sz w:val="20"/>
                <w:szCs w:val="20"/>
                <w:color w:val="auto"/>
              </w:rPr>
            </w:pPr>
            <w:r>
              <w:rPr>
                <w:rFonts w:ascii="Arial" w:cs="Arial" w:eastAsia="Arial" w:hAnsi="Arial"/>
                <w:sz w:val="18"/>
                <w:szCs w:val="18"/>
                <w:color w:val="auto"/>
              </w:rPr>
              <w:t>Hunan Shizhuyuan Nonferrous Metals Co., Ltd. Chenzhou Tungsten Products</w:t>
            </w:r>
          </w:p>
        </w:tc>
        <w:tc>
          <w:tcPr>
            <w:tcW w:w="3060" w:type="dxa"/>
            <w:vAlign w:val="bottom"/>
            <w:vMerge w:val="restart"/>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43"/>
        </w:trPr>
        <w:tc>
          <w:tcPr>
            <w:tcW w:w="1320" w:type="dxa"/>
            <w:vAlign w:val="bottom"/>
            <w:vMerge w:val="continue"/>
            <w:shd w:val="clear" w:color="auto" w:fill="DBDBDB"/>
          </w:tcPr>
          <w:p>
            <w:pPr>
              <w:spacing w:after="0"/>
              <w:rPr>
                <w:sz w:val="21"/>
                <w:szCs w:val="21"/>
                <w:color w:val="auto"/>
              </w:rPr>
            </w:pP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Branch</w:t>
            </w:r>
          </w:p>
        </w:tc>
        <w:tc>
          <w:tcPr>
            <w:tcW w:w="30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Japan New Metals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Jiangwu H.C. Starck Tungsten Products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Jiangxi Gan Bei Tungsten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Tonggu Non-ferrous Metallurgical &amp; Chemical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Jiangxi Xinsheng Tungsten Industry Co., Ltd.</w:t>
            </w:r>
          </w:p>
        </w:tc>
        <w:tc>
          <w:tcPr>
            <w:tcW w:w="3060" w:type="dxa"/>
            <w:vAlign w:val="bottom"/>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Yaosheng Tungsten Co., Ltd.</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tcPr>
          <w:p>
            <w:pPr>
              <w:ind w:left="560"/>
              <w:spacing w:after="0"/>
              <w:rPr>
                <w:sz w:val="20"/>
                <w:szCs w:val="20"/>
                <w:color w:val="auto"/>
              </w:rPr>
            </w:pPr>
            <w:r>
              <w:rPr>
                <w:rFonts w:ascii="Arial" w:cs="Arial" w:eastAsia="Arial" w:hAnsi="Arial"/>
                <w:sz w:val="18"/>
                <w:szCs w:val="18"/>
                <w:color w:val="auto"/>
              </w:rPr>
              <w:t>Kennametal Fallon</w:t>
            </w:r>
          </w:p>
        </w:tc>
        <w:tc>
          <w:tcPr>
            <w:tcW w:w="30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8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Kennametal Huntsville</w:t>
            </w:r>
          </w:p>
        </w:tc>
        <w:tc>
          <w:tcPr>
            <w:tcW w:w="30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Metal</w:t>
            </w:r>
          </w:p>
        </w:tc>
        <w:tc>
          <w:tcPr>
            <w:tcW w:w="53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456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Location</w:t>
            </w:r>
          </w:p>
        </w:tc>
      </w:tr>
      <w:tr>
        <w:trPr>
          <w:trHeight w:val="264"/>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60" w:type="dxa"/>
            <w:vAlign w:val="bottom"/>
          </w:tcPr>
          <w:p>
            <w:pPr>
              <w:ind w:left="560"/>
              <w:spacing w:after="0"/>
              <w:rPr>
                <w:sz w:val="20"/>
                <w:szCs w:val="20"/>
                <w:color w:val="auto"/>
              </w:rPr>
            </w:pPr>
            <w:r>
              <w:rPr>
                <w:rFonts w:ascii="Arial" w:cs="Arial" w:eastAsia="Arial" w:hAnsi="Arial"/>
                <w:sz w:val="18"/>
                <w:szCs w:val="18"/>
                <w:color w:val="auto"/>
              </w:rPr>
              <w:t>Malipo Haiyu Tungsten Co., Ltd.</w:t>
            </w:r>
          </w:p>
        </w:tc>
        <w:tc>
          <w:tcPr>
            <w:tcW w:w="4560" w:type="dxa"/>
            <w:vAlign w:val="bottom"/>
          </w:tcPr>
          <w:p>
            <w:pPr>
              <w:ind w:left="160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3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Masan High-Tech Materials</w:t>
            </w:r>
          </w:p>
        </w:tc>
        <w:tc>
          <w:tcPr>
            <w:tcW w:w="4560" w:type="dxa"/>
            <w:vAlign w:val="bottom"/>
            <w:shd w:val="clear" w:color="auto" w:fill="DBDBDB"/>
          </w:tcPr>
          <w:p>
            <w:pPr>
              <w:ind w:left="1600"/>
              <w:spacing w:after="0"/>
              <w:rPr>
                <w:sz w:val="20"/>
                <w:szCs w:val="20"/>
                <w:color w:val="auto"/>
              </w:rPr>
            </w:pPr>
            <w:r>
              <w:rPr>
                <w:rFonts w:ascii="Arial" w:cs="Arial" w:eastAsia="Arial" w:hAnsi="Arial"/>
                <w:sz w:val="18"/>
                <w:szCs w:val="18"/>
                <w:color w:val="auto"/>
              </w:rPr>
              <w:t>Vietnam</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60" w:type="dxa"/>
            <w:vAlign w:val="bottom"/>
          </w:tcPr>
          <w:p>
            <w:pPr>
              <w:ind w:left="560"/>
              <w:spacing w:after="0"/>
              <w:rPr>
                <w:sz w:val="20"/>
                <w:szCs w:val="20"/>
                <w:color w:val="auto"/>
              </w:rPr>
            </w:pPr>
            <w:r>
              <w:rPr>
                <w:rFonts w:ascii="Arial" w:cs="Arial" w:eastAsia="Arial" w:hAnsi="Arial"/>
                <w:sz w:val="18"/>
                <w:szCs w:val="18"/>
                <w:color w:val="auto"/>
              </w:rPr>
              <w:t>Niagara Refining LLC</w:t>
            </w:r>
          </w:p>
        </w:tc>
        <w:tc>
          <w:tcPr>
            <w:tcW w:w="4560" w:type="dxa"/>
            <w:vAlign w:val="bottom"/>
          </w:tcPr>
          <w:p>
            <w:pPr>
              <w:ind w:left="160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3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Philippine Chuangxin Industrial Co., Inc.</w:t>
            </w:r>
          </w:p>
        </w:tc>
        <w:tc>
          <w:tcPr>
            <w:tcW w:w="4560" w:type="dxa"/>
            <w:vAlign w:val="bottom"/>
            <w:shd w:val="clear" w:color="auto" w:fill="DBDBDB"/>
          </w:tcPr>
          <w:p>
            <w:pPr>
              <w:ind w:left="1600"/>
              <w:spacing w:after="0"/>
              <w:rPr>
                <w:sz w:val="20"/>
                <w:szCs w:val="20"/>
                <w:color w:val="auto"/>
              </w:rPr>
            </w:pPr>
            <w:r>
              <w:rPr>
                <w:rFonts w:ascii="Arial" w:cs="Arial" w:eastAsia="Arial" w:hAnsi="Arial"/>
                <w:sz w:val="18"/>
                <w:szCs w:val="18"/>
                <w:color w:val="auto"/>
              </w:rPr>
              <w:t>Philippines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60" w:type="dxa"/>
            <w:vAlign w:val="bottom"/>
          </w:tcPr>
          <w:p>
            <w:pPr>
              <w:ind w:left="560"/>
              <w:spacing w:after="0"/>
              <w:rPr>
                <w:sz w:val="20"/>
                <w:szCs w:val="20"/>
                <w:color w:val="auto"/>
              </w:rPr>
            </w:pPr>
            <w:r>
              <w:rPr>
                <w:rFonts w:ascii="Arial" w:cs="Arial" w:eastAsia="Arial" w:hAnsi="Arial"/>
                <w:sz w:val="18"/>
                <w:szCs w:val="18"/>
                <w:color w:val="auto"/>
              </w:rPr>
              <w:t>TANIOBIS Smelting GmbH &amp; Co. KG</w:t>
            </w:r>
          </w:p>
        </w:tc>
        <w:tc>
          <w:tcPr>
            <w:tcW w:w="4560" w:type="dxa"/>
            <w:vAlign w:val="bottom"/>
          </w:tcPr>
          <w:p>
            <w:pPr>
              <w:ind w:left="160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3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Wolfram Bergbau und Hutten AG</w:t>
            </w:r>
          </w:p>
        </w:tc>
        <w:tc>
          <w:tcPr>
            <w:tcW w:w="4560" w:type="dxa"/>
            <w:vAlign w:val="bottom"/>
            <w:shd w:val="clear" w:color="auto" w:fill="DBDBDB"/>
          </w:tcPr>
          <w:p>
            <w:pPr>
              <w:ind w:left="1600"/>
              <w:spacing w:after="0"/>
              <w:rPr>
                <w:sz w:val="20"/>
                <w:szCs w:val="20"/>
                <w:color w:val="auto"/>
              </w:rPr>
            </w:pPr>
            <w:r>
              <w:rPr>
                <w:rFonts w:ascii="Arial" w:cs="Arial" w:eastAsia="Arial" w:hAnsi="Arial"/>
                <w:sz w:val="18"/>
                <w:szCs w:val="18"/>
                <w:color w:val="auto"/>
              </w:rPr>
              <w:t>Austria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360" w:type="dxa"/>
            <w:vAlign w:val="bottom"/>
          </w:tcPr>
          <w:p>
            <w:pPr>
              <w:ind w:left="560"/>
              <w:spacing w:after="0"/>
              <w:rPr>
                <w:sz w:val="20"/>
                <w:szCs w:val="20"/>
                <w:color w:val="auto"/>
              </w:rPr>
            </w:pPr>
            <w:r>
              <w:rPr>
                <w:rFonts w:ascii="Arial" w:cs="Arial" w:eastAsia="Arial" w:hAnsi="Arial"/>
                <w:sz w:val="18"/>
                <w:szCs w:val="18"/>
                <w:color w:val="auto"/>
              </w:rPr>
              <w:t>Xiamen Tungsten (H.C.) Co., Ltd.</w:t>
            </w:r>
          </w:p>
        </w:tc>
        <w:tc>
          <w:tcPr>
            <w:tcW w:w="4560" w:type="dxa"/>
            <w:vAlign w:val="bottom"/>
          </w:tcPr>
          <w:p>
            <w:pPr>
              <w:ind w:left="160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36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Xiamen Tungsten Co., Ltd.</w:t>
            </w:r>
          </w:p>
        </w:tc>
        <w:tc>
          <w:tcPr>
            <w:tcW w:w="4560" w:type="dxa"/>
            <w:vAlign w:val="bottom"/>
            <w:shd w:val="clear" w:color="auto" w:fill="DBDBDB"/>
          </w:tcPr>
          <w:p>
            <w:pPr>
              <w:ind w:left="1600"/>
              <w:spacing w:after="0"/>
              <w:rPr>
                <w:sz w:val="20"/>
                <w:szCs w:val="20"/>
                <w:color w:val="auto"/>
              </w:rPr>
            </w:pPr>
            <w:r>
              <w:rPr>
                <w:rFonts w:ascii="Arial" w:cs="Arial" w:eastAsia="Arial" w:hAnsi="Arial"/>
                <w:sz w:val="18"/>
                <w:szCs w:val="18"/>
                <w:color w:val="auto"/>
              </w:rPr>
              <w:t>China</w:t>
            </w:r>
          </w:p>
        </w:tc>
      </w:tr>
    </w:tbl>
    <w:p>
      <w:pPr>
        <w:spacing w:after="0" w:line="319"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smelter/refiner was reported to be in our memory and storage products supply chain during 2024 and was subsequently determined,</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or prior to December 31, 2024, to be inoperative or removed. Up-to-date information on the validation status of smelters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refiners participating in the RMAP is available at responsiblemineralsinitiative.org/smelters-refiners-lists.</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smelter or refiner was listed as Active with RMI as of December 31, 2024.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A-6</w:t>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40"/>
          <w:szCs w:val="40"/>
          <w:b w:val="1"/>
          <w:bCs w:val="1"/>
          <w:color w:val="auto"/>
        </w:rPr>
        <w:t>Appendix B</w:t>
      </w:r>
    </w:p>
    <w:p>
      <w:pPr>
        <w:spacing w:after="0" w:line="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Aggregated Countries of Origin List</w:t>
      </w:r>
    </w:p>
    <w:p>
      <w:pPr>
        <w:spacing w:after="0" w:line="2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table sets forth an aggregated list of countries (or regions) of origin for 3TG metals that may be in our products based on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Albania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Ecuador</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Liechtenstein</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Saudi Arabia</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Algeria</w:t>
            </w:r>
          </w:p>
        </w:tc>
        <w:tc>
          <w:tcPr>
            <w:tcW w:w="2360" w:type="dxa"/>
            <w:vAlign w:val="bottom"/>
          </w:tcPr>
          <w:p>
            <w:pPr>
              <w:ind w:left="360"/>
              <w:spacing w:after="0"/>
              <w:rPr>
                <w:sz w:val="20"/>
                <w:szCs w:val="20"/>
                <w:color w:val="auto"/>
              </w:rPr>
            </w:pPr>
            <w:r>
              <w:rPr>
                <w:rFonts w:ascii="Arial" w:cs="Arial" w:eastAsia="Arial" w:hAnsi="Arial"/>
                <w:sz w:val="18"/>
                <w:szCs w:val="18"/>
                <w:color w:val="auto"/>
              </w:rPr>
              <w:t>Egypt</w:t>
            </w:r>
          </w:p>
        </w:tc>
        <w:tc>
          <w:tcPr>
            <w:tcW w:w="3400" w:type="dxa"/>
            <w:vAlign w:val="bottom"/>
          </w:tcPr>
          <w:p>
            <w:pPr>
              <w:ind w:left="800"/>
              <w:spacing w:after="0"/>
              <w:rPr>
                <w:sz w:val="20"/>
                <w:szCs w:val="20"/>
                <w:color w:val="auto"/>
              </w:rPr>
            </w:pPr>
            <w:r>
              <w:rPr>
                <w:rFonts w:ascii="Arial" w:cs="Arial" w:eastAsia="Arial" w:hAnsi="Arial"/>
                <w:sz w:val="18"/>
                <w:szCs w:val="18"/>
                <w:color w:val="auto"/>
              </w:rPr>
              <w:t>Lithuania</w:t>
            </w:r>
          </w:p>
        </w:tc>
        <w:tc>
          <w:tcPr>
            <w:tcW w:w="3000" w:type="dxa"/>
            <w:vAlign w:val="bottom"/>
          </w:tcPr>
          <w:p>
            <w:pPr>
              <w:ind w:left="220"/>
              <w:spacing w:after="0"/>
              <w:rPr>
                <w:sz w:val="20"/>
                <w:szCs w:val="20"/>
                <w:color w:val="auto"/>
              </w:rPr>
            </w:pPr>
            <w:r>
              <w:rPr>
                <w:rFonts w:ascii="Arial" w:cs="Arial" w:eastAsia="Arial" w:hAnsi="Arial"/>
                <w:sz w:val="18"/>
                <w:szCs w:val="18"/>
                <w:color w:val="auto"/>
              </w:rPr>
              <w:t>Senegal</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Andorra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El Salvador</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Luxembourg</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Serbia</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Antigua and Barbuda</w:t>
            </w:r>
          </w:p>
        </w:tc>
        <w:tc>
          <w:tcPr>
            <w:tcW w:w="2360" w:type="dxa"/>
            <w:vAlign w:val="bottom"/>
          </w:tcPr>
          <w:p>
            <w:pPr>
              <w:ind w:left="360"/>
              <w:spacing w:after="0"/>
              <w:rPr>
                <w:sz w:val="20"/>
                <w:szCs w:val="20"/>
                <w:color w:val="auto"/>
              </w:rPr>
            </w:pPr>
            <w:r>
              <w:rPr>
                <w:rFonts w:ascii="Arial" w:cs="Arial" w:eastAsia="Arial" w:hAnsi="Arial"/>
                <w:sz w:val="18"/>
                <w:szCs w:val="18"/>
                <w:color w:val="auto"/>
              </w:rPr>
              <w:t>Estonia</w:t>
            </w:r>
          </w:p>
        </w:tc>
        <w:tc>
          <w:tcPr>
            <w:tcW w:w="3400" w:type="dxa"/>
            <w:vAlign w:val="bottom"/>
          </w:tcPr>
          <w:p>
            <w:pPr>
              <w:ind w:left="800"/>
              <w:spacing w:after="0"/>
              <w:rPr>
                <w:sz w:val="20"/>
                <w:szCs w:val="20"/>
                <w:color w:val="auto"/>
              </w:rPr>
            </w:pPr>
            <w:r>
              <w:rPr>
                <w:rFonts w:ascii="Arial" w:cs="Arial" w:eastAsia="Arial" w:hAnsi="Arial"/>
                <w:sz w:val="18"/>
                <w:szCs w:val="18"/>
                <w:color w:val="auto"/>
              </w:rPr>
              <w:t>Macau</w:t>
            </w:r>
          </w:p>
        </w:tc>
        <w:tc>
          <w:tcPr>
            <w:tcW w:w="3000" w:type="dxa"/>
            <w:vAlign w:val="bottom"/>
          </w:tcPr>
          <w:p>
            <w:pPr>
              <w:ind w:left="220"/>
              <w:spacing w:after="0"/>
              <w:rPr>
                <w:sz w:val="20"/>
                <w:szCs w:val="20"/>
                <w:color w:val="auto"/>
              </w:rPr>
            </w:pPr>
            <w:r>
              <w:rPr>
                <w:rFonts w:ascii="Arial" w:cs="Arial" w:eastAsia="Arial" w:hAnsi="Arial"/>
                <w:sz w:val="18"/>
                <w:szCs w:val="18"/>
                <w:color w:val="auto"/>
              </w:rPr>
              <w:t>Sierra Leone</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Argentina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Eswatini</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Madagascar</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Singapore</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360" w:type="dxa"/>
            <w:vAlign w:val="bottom"/>
          </w:tcPr>
          <w:p>
            <w:pPr>
              <w:ind w:left="360"/>
              <w:spacing w:after="0"/>
              <w:rPr>
                <w:sz w:val="20"/>
                <w:szCs w:val="20"/>
                <w:color w:val="auto"/>
              </w:rPr>
            </w:pPr>
            <w:r>
              <w:rPr>
                <w:rFonts w:ascii="Arial" w:cs="Arial" w:eastAsia="Arial" w:hAnsi="Arial"/>
                <w:sz w:val="18"/>
                <w:szCs w:val="18"/>
                <w:color w:val="auto"/>
              </w:rPr>
              <w:t>Ethiopia</w:t>
            </w:r>
          </w:p>
        </w:tc>
        <w:tc>
          <w:tcPr>
            <w:tcW w:w="3400" w:type="dxa"/>
            <w:vAlign w:val="bottom"/>
          </w:tcPr>
          <w:p>
            <w:pPr>
              <w:ind w:left="800"/>
              <w:spacing w:after="0"/>
              <w:rPr>
                <w:sz w:val="20"/>
                <w:szCs w:val="20"/>
                <w:color w:val="auto"/>
              </w:rPr>
            </w:pPr>
            <w:r>
              <w:rPr>
                <w:rFonts w:ascii="Arial" w:cs="Arial" w:eastAsia="Arial" w:hAnsi="Arial"/>
                <w:sz w:val="18"/>
                <w:szCs w:val="18"/>
                <w:color w:val="auto"/>
              </w:rPr>
              <w:t>Malaysia</w:t>
            </w:r>
          </w:p>
        </w:tc>
        <w:tc>
          <w:tcPr>
            <w:tcW w:w="3000" w:type="dxa"/>
            <w:vAlign w:val="bottom"/>
          </w:tcPr>
          <w:p>
            <w:pPr>
              <w:ind w:left="220"/>
              <w:spacing w:after="0"/>
              <w:rPr>
                <w:sz w:val="20"/>
                <w:szCs w:val="20"/>
                <w:color w:val="auto"/>
              </w:rPr>
            </w:pPr>
            <w:r>
              <w:rPr>
                <w:rFonts w:ascii="Arial" w:cs="Arial" w:eastAsia="Arial" w:hAnsi="Arial"/>
                <w:sz w:val="18"/>
                <w:szCs w:val="18"/>
                <w:color w:val="auto"/>
              </w:rPr>
              <w:t>Sint Maarten</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Austria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Finland</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Mali</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Slovakia</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Azerbaijan</w:t>
            </w:r>
          </w:p>
        </w:tc>
        <w:tc>
          <w:tcPr>
            <w:tcW w:w="2360" w:type="dxa"/>
            <w:vAlign w:val="bottom"/>
          </w:tcPr>
          <w:p>
            <w:pPr>
              <w:ind w:left="360"/>
              <w:spacing w:after="0"/>
              <w:rPr>
                <w:sz w:val="20"/>
                <w:szCs w:val="20"/>
                <w:color w:val="auto"/>
              </w:rPr>
            </w:pPr>
            <w:r>
              <w:rPr>
                <w:rFonts w:ascii="Arial" w:cs="Arial" w:eastAsia="Arial" w:hAnsi="Arial"/>
                <w:sz w:val="18"/>
                <w:szCs w:val="18"/>
                <w:color w:val="auto"/>
              </w:rPr>
              <w:t>France</w:t>
            </w:r>
          </w:p>
        </w:tc>
        <w:tc>
          <w:tcPr>
            <w:tcW w:w="3400" w:type="dxa"/>
            <w:vAlign w:val="bottom"/>
          </w:tcPr>
          <w:p>
            <w:pPr>
              <w:ind w:left="800"/>
              <w:spacing w:after="0"/>
              <w:rPr>
                <w:sz w:val="20"/>
                <w:szCs w:val="20"/>
                <w:color w:val="auto"/>
              </w:rPr>
            </w:pPr>
            <w:r>
              <w:rPr>
                <w:rFonts w:ascii="Arial" w:cs="Arial" w:eastAsia="Arial" w:hAnsi="Arial"/>
                <w:sz w:val="18"/>
                <w:szCs w:val="18"/>
                <w:color w:val="auto"/>
              </w:rPr>
              <w:t>Malta</w:t>
            </w:r>
          </w:p>
        </w:tc>
        <w:tc>
          <w:tcPr>
            <w:tcW w:w="3000" w:type="dxa"/>
            <w:vAlign w:val="bottom"/>
          </w:tcPr>
          <w:p>
            <w:pPr>
              <w:ind w:left="220"/>
              <w:spacing w:after="0"/>
              <w:rPr>
                <w:sz w:val="20"/>
                <w:szCs w:val="20"/>
                <w:color w:val="auto"/>
              </w:rPr>
            </w:pPr>
            <w:r>
              <w:rPr>
                <w:rFonts w:ascii="Arial" w:cs="Arial" w:eastAsia="Arial" w:hAnsi="Arial"/>
                <w:sz w:val="18"/>
                <w:szCs w:val="18"/>
                <w:color w:val="auto"/>
              </w:rPr>
              <w:t>Slovenia</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Bahamas</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French Guiana</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Mauritania</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South Africa</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Barbados</w:t>
            </w:r>
          </w:p>
        </w:tc>
        <w:tc>
          <w:tcPr>
            <w:tcW w:w="2360" w:type="dxa"/>
            <w:vAlign w:val="bottom"/>
          </w:tcPr>
          <w:p>
            <w:pPr>
              <w:ind w:left="360"/>
              <w:spacing w:after="0"/>
              <w:rPr>
                <w:sz w:val="20"/>
                <w:szCs w:val="20"/>
                <w:color w:val="auto"/>
              </w:rPr>
            </w:pPr>
            <w:r>
              <w:rPr>
                <w:rFonts w:ascii="Arial" w:cs="Arial" w:eastAsia="Arial" w:hAnsi="Arial"/>
                <w:sz w:val="18"/>
                <w:szCs w:val="18"/>
                <w:color w:val="auto"/>
              </w:rPr>
              <w:t>Georgia</w:t>
            </w:r>
          </w:p>
        </w:tc>
        <w:tc>
          <w:tcPr>
            <w:tcW w:w="3400" w:type="dxa"/>
            <w:vAlign w:val="bottom"/>
          </w:tcPr>
          <w:p>
            <w:pPr>
              <w:ind w:left="800"/>
              <w:spacing w:after="0"/>
              <w:rPr>
                <w:sz w:val="20"/>
                <w:szCs w:val="20"/>
                <w:color w:val="auto"/>
              </w:rPr>
            </w:pPr>
            <w:r>
              <w:rPr>
                <w:rFonts w:ascii="Arial" w:cs="Arial" w:eastAsia="Arial" w:hAnsi="Arial"/>
                <w:sz w:val="18"/>
                <w:szCs w:val="18"/>
                <w:color w:val="auto"/>
              </w:rPr>
              <w:t>Mexico</w:t>
            </w:r>
          </w:p>
        </w:tc>
        <w:tc>
          <w:tcPr>
            <w:tcW w:w="3000" w:type="dxa"/>
            <w:vAlign w:val="bottom"/>
          </w:tcPr>
          <w:p>
            <w:pPr>
              <w:ind w:left="220"/>
              <w:spacing w:after="0"/>
              <w:rPr>
                <w:sz w:val="20"/>
                <w:szCs w:val="20"/>
                <w:color w:val="auto"/>
              </w:rPr>
            </w:pPr>
            <w:r>
              <w:rPr>
                <w:rFonts w:ascii="Arial" w:cs="Arial" w:eastAsia="Arial" w:hAnsi="Arial"/>
                <w:sz w:val="18"/>
                <w:szCs w:val="18"/>
                <w:color w:val="auto"/>
              </w:rPr>
              <w:t>South Korea</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Belarus</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Germany</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Mongolia</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Spain</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Belgium</w:t>
            </w:r>
          </w:p>
        </w:tc>
        <w:tc>
          <w:tcPr>
            <w:tcW w:w="2360" w:type="dxa"/>
            <w:vAlign w:val="bottom"/>
          </w:tcPr>
          <w:p>
            <w:pPr>
              <w:ind w:left="360"/>
              <w:spacing w:after="0"/>
              <w:rPr>
                <w:sz w:val="20"/>
                <w:szCs w:val="20"/>
                <w:color w:val="auto"/>
              </w:rPr>
            </w:pPr>
            <w:r>
              <w:rPr>
                <w:rFonts w:ascii="Arial" w:cs="Arial" w:eastAsia="Arial" w:hAnsi="Arial"/>
                <w:sz w:val="18"/>
                <w:szCs w:val="18"/>
                <w:color w:val="auto"/>
              </w:rPr>
              <w:t>Ghana</w:t>
            </w:r>
          </w:p>
        </w:tc>
        <w:tc>
          <w:tcPr>
            <w:tcW w:w="3400" w:type="dxa"/>
            <w:vAlign w:val="bottom"/>
          </w:tcPr>
          <w:p>
            <w:pPr>
              <w:ind w:left="800"/>
              <w:spacing w:after="0"/>
              <w:rPr>
                <w:sz w:val="20"/>
                <w:szCs w:val="20"/>
                <w:color w:val="auto"/>
              </w:rPr>
            </w:pPr>
            <w:r>
              <w:rPr>
                <w:rFonts w:ascii="Arial" w:cs="Arial" w:eastAsia="Arial" w:hAnsi="Arial"/>
                <w:sz w:val="18"/>
                <w:szCs w:val="18"/>
                <w:color w:val="auto"/>
              </w:rPr>
              <w:t>Morocco</w:t>
            </w:r>
          </w:p>
        </w:tc>
        <w:tc>
          <w:tcPr>
            <w:tcW w:w="3000" w:type="dxa"/>
            <w:vAlign w:val="bottom"/>
          </w:tcPr>
          <w:p>
            <w:pPr>
              <w:ind w:left="220"/>
              <w:spacing w:after="0"/>
              <w:rPr>
                <w:sz w:val="20"/>
                <w:szCs w:val="20"/>
                <w:color w:val="auto"/>
              </w:rPr>
            </w:pPr>
            <w:r>
              <w:rPr>
                <w:rFonts w:ascii="Arial" w:cs="Arial" w:eastAsia="Arial" w:hAnsi="Arial"/>
                <w:sz w:val="18"/>
                <w:szCs w:val="18"/>
                <w:color w:val="auto"/>
              </w:rPr>
              <w:t>Sri Lanka</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Benin</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Greece</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Mozambique</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Sudan</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Bolivia</w:t>
            </w:r>
          </w:p>
        </w:tc>
        <w:tc>
          <w:tcPr>
            <w:tcW w:w="2360" w:type="dxa"/>
            <w:vAlign w:val="bottom"/>
          </w:tcPr>
          <w:p>
            <w:pPr>
              <w:ind w:left="360"/>
              <w:spacing w:after="0"/>
              <w:rPr>
                <w:sz w:val="20"/>
                <w:szCs w:val="20"/>
                <w:color w:val="auto"/>
              </w:rPr>
            </w:pPr>
            <w:r>
              <w:rPr>
                <w:rFonts w:ascii="Arial" w:cs="Arial" w:eastAsia="Arial" w:hAnsi="Arial"/>
                <w:sz w:val="18"/>
                <w:szCs w:val="18"/>
                <w:color w:val="auto"/>
              </w:rPr>
              <w:t>Grenada</w:t>
            </w:r>
          </w:p>
        </w:tc>
        <w:tc>
          <w:tcPr>
            <w:tcW w:w="3400" w:type="dxa"/>
            <w:vAlign w:val="bottom"/>
          </w:tcPr>
          <w:p>
            <w:pPr>
              <w:ind w:left="800"/>
              <w:spacing w:after="0"/>
              <w:rPr>
                <w:sz w:val="20"/>
                <w:szCs w:val="20"/>
                <w:color w:val="auto"/>
              </w:rPr>
            </w:pPr>
            <w:r>
              <w:rPr>
                <w:rFonts w:ascii="Arial" w:cs="Arial" w:eastAsia="Arial" w:hAnsi="Arial"/>
                <w:sz w:val="18"/>
                <w:szCs w:val="18"/>
                <w:color w:val="auto"/>
              </w:rPr>
              <w:t>Myanmar</w:t>
            </w:r>
          </w:p>
        </w:tc>
        <w:tc>
          <w:tcPr>
            <w:tcW w:w="3000" w:type="dxa"/>
            <w:vAlign w:val="bottom"/>
          </w:tcPr>
          <w:p>
            <w:pPr>
              <w:ind w:left="220"/>
              <w:spacing w:after="0"/>
              <w:rPr>
                <w:sz w:val="20"/>
                <w:szCs w:val="20"/>
                <w:color w:val="auto"/>
              </w:rPr>
            </w:pPr>
            <w:r>
              <w:rPr>
                <w:rFonts w:ascii="Arial" w:cs="Arial" w:eastAsia="Arial" w:hAnsi="Arial"/>
                <w:sz w:val="18"/>
                <w:szCs w:val="18"/>
                <w:color w:val="auto"/>
              </w:rPr>
              <w:t>Suriname</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Bosnia and Herzegovina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Guatemala</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Namibia</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Sweden</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Botswana</w:t>
            </w:r>
          </w:p>
        </w:tc>
        <w:tc>
          <w:tcPr>
            <w:tcW w:w="2360" w:type="dxa"/>
            <w:vAlign w:val="bottom"/>
          </w:tcPr>
          <w:p>
            <w:pPr>
              <w:ind w:left="360"/>
              <w:spacing w:after="0"/>
              <w:rPr>
                <w:sz w:val="20"/>
                <w:szCs w:val="20"/>
                <w:color w:val="auto"/>
              </w:rPr>
            </w:pPr>
            <w:r>
              <w:rPr>
                <w:rFonts w:ascii="Arial" w:cs="Arial" w:eastAsia="Arial" w:hAnsi="Arial"/>
                <w:sz w:val="18"/>
                <w:szCs w:val="18"/>
                <w:color w:val="auto"/>
              </w:rPr>
              <w:t>Guinea</w:t>
            </w:r>
          </w:p>
        </w:tc>
        <w:tc>
          <w:tcPr>
            <w:tcW w:w="3400" w:type="dxa"/>
            <w:vAlign w:val="bottom"/>
          </w:tcPr>
          <w:p>
            <w:pPr>
              <w:ind w:left="800"/>
              <w:spacing w:after="0"/>
              <w:rPr>
                <w:sz w:val="20"/>
                <w:szCs w:val="20"/>
                <w:color w:val="auto"/>
              </w:rPr>
            </w:pPr>
            <w:r>
              <w:rPr>
                <w:rFonts w:ascii="Arial" w:cs="Arial" w:eastAsia="Arial" w:hAnsi="Arial"/>
                <w:sz w:val="18"/>
                <w:szCs w:val="18"/>
                <w:color w:val="auto"/>
              </w:rPr>
              <w:t>Netherlands</w:t>
            </w:r>
          </w:p>
        </w:tc>
        <w:tc>
          <w:tcPr>
            <w:tcW w:w="3000" w:type="dxa"/>
            <w:vAlign w:val="bottom"/>
          </w:tcPr>
          <w:p>
            <w:pPr>
              <w:ind w:left="220"/>
              <w:spacing w:after="0"/>
              <w:rPr>
                <w:sz w:val="20"/>
                <w:szCs w:val="20"/>
                <w:color w:val="auto"/>
              </w:rPr>
            </w:pPr>
            <w:r>
              <w:rPr>
                <w:rFonts w:ascii="Arial" w:cs="Arial" w:eastAsia="Arial" w:hAnsi="Arial"/>
                <w:sz w:val="18"/>
                <w:szCs w:val="18"/>
                <w:color w:val="auto"/>
              </w:rPr>
              <w:t>Switzerland</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Brazil</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Guyana</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New Zealand</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Tajikistan</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Bulgaria</w:t>
            </w:r>
          </w:p>
        </w:tc>
        <w:tc>
          <w:tcPr>
            <w:tcW w:w="2360" w:type="dxa"/>
            <w:vAlign w:val="bottom"/>
          </w:tcPr>
          <w:p>
            <w:pPr>
              <w:ind w:left="360"/>
              <w:spacing w:after="0"/>
              <w:rPr>
                <w:sz w:val="20"/>
                <w:szCs w:val="20"/>
                <w:color w:val="auto"/>
              </w:rPr>
            </w:pPr>
            <w:r>
              <w:rPr>
                <w:rFonts w:ascii="Arial" w:cs="Arial" w:eastAsia="Arial" w:hAnsi="Arial"/>
                <w:sz w:val="18"/>
                <w:szCs w:val="18"/>
                <w:color w:val="auto"/>
              </w:rPr>
              <w:t>Honduras</w:t>
            </w:r>
          </w:p>
        </w:tc>
        <w:tc>
          <w:tcPr>
            <w:tcW w:w="3400" w:type="dxa"/>
            <w:vAlign w:val="bottom"/>
          </w:tcPr>
          <w:p>
            <w:pPr>
              <w:ind w:left="800"/>
              <w:spacing w:after="0"/>
              <w:rPr>
                <w:sz w:val="20"/>
                <w:szCs w:val="20"/>
                <w:color w:val="auto"/>
              </w:rPr>
            </w:pPr>
            <w:r>
              <w:rPr>
                <w:rFonts w:ascii="Arial" w:cs="Arial" w:eastAsia="Arial" w:hAnsi="Arial"/>
                <w:sz w:val="18"/>
                <w:szCs w:val="18"/>
                <w:color w:val="auto"/>
              </w:rPr>
              <w:t>Nicaragua</w:t>
            </w:r>
          </w:p>
        </w:tc>
        <w:tc>
          <w:tcPr>
            <w:tcW w:w="3000" w:type="dxa"/>
            <w:vAlign w:val="bottom"/>
          </w:tcPr>
          <w:p>
            <w:pPr>
              <w:ind w:left="220"/>
              <w:spacing w:after="0"/>
              <w:rPr>
                <w:sz w:val="20"/>
                <w:szCs w:val="20"/>
                <w:color w:val="auto"/>
              </w:rPr>
            </w:pPr>
            <w:r>
              <w:rPr>
                <w:rFonts w:ascii="Arial" w:cs="Arial" w:eastAsia="Arial" w:hAnsi="Arial"/>
                <w:sz w:val="18"/>
                <w:szCs w:val="18"/>
                <w:color w:val="auto"/>
              </w:rPr>
              <w:t>Tanzania</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Burkina Faso</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Hong Kong</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Niger</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Thailand</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Burundi</w:t>
            </w:r>
          </w:p>
        </w:tc>
        <w:tc>
          <w:tcPr>
            <w:tcW w:w="2360" w:type="dxa"/>
            <w:vAlign w:val="bottom"/>
          </w:tcPr>
          <w:p>
            <w:pPr>
              <w:ind w:left="360"/>
              <w:spacing w:after="0"/>
              <w:rPr>
                <w:sz w:val="20"/>
                <w:szCs w:val="20"/>
                <w:color w:val="auto"/>
              </w:rPr>
            </w:pPr>
            <w:r>
              <w:rPr>
                <w:rFonts w:ascii="Arial" w:cs="Arial" w:eastAsia="Arial" w:hAnsi="Arial"/>
                <w:sz w:val="18"/>
                <w:szCs w:val="18"/>
                <w:color w:val="auto"/>
              </w:rPr>
              <w:t>Hungary</w:t>
            </w:r>
          </w:p>
        </w:tc>
        <w:tc>
          <w:tcPr>
            <w:tcW w:w="3400" w:type="dxa"/>
            <w:vAlign w:val="bottom"/>
          </w:tcPr>
          <w:p>
            <w:pPr>
              <w:ind w:left="800"/>
              <w:spacing w:after="0"/>
              <w:rPr>
                <w:sz w:val="20"/>
                <w:szCs w:val="20"/>
                <w:color w:val="auto"/>
              </w:rPr>
            </w:pPr>
            <w:r>
              <w:rPr>
                <w:rFonts w:ascii="Arial" w:cs="Arial" w:eastAsia="Arial" w:hAnsi="Arial"/>
                <w:sz w:val="18"/>
                <w:szCs w:val="18"/>
                <w:color w:val="auto"/>
              </w:rPr>
              <w:t>Nigeria</w:t>
            </w:r>
          </w:p>
        </w:tc>
        <w:tc>
          <w:tcPr>
            <w:tcW w:w="3000" w:type="dxa"/>
            <w:vAlign w:val="bottom"/>
          </w:tcPr>
          <w:p>
            <w:pPr>
              <w:ind w:left="220"/>
              <w:spacing w:after="0"/>
              <w:rPr>
                <w:sz w:val="20"/>
                <w:szCs w:val="20"/>
                <w:color w:val="auto"/>
              </w:rPr>
            </w:pPr>
            <w:r>
              <w:rPr>
                <w:rFonts w:ascii="Arial" w:cs="Arial" w:eastAsia="Arial" w:hAnsi="Arial"/>
                <w:sz w:val="18"/>
                <w:szCs w:val="18"/>
                <w:color w:val="auto"/>
              </w:rPr>
              <w:t>Togo</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Cameroon</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Iceland</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North Macedonia</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Trinidad and Tobago</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Canada</w:t>
            </w:r>
          </w:p>
        </w:tc>
        <w:tc>
          <w:tcPr>
            <w:tcW w:w="2360" w:type="dxa"/>
            <w:vAlign w:val="bottom"/>
          </w:tcPr>
          <w:p>
            <w:pPr>
              <w:ind w:left="360"/>
              <w:spacing w:after="0"/>
              <w:rPr>
                <w:sz w:val="20"/>
                <w:szCs w:val="20"/>
                <w:color w:val="auto"/>
              </w:rPr>
            </w:pPr>
            <w:r>
              <w:rPr>
                <w:rFonts w:ascii="Arial" w:cs="Arial" w:eastAsia="Arial" w:hAnsi="Arial"/>
                <w:sz w:val="18"/>
                <w:szCs w:val="18"/>
                <w:color w:val="auto"/>
              </w:rPr>
              <w:t>India</w:t>
            </w:r>
          </w:p>
        </w:tc>
        <w:tc>
          <w:tcPr>
            <w:tcW w:w="3400" w:type="dxa"/>
            <w:vAlign w:val="bottom"/>
          </w:tcPr>
          <w:p>
            <w:pPr>
              <w:ind w:left="800"/>
              <w:spacing w:after="0"/>
              <w:rPr>
                <w:sz w:val="20"/>
                <w:szCs w:val="20"/>
                <w:color w:val="auto"/>
              </w:rPr>
            </w:pPr>
            <w:r>
              <w:rPr>
                <w:rFonts w:ascii="Arial" w:cs="Arial" w:eastAsia="Arial" w:hAnsi="Arial"/>
                <w:sz w:val="18"/>
                <w:szCs w:val="18"/>
                <w:color w:val="auto"/>
              </w:rPr>
              <w:t>Norway</w:t>
            </w:r>
          </w:p>
        </w:tc>
        <w:tc>
          <w:tcPr>
            <w:tcW w:w="3000" w:type="dxa"/>
            <w:vAlign w:val="bottom"/>
          </w:tcPr>
          <w:p>
            <w:pPr>
              <w:ind w:left="220"/>
              <w:spacing w:after="0"/>
              <w:rPr>
                <w:sz w:val="20"/>
                <w:szCs w:val="20"/>
                <w:color w:val="auto"/>
              </w:rPr>
            </w:pPr>
            <w:r>
              <w:rPr>
                <w:rFonts w:ascii="Arial" w:cs="Arial" w:eastAsia="Arial" w:hAnsi="Arial"/>
                <w:sz w:val="18"/>
                <w:szCs w:val="18"/>
                <w:color w:val="auto"/>
              </w:rPr>
              <w:t>Tunisia</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Chile</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Indonesia</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Oman</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Turkey</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China</w:t>
            </w:r>
          </w:p>
        </w:tc>
        <w:tc>
          <w:tcPr>
            <w:tcW w:w="2360" w:type="dxa"/>
            <w:vAlign w:val="bottom"/>
          </w:tcPr>
          <w:p>
            <w:pPr>
              <w:ind w:left="360"/>
              <w:spacing w:after="0"/>
              <w:rPr>
                <w:sz w:val="20"/>
                <w:szCs w:val="20"/>
                <w:color w:val="auto"/>
              </w:rPr>
            </w:pPr>
            <w:r>
              <w:rPr>
                <w:rFonts w:ascii="Arial" w:cs="Arial" w:eastAsia="Arial" w:hAnsi="Arial"/>
                <w:sz w:val="18"/>
                <w:szCs w:val="18"/>
                <w:color w:val="auto"/>
              </w:rPr>
              <w:t>Ireland</w:t>
            </w:r>
          </w:p>
        </w:tc>
        <w:tc>
          <w:tcPr>
            <w:tcW w:w="3400" w:type="dxa"/>
            <w:vAlign w:val="bottom"/>
          </w:tcPr>
          <w:p>
            <w:pPr>
              <w:ind w:left="800"/>
              <w:spacing w:after="0"/>
              <w:rPr>
                <w:sz w:val="20"/>
                <w:szCs w:val="20"/>
                <w:color w:val="auto"/>
              </w:rPr>
            </w:pPr>
            <w:r>
              <w:rPr>
                <w:rFonts w:ascii="Arial" w:cs="Arial" w:eastAsia="Arial" w:hAnsi="Arial"/>
                <w:sz w:val="18"/>
                <w:szCs w:val="18"/>
                <w:color w:val="auto"/>
              </w:rPr>
              <w:t>Pakistan</w:t>
            </w:r>
          </w:p>
        </w:tc>
        <w:tc>
          <w:tcPr>
            <w:tcW w:w="3000" w:type="dxa"/>
            <w:vAlign w:val="bottom"/>
          </w:tcPr>
          <w:p>
            <w:pPr>
              <w:ind w:left="220"/>
              <w:spacing w:after="0"/>
              <w:rPr>
                <w:sz w:val="20"/>
                <w:szCs w:val="20"/>
                <w:color w:val="auto"/>
              </w:rPr>
            </w:pPr>
            <w:r>
              <w:rPr>
                <w:rFonts w:ascii="Arial" w:cs="Arial" w:eastAsia="Arial" w:hAnsi="Arial"/>
                <w:sz w:val="18"/>
                <w:szCs w:val="18"/>
                <w:color w:val="auto"/>
              </w:rPr>
              <w:t>Uganda</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Chinese Taipei (Taiwan)</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Israel</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Panama</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Ukraine</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Colombia</w:t>
            </w:r>
          </w:p>
        </w:tc>
        <w:tc>
          <w:tcPr>
            <w:tcW w:w="2360" w:type="dxa"/>
            <w:vAlign w:val="bottom"/>
          </w:tcPr>
          <w:p>
            <w:pPr>
              <w:ind w:left="360"/>
              <w:spacing w:after="0"/>
              <w:rPr>
                <w:sz w:val="20"/>
                <w:szCs w:val="20"/>
                <w:color w:val="auto"/>
              </w:rPr>
            </w:pPr>
            <w:r>
              <w:rPr>
                <w:rFonts w:ascii="Arial" w:cs="Arial" w:eastAsia="Arial" w:hAnsi="Arial"/>
                <w:sz w:val="18"/>
                <w:szCs w:val="18"/>
                <w:color w:val="auto"/>
              </w:rPr>
              <w:t>Italy</w:t>
            </w:r>
          </w:p>
        </w:tc>
        <w:tc>
          <w:tcPr>
            <w:tcW w:w="3400" w:type="dxa"/>
            <w:vAlign w:val="bottom"/>
          </w:tcPr>
          <w:p>
            <w:pPr>
              <w:ind w:left="800"/>
              <w:spacing w:after="0"/>
              <w:rPr>
                <w:sz w:val="20"/>
                <w:szCs w:val="20"/>
                <w:color w:val="auto"/>
              </w:rPr>
            </w:pPr>
            <w:r>
              <w:rPr>
                <w:rFonts w:ascii="Arial" w:cs="Arial" w:eastAsia="Arial" w:hAnsi="Arial"/>
                <w:sz w:val="18"/>
                <w:szCs w:val="18"/>
                <w:color w:val="auto"/>
              </w:rPr>
              <w:t>Papua New Guinea</w:t>
            </w:r>
          </w:p>
        </w:tc>
        <w:tc>
          <w:tcPr>
            <w:tcW w:w="3000" w:type="dxa"/>
            <w:vAlign w:val="bottom"/>
          </w:tcPr>
          <w:p>
            <w:pPr>
              <w:ind w:left="220"/>
              <w:spacing w:after="0"/>
              <w:rPr>
                <w:sz w:val="20"/>
                <w:szCs w:val="20"/>
                <w:color w:val="auto"/>
              </w:rPr>
            </w:pPr>
            <w:r>
              <w:rPr>
                <w:rFonts w:ascii="Arial" w:cs="Arial" w:eastAsia="Arial" w:hAnsi="Arial"/>
                <w:sz w:val="18"/>
                <w:szCs w:val="18"/>
                <w:color w:val="auto"/>
              </w:rPr>
              <w:t>United Arab Emirates</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Costa Rica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Jamaica</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Peru</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United Kingdom</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Côte d'Ivoire</w:t>
            </w:r>
          </w:p>
        </w:tc>
        <w:tc>
          <w:tcPr>
            <w:tcW w:w="2360" w:type="dxa"/>
            <w:vAlign w:val="bottom"/>
          </w:tcPr>
          <w:p>
            <w:pPr>
              <w:ind w:left="360"/>
              <w:spacing w:after="0"/>
              <w:rPr>
                <w:sz w:val="20"/>
                <w:szCs w:val="20"/>
                <w:color w:val="auto"/>
              </w:rPr>
            </w:pPr>
            <w:r>
              <w:rPr>
                <w:rFonts w:ascii="Arial" w:cs="Arial" w:eastAsia="Arial" w:hAnsi="Arial"/>
                <w:sz w:val="18"/>
                <w:szCs w:val="18"/>
                <w:color w:val="auto"/>
              </w:rPr>
              <w:t>Japan</w:t>
            </w:r>
          </w:p>
        </w:tc>
        <w:tc>
          <w:tcPr>
            <w:tcW w:w="3400" w:type="dxa"/>
            <w:vAlign w:val="bottom"/>
          </w:tcPr>
          <w:p>
            <w:pPr>
              <w:ind w:left="800"/>
              <w:spacing w:after="0"/>
              <w:rPr>
                <w:sz w:val="20"/>
                <w:szCs w:val="20"/>
                <w:color w:val="auto"/>
              </w:rPr>
            </w:pPr>
            <w:r>
              <w:rPr>
                <w:rFonts w:ascii="Arial" w:cs="Arial" w:eastAsia="Arial" w:hAnsi="Arial"/>
                <w:sz w:val="18"/>
                <w:szCs w:val="18"/>
                <w:color w:val="auto"/>
              </w:rPr>
              <w:t>Philippines</w:t>
            </w:r>
          </w:p>
        </w:tc>
        <w:tc>
          <w:tcPr>
            <w:tcW w:w="3000" w:type="dxa"/>
            <w:vAlign w:val="bottom"/>
          </w:tcPr>
          <w:p>
            <w:pPr>
              <w:ind w:left="220"/>
              <w:spacing w:after="0"/>
              <w:rPr>
                <w:sz w:val="20"/>
                <w:szCs w:val="20"/>
                <w:color w:val="auto"/>
              </w:rPr>
            </w:pPr>
            <w:r>
              <w:rPr>
                <w:rFonts w:ascii="Arial" w:cs="Arial" w:eastAsia="Arial" w:hAnsi="Arial"/>
                <w:sz w:val="18"/>
                <w:szCs w:val="18"/>
                <w:color w:val="auto"/>
              </w:rPr>
              <w:t>United States</w:t>
            </w:r>
          </w:p>
        </w:tc>
      </w:tr>
      <w:tr>
        <w:trPr>
          <w:trHeight w:val="229"/>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Croatia</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Jordan</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Poland</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Uruguay</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Curacao</w:t>
            </w:r>
          </w:p>
        </w:tc>
        <w:tc>
          <w:tcPr>
            <w:tcW w:w="2360" w:type="dxa"/>
            <w:vAlign w:val="bottom"/>
          </w:tcPr>
          <w:p>
            <w:pPr>
              <w:ind w:left="360"/>
              <w:spacing w:after="0"/>
              <w:rPr>
                <w:sz w:val="20"/>
                <w:szCs w:val="20"/>
                <w:color w:val="auto"/>
              </w:rPr>
            </w:pPr>
            <w:r>
              <w:rPr>
                <w:rFonts w:ascii="Arial" w:cs="Arial" w:eastAsia="Arial" w:hAnsi="Arial"/>
                <w:sz w:val="18"/>
                <w:szCs w:val="18"/>
                <w:color w:val="auto"/>
              </w:rPr>
              <w:t>Kazakhstan</w:t>
            </w:r>
          </w:p>
        </w:tc>
        <w:tc>
          <w:tcPr>
            <w:tcW w:w="3400" w:type="dxa"/>
            <w:vAlign w:val="bottom"/>
          </w:tcPr>
          <w:p>
            <w:pPr>
              <w:ind w:left="800"/>
              <w:spacing w:after="0"/>
              <w:rPr>
                <w:sz w:val="20"/>
                <w:szCs w:val="20"/>
                <w:color w:val="auto"/>
              </w:rPr>
            </w:pPr>
            <w:r>
              <w:rPr>
                <w:rFonts w:ascii="Arial" w:cs="Arial" w:eastAsia="Arial" w:hAnsi="Arial"/>
                <w:sz w:val="18"/>
                <w:szCs w:val="18"/>
                <w:color w:val="auto"/>
              </w:rPr>
              <w:t>Portugal</w:t>
            </w:r>
          </w:p>
        </w:tc>
        <w:tc>
          <w:tcPr>
            <w:tcW w:w="3000" w:type="dxa"/>
            <w:vAlign w:val="bottom"/>
          </w:tcPr>
          <w:p>
            <w:pPr>
              <w:ind w:left="220"/>
              <w:spacing w:after="0"/>
              <w:rPr>
                <w:sz w:val="20"/>
                <w:szCs w:val="20"/>
                <w:color w:val="auto"/>
              </w:rPr>
            </w:pPr>
            <w:r>
              <w:rPr>
                <w:rFonts w:ascii="Arial" w:cs="Arial" w:eastAsia="Arial" w:hAnsi="Arial"/>
                <w:sz w:val="18"/>
                <w:szCs w:val="18"/>
                <w:color w:val="auto"/>
              </w:rPr>
              <w:t>Uzbekistan</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Cyprus</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Kenya</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Puerto Rico</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Venezuela</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Czechia (Czech Republic)</w:t>
            </w:r>
          </w:p>
        </w:tc>
        <w:tc>
          <w:tcPr>
            <w:tcW w:w="2360" w:type="dxa"/>
            <w:vAlign w:val="bottom"/>
          </w:tcPr>
          <w:p>
            <w:pPr>
              <w:ind w:left="360"/>
              <w:spacing w:after="0"/>
              <w:rPr>
                <w:sz w:val="20"/>
                <w:szCs w:val="20"/>
                <w:color w:val="auto"/>
              </w:rPr>
            </w:pPr>
            <w:r>
              <w:rPr>
                <w:rFonts w:ascii="Arial" w:cs="Arial" w:eastAsia="Arial" w:hAnsi="Arial"/>
                <w:sz w:val="18"/>
                <w:szCs w:val="18"/>
                <w:color w:val="auto"/>
              </w:rPr>
              <w:t>Kuwait</w:t>
            </w:r>
          </w:p>
        </w:tc>
        <w:tc>
          <w:tcPr>
            <w:tcW w:w="3400" w:type="dxa"/>
            <w:vAlign w:val="bottom"/>
          </w:tcPr>
          <w:p>
            <w:pPr>
              <w:ind w:left="800"/>
              <w:spacing w:after="0"/>
              <w:rPr>
                <w:sz w:val="20"/>
                <w:szCs w:val="20"/>
                <w:color w:val="auto"/>
              </w:rPr>
            </w:pPr>
            <w:r>
              <w:rPr>
                <w:rFonts w:ascii="Arial" w:cs="Arial" w:eastAsia="Arial" w:hAnsi="Arial"/>
                <w:sz w:val="18"/>
                <w:szCs w:val="18"/>
                <w:color w:val="auto"/>
              </w:rPr>
              <w:t>Romania</w:t>
            </w:r>
          </w:p>
        </w:tc>
        <w:tc>
          <w:tcPr>
            <w:tcW w:w="3000" w:type="dxa"/>
            <w:vAlign w:val="bottom"/>
          </w:tcPr>
          <w:p>
            <w:pPr>
              <w:ind w:left="220"/>
              <w:spacing w:after="0"/>
              <w:rPr>
                <w:sz w:val="20"/>
                <w:szCs w:val="20"/>
                <w:color w:val="auto"/>
              </w:rPr>
            </w:pPr>
            <w:r>
              <w:rPr>
                <w:rFonts w:ascii="Arial" w:cs="Arial" w:eastAsia="Arial" w:hAnsi="Arial"/>
                <w:sz w:val="18"/>
                <w:szCs w:val="18"/>
                <w:color w:val="auto"/>
              </w:rPr>
              <w:t>Vietnam</w:t>
            </w:r>
          </w:p>
        </w:tc>
      </w:tr>
      <w:tr>
        <w:trPr>
          <w:trHeight w:val="229"/>
        </w:trPr>
        <w:tc>
          <w:tcPr>
            <w:tcW w:w="48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Democratic Republic of the Congo Kyrgyzstan</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Russia</w:t>
            </w:r>
          </w:p>
        </w:tc>
        <w:tc>
          <w:tcPr>
            <w:tcW w:w="30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Zambia</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Denmark</w:t>
            </w:r>
          </w:p>
        </w:tc>
        <w:tc>
          <w:tcPr>
            <w:tcW w:w="2360" w:type="dxa"/>
            <w:vAlign w:val="bottom"/>
          </w:tcPr>
          <w:p>
            <w:pPr>
              <w:ind w:left="360"/>
              <w:spacing w:after="0"/>
              <w:rPr>
                <w:sz w:val="20"/>
                <w:szCs w:val="20"/>
                <w:color w:val="auto"/>
              </w:rPr>
            </w:pPr>
            <w:r>
              <w:rPr>
                <w:rFonts w:ascii="Arial" w:cs="Arial" w:eastAsia="Arial" w:hAnsi="Arial"/>
                <w:sz w:val="18"/>
                <w:szCs w:val="18"/>
                <w:color w:val="auto"/>
              </w:rPr>
              <w:t>Laos</w:t>
            </w:r>
          </w:p>
        </w:tc>
        <w:tc>
          <w:tcPr>
            <w:tcW w:w="3400" w:type="dxa"/>
            <w:vAlign w:val="bottom"/>
          </w:tcPr>
          <w:p>
            <w:pPr>
              <w:ind w:left="800"/>
              <w:spacing w:after="0"/>
              <w:rPr>
                <w:sz w:val="20"/>
                <w:szCs w:val="20"/>
                <w:color w:val="auto"/>
              </w:rPr>
            </w:pPr>
            <w:r>
              <w:rPr>
                <w:rFonts w:ascii="Arial" w:cs="Arial" w:eastAsia="Arial" w:hAnsi="Arial"/>
                <w:sz w:val="18"/>
                <w:szCs w:val="18"/>
                <w:color w:val="auto"/>
              </w:rPr>
              <w:t>Rwanda</w:t>
            </w:r>
          </w:p>
        </w:tc>
        <w:tc>
          <w:tcPr>
            <w:tcW w:w="3000" w:type="dxa"/>
            <w:vAlign w:val="bottom"/>
          </w:tcPr>
          <w:p>
            <w:pPr>
              <w:ind w:left="220"/>
              <w:spacing w:after="0"/>
              <w:rPr>
                <w:sz w:val="20"/>
                <w:szCs w:val="20"/>
                <w:color w:val="auto"/>
              </w:rPr>
            </w:pPr>
            <w:r>
              <w:rPr>
                <w:rFonts w:ascii="Arial" w:cs="Arial" w:eastAsia="Arial" w:hAnsi="Arial"/>
                <w:sz w:val="18"/>
                <w:szCs w:val="18"/>
                <w:color w:val="auto"/>
              </w:rPr>
              <w:t>Zimbabwe</w:t>
            </w:r>
          </w:p>
        </w:tc>
      </w:tr>
      <w:tr>
        <w:trPr>
          <w:trHeight w:val="230"/>
        </w:trPr>
        <w:tc>
          <w:tcPr>
            <w:tcW w:w="2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Djibouti</w:t>
            </w:r>
          </w:p>
        </w:tc>
        <w:tc>
          <w:tcPr>
            <w:tcW w:w="23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Latvia</w:t>
            </w:r>
          </w:p>
        </w:tc>
        <w:tc>
          <w:tcPr>
            <w:tcW w:w="3400" w:type="dxa"/>
            <w:vAlign w:val="bottom"/>
            <w:shd w:val="clear" w:color="auto" w:fill="DBDBDB"/>
          </w:tcPr>
          <w:p>
            <w:pPr>
              <w:ind w:left="800"/>
              <w:spacing w:after="0"/>
              <w:rPr>
                <w:sz w:val="20"/>
                <w:szCs w:val="20"/>
                <w:color w:val="auto"/>
              </w:rPr>
            </w:pPr>
            <w:r>
              <w:rPr>
                <w:rFonts w:ascii="Arial" w:cs="Arial" w:eastAsia="Arial" w:hAnsi="Arial"/>
                <w:sz w:val="18"/>
                <w:szCs w:val="18"/>
                <w:color w:val="auto"/>
              </w:rPr>
              <w:t>Saint Kitts and Nevis</w:t>
            </w:r>
          </w:p>
        </w:tc>
        <w:tc>
          <w:tcPr>
            <w:tcW w:w="3000" w:type="dxa"/>
            <w:vAlign w:val="bottom"/>
            <w:shd w:val="clear" w:color="auto" w:fill="DBDBDB"/>
          </w:tcPr>
          <w:p>
            <w:pPr>
              <w:spacing w:after="0"/>
              <w:rPr>
                <w:sz w:val="19"/>
                <w:szCs w:val="19"/>
                <w:color w:val="auto"/>
              </w:rPr>
            </w:pPr>
          </w:p>
        </w:tc>
      </w:tr>
      <w:tr>
        <w:trPr>
          <w:trHeight w:val="239"/>
        </w:trPr>
        <w:tc>
          <w:tcPr>
            <w:tcW w:w="2480" w:type="dxa"/>
            <w:vAlign w:val="bottom"/>
          </w:tcPr>
          <w:p>
            <w:pPr>
              <w:ind w:left="20"/>
              <w:spacing w:after="0"/>
              <w:rPr>
                <w:sz w:val="20"/>
                <w:szCs w:val="20"/>
                <w:color w:val="auto"/>
              </w:rPr>
            </w:pPr>
            <w:r>
              <w:rPr>
                <w:rFonts w:ascii="Arial" w:cs="Arial" w:eastAsia="Arial" w:hAnsi="Arial"/>
                <w:sz w:val="18"/>
                <w:szCs w:val="18"/>
                <w:color w:val="auto"/>
              </w:rPr>
              <w:t>Dominica</w:t>
            </w:r>
          </w:p>
        </w:tc>
        <w:tc>
          <w:tcPr>
            <w:tcW w:w="2360" w:type="dxa"/>
            <w:vAlign w:val="bottom"/>
          </w:tcPr>
          <w:p>
            <w:pPr>
              <w:ind w:left="360"/>
              <w:spacing w:after="0"/>
              <w:rPr>
                <w:sz w:val="20"/>
                <w:szCs w:val="20"/>
                <w:color w:val="auto"/>
              </w:rPr>
            </w:pPr>
            <w:r>
              <w:rPr>
                <w:rFonts w:ascii="Arial" w:cs="Arial" w:eastAsia="Arial" w:hAnsi="Arial"/>
                <w:sz w:val="18"/>
                <w:szCs w:val="18"/>
                <w:color w:val="auto"/>
              </w:rPr>
              <w:t>Lebanon</w:t>
            </w:r>
          </w:p>
        </w:tc>
        <w:tc>
          <w:tcPr>
            <w:tcW w:w="3400" w:type="dxa"/>
            <w:vAlign w:val="bottom"/>
          </w:tcPr>
          <w:p>
            <w:pPr>
              <w:ind w:left="800"/>
              <w:spacing w:after="0"/>
              <w:rPr>
                <w:sz w:val="20"/>
                <w:szCs w:val="20"/>
                <w:color w:val="auto"/>
              </w:rPr>
            </w:pPr>
            <w:r>
              <w:rPr>
                <w:rFonts w:ascii="Arial" w:cs="Arial" w:eastAsia="Arial" w:hAnsi="Arial"/>
                <w:sz w:val="18"/>
                <w:szCs w:val="18"/>
                <w:color w:val="auto"/>
              </w:rPr>
              <w:t>Saint Vincent and Grenadines</w:t>
            </w:r>
          </w:p>
        </w:tc>
        <w:tc>
          <w:tcPr>
            <w:tcW w:w="3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024" w:right="339" w:bottom="1440" w:gutter="0" w:footer="0" w:header="0"/>
        </w:sectPr>
      </w:pPr>
    </w:p>
    <w:bookmarkStart w:id="16" w:name="page17"/>
    <w:bookmarkEnd w:id="16"/>
    <w:p>
      <w:pPr>
        <w:spacing w:after="0"/>
        <w:tabs>
          <w:tab w:leader="none" w:pos="2800" w:val="left"/>
          <w:tab w:leader="none" w:pos="5600" w:val="left"/>
        </w:tabs>
        <w:rPr>
          <w:sz w:val="20"/>
          <w:szCs w:val="20"/>
          <w:color w:val="auto"/>
        </w:rPr>
      </w:pPr>
      <w:r>
        <w:rPr>
          <w:rFonts w:ascii="Arial" w:cs="Arial" w:eastAsia="Arial" w:hAnsi="Arial"/>
          <w:sz w:val="18"/>
          <w:szCs w:val="18"/>
          <w:color w:val="auto"/>
        </w:rPr>
        <w:t>Dominican Republic</w:t>
      </w:r>
      <w:r>
        <w:rPr>
          <w:sz w:val="20"/>
          <w:szCs w:val="20"/>
          <w:color w:val="auto"/>
        </w:rPr>
        <w:tab/>
      </w:r>
      <w:r>
        <w:rPr>
          <w:rFonts w:ascii="Arial" w:cs="Arial" w:eastAsia="Arial" w:hAnsi="Arial"/>
          <w:sz w:val="18"/>
          <w:szCs w:val="18"/>
          <w:color w:val="auto"/>
        </w:rPr>
        <w:t>Liberia</w:t>
      </w:r>
      <w:r>
        <w:rPr>
          <w:sz w:val="20"/>
          <w:szCs w:val="20"/>
          <w:color w:val="auto"/>
        </w:rPr>
        <w:tab/>
      </w:r>
      <w:r>
        <w:rPr>
          <w:rFonts w:ascii="Arial" w:cs="Arial" w:eastAsia="Arial" w:hAnsi="Arial"/>
          <w:sz w:val="17"/>
          <w:szCs w:val="17"/>
          <w:color w:val="auto"/>
        </w:rPr>
        <w:t>San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0119"/>
          </w:cols>
          <w:pgMar w:left="3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B-2</w:t>
      </w:r>
    </w:p>
    <w:sectPr>
      <w:pgSz w:w="11900" w:h="16838" w:orient="portrait"/>
      <w:cols w:equalWidth="0" w:num="1">
        <w:col w:w="10119"/>
      </w:cols>
      <w:pgMar w:left="340" w:top="106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5"/>
      <w:numFmt w:val="bullet"/>
      <w:start w:val="1"/>
    </w:lvl>
  </w:abstractNum>
  <w:abstractNum w:abstractNumId="7">
    <w:nsid w:val="4DB127F8"/>
    <w:multiLevelType w:val="hybridMultilevel"/>
    <w:lvl w:ilvl="0">
      <w:lvlJc w:val="left"/>
      <w:lvlText w:val="6"/>
      <w:numFmt w:val="bullet"/>
      <w:start w:val="1"/>
    </w:lvl>
  </w:abstractNum>
  <w:abstractNum w:abstractNumId="8">
    <w:nsid w:val="216231B"/>
    <w:multiLevelType w:val="hybridMultilevel"/>
    <w:lvl w:ilvl="0">
      <w:lvlJc w:val="left"/>
      <w:lvlText w:val="7"/>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2025-05-20T15:13:13Z</dcterms:created>
  <dcterms:modified xsi:type="dcterms:W3CDTF">2025-05-20T15:13:13Z</dcterms:modified>
</cp:coreProperties>
</file>