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1-10658</w:t>
            </w:r>
          </w:p>
        </w:tc>
        <w:tc>
          <w:tcPr>
            <w:tcW w:w="120" w:type="dxa"/>
            <w:vAlign w:val="bottom"/>
          </w:tcPr>
          <w:p>
            <w:pPr>
              <w:spacing w:after="0"/>
              <w:rPr>
                <w:sz w:val="20"/>
                <w:szCs w:val="20"/>
                <w:color w:val="auto"/>
              </w:rPr>
            </w:pPr>
          </w:p>
        </w:tc>
        <w:tc>
          <w:tcPr>
            <w:tcW w:w="408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40" w:type="dxa"/>
            <w:vAlign w:val="bottom"/>
          </w:tcPr>
          <w:p>
            <w:pPr>
              <w:spacing w:after="0"/>
              <w:rPr>
                <w:sz w:val="20"/>
                <w:szCs w:val="20"/>
                <w:color w:val="auto"/>
              </w:rPr>
            </w:pPr>
          </w:p>
        </w:tc>
        <w:tc>
          <w:tcPr>
            <w:tcW w:w="2940" w:type="dxa"/>
            <w:vAlign w:val="bottom"/>
            <w:gridSpan w:val="2"/>
          </w:tcPr>
          <w:p>
            <w:pPr>
              <w:ind w:left="420"/>
              <w:spacing w:after="0"/>
              <w:rPr>
                <w:sz w:val="20"/>
                <w:szCs w:val="20"/>
                <w:color w:val="auto"/>
              </w:rPr>
            </w:pPr>
            <w:r>
              <w:rPr>
                <w:rFonts w:ascii="Arial" w:cs="Arial" w:eastAsia="Arial" w:hAnsi="Arial"/>
                <w:sz w:val="18"/>
                <w:szCs w:val="18"/>
                <w:color w:val="auto"/>
              </w:rPr>
              <w:t>(Commission File Number)</w:t>
            </w:r>
          </w:p>
        </w:tc>
        <w:tc>
          <w:tcPr>
            <w:tcW w:w="500" w:type="dxa"/>
            <w:vAlign w:val="bottom"/>
          </w:tcPr>
          <w:p>
            <w:pPr>
              <w:spacing w:after="0"/>
              <w:rPr>
                <w:sz w:val="20"/>
                <w:szCs w:val="20"/>
                <w:color w:val="auto"/>
              </w:rPr>
            </w:pPr>
          </w:p>
        </w:tc>
        <w:tc>
          <w:tcPr>
            <w:tcW w:w="3580" w:type="dxa"/>
            <w:vAlign w:val="bottom"/>
          </w:tcPr>
          <w:p>
            <w:pPr>
              <w:jc w:val="center"/>
              <w:ind w:right="430"/>
              <w:spacing w:after="0"/>
              <w:rPr>
                <w:sz w:val="20"/>
                <w:szCs w:val="20"/>
                <w:color w:val="auto"/>
              </w:rPr>
            </w:pPr>
            <w:r>
              <w:rPr>
                <w:rFonts w:ascii="Arial" w:cs="Arial" w:eastAsia="Arial" w:hAnsi="Arial"/>
                <w:sz w:val="18"/>
                <w:szCs w:val="18"/>
                <w:color w:val="auto"/>
                <w:w w:val="94"/>
              </w:rPr>
              <w:t>(I.R.S. Employer Identification No.)</w:t>
            </w:r>
          </w:p>
        </w:tc>
      </w:tr>
      <w:tr>
        <w:trPr>
          <w:trHeight w:val="527"/>
        </w:trPr>
        <w:tc>
          <w:tcPr>
            <w:tcW w:w="3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2"/>
          </w:tcPr>
          <w:p>
            <w:pPr>
              <w:ind w:left="400"/>
              <w:spacing w:after="0"/>
              <w:rPr>
                <w:sz w:val="20"/>
                <w:szCs w:val="20"/>
                <w:color w:val="auto"/>
              </w:rPr>
            </w:pPr>
            <w:r>
              <w:rPr>
                <w:rFonts w:ascii="Arial" w:cs="Arial" w:eastAsia="Arial" w:hAnsi="Arial"/>
                <w:sz w:val="18"/>
                <w:szCs w:val="18"/>
                <w:b w:val="1"/>
                <w:bCs w:val="1"/>
                <w:color w:val="auto"/>
              </w:rPr>
              <w:t>8000 South Federal Way</w:t>
            </w: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70"/>
        </w:trPr>
        <w:tc>
          <w:tcPr>
            <w:tcW w:w="3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40" w:type="dxa"/>
            <w:vAlign w:val="bottom"/>
            <w:gridSpan w:val="2"/>
          </w:tcPr>
          <w:p>
            <w:pPr>
              <w:ind w:left="400"/>
              <w:spacing w:after="0"/>
              <w:rPr>
                <w:sz w:val="20"/>
                <w:szCs w:val="20"/>
                <w:color w:val="auto"/>
              </w:rPr>
            </w:pPr>
            <w:r>
              <w:rPr>
                <w:rFonts w:ascii="Arial" w:cs="Arial" w:eastAsia="Arial" w:hAnsi="Arial"/>
                <w:sz w:val="18"/>
                <w:szCs w:val="18"/>
                <w:b w:val="1"/>
                <w:bCs w:val="1"/>
                <w:color w:val="auto"/>
              </w:rPr>
              <w:t>Boise, Idaho 83716-9632</w:t>
            </w:r>
          </w:p>
        </w:tc>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580" w:type="dxa"/>
            <w:vAlign w:val="bottom"/>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80" w:type="dxa"/>
            <w:vAlign w:val="bottom"/>
            <w:gridSpan w:val="3"/>
          </w:tcPr>
          <w:p>
            <w:pPr>
              <w:ind w:left="40"/>
              <w:spacing w:after="0"/>
              <w:rPr>
                <w:sz w:val="20"/>
                <w:szCs w:val="20"/>
                <w:color w:val="auto"/>
              </w:rPr>
            </w:pPr>
            <w:r>
              <w:rPr>
                <w:rFonts w:ascii="Arial" w:cs="Arial" w:eastAsia="Arial" w:hAnsi="Arial"/>
                <w:sz w:val="18"/>
                <w:szCs w:val="18"/>
                <w:color w:val="auto"/>
                <w:w w:val="98"/>
              </w:rPr>
              <w:t>(Address of principal executive offices)</w:t>
            </w:r>
          </w:p>
        </w:tc>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540" w:firstLine="32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78"/>
        </w:trPr>
        <w:tc>
          <w:tcPr>
            <w:tcW w:w="4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4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$0.10 per share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MU</w:t>
            </w: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4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Purchase Rights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MU</w:t>
            </w: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60"/>
        <w:spacing w:after="0"/>
        <w:tabs>
          <w:tab w:leader="none" w:pos="14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July 1, 2019, the Board of Directors of Micron Technology, Inc. (the “Company”) appointed Ms. MaryAnn Wright as a member of the Company’s Board of Directors. Ms. Wright has also been appointed to the Governance and Sustainability Committee of the Board of Directors. The full text of the press release issued in connection with her appointment to the Board of Directors is attached as Exhibit 99.1 to this report.</w:t>
      </w: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 to Articles of Incorporation or Bylaws; Change in Fiscal Year.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July 1, 2019, the Board of Directors of the Company amended and restated the Company's bylaws (the “Amended and Restated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Specifically, a change to Article III, Section 1 of the Amended and Restated Bylaws increases the size of the Board from seven to eight.</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description of the amendment to the Company's bylaws is qualified in its entirety by reference to the text of the Amended and Restated Bylaws filed as Exhibit 99.2 to this report.</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00" w:type="dxa"/>
            <w:vAlign w:val="bottom"/>
            <w:gridSpan w:val="5"/>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360" w:type="dxa"/>
            <w:vAlign w:val="bottom"/>
          </w:tcPr>
          <w:p>
            <w:pPr>
              <w:spacing w:after="0"/>
              <w:rPr>
                <w:sz w:val="24"/>
                <w:szCs w:val="24"/>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rPr>
              <w:t>(d) Exhibits.</w:t>
            </w:r>
          </w:p>
        </w:tc>
      </w:tr>
      <w:tr>
        <w:trPr>
          <w:trHeight w:val="837"/>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r>
      <w:tr>
        <w:trPr>
          <w:trHeight w:val="196"/>
        </w:trPr>
        <w:tc>
          <w:tcPr>
            <w:tcW w:w="1360" w:type="dxa"/>
            <w:vAlign w:val="bottom"/>
          </w:tcPr>
          <w:p>
            <w:pPr>
              <w:jc w:val="right"/>
              <w:ind w:right="430"/>
              <w:spacing w:after="0" w:line="196"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FF"/>
            </w:tcBorders>
          </w:tcPr>
          <w:p>
            <w:pPr>
              <w:spacing w:after="0" w:line="196"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Press Release issued on July 1, 2019</w:t>
              </w:r>
            </w:hyperlink>
          </w:p>
        </w:tc>
        <w:tc>
          <w:tcPr>
            <w:tcW w:w="7100" w:type="dxa"/>
            <w:vAlign w:val="bottom"/>
            <w:gridSpan w:val="2"/>
          </w:tcPr>
          <w:p>
            <w:pPr>
              <w:spacing w:after="0"/>
              <w:rPr>
                <w:sz w:val="17"/>
                <w:szCs w:val="17"/>
                <w:color w:val="auto"/>
              </w:rPr>
            </w:pPr>
          </w:p>
        </w:tc>
      </w:tr>
      <w:tr>
        <w:trPr>
          <w:trHeight w:val="250"/>
        </w:trPr>
        <w:tc>
          <w:tcPr>
            <w:tcW w:w="1360" w:type="dxa"/>
            <w:vAlign w:val="bottom"/>
          </w:tcPr>
          <w:p>
            <w:pPr>
              <w:jc w:val="right"/>
              <w:ind w:right="430"/>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4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Amended and Restated bylaws as of July 1, 2019</w:t>
              </w:r>
            </w:hyperlink>
          </w:p>
        </w:tc>
        <w:tc>
          <w:tcPr>
            <w:tcW w:w="6200" w:type="dxa"/>
            <w:vAlign w:val="bottom"/>
          </w:tcPr>
          <w:p>
            <w:pPr>
              <w:spacing w:after="0"/>
              <w:rPr>
                <w:sz w:val="21"/>
                <w:szCs w:val="21"/>
                <w:color w:val="auto"/>
              </w:rPr>
            </w:pPr>
          </w:p>
        </w:tc>
      </w:tr>
    </w:tbl>
    <w:p>
      <w:pPr>
        <w:sectPr>
          <w:pgSz w:w="11900" w:h="16838" w:orient="portrait"/>
          <w:cols w:equalWidth="0" w:num="1">
            <w:col w:w="11400"/>
          </w:cols>
          <w:pgMar w:left="240" w:top="742" w:right="25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2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80"/>
              <w:spacing w:after="0"/>
              <w:rPr>
                <w:sz w:val="20"/>
                <w:szCs w:val="20"/>
                <w:color w:val="auto"/>
              </w:rPr>
            </w:pPr>
            <w:r>
              <w:rPr>
                <w:rFonts w:ascii="Arial" w:cs="Arial" w:eastAsia="Arial" w:hAnsi="Arial"/>
                <w:sz w:val="18"/>
                <w:szCs w:val="18"/>
                <w:color w:val="auto"/>
              </w:rPr>
              <w:t>July 1, 2019</w:t>
            </w:r>
          </w:p>
        </w:tc>
        <w:tc>
          <w:tcPr>
            <w:tcW w:w="2880" w:type="dxa"/>
            <w:vAlign w:val="bottom"/>
          </w:tcPr>
          <w:p>
            <w:pPr>
              <w:ind w:left="194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8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880" w:type="dxa"/>
            <w:vAlign w:val="bottom"/>
          </w:tcPr>
          <w:p>
            <w:pPr>
              <w:ind w:left="194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July 1, 2019.</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bylaws as of July 1, 2019</w:t>
            </w:r>
          </w:p>
        </w:tc>
      </w:tr>
    </w:tbl>
    <w:p>
      <w:pPr>
        <w:sectPr>
          <w:pgSz w:w="11900" w:h="16838" w:orient="portrait"/>
          <w:cols w:equalWidth="0" w:num="1">
            <w:col w:w="11420"/>
          </w:cols>
          <w:pgMar w:left="240" w:top="63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1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00"/>
        </w:trPr>
        <w:tc>
          <w:tcPr>
            <w:tcW w:w="3340" w:type="dxa"/>
            <w:vAlign w:val="bottom"/>
          </w:tcPr>
          <w:p>
            <w:pPr>
              <w:ind w:left="1860"/>
              <w:spacing w:after="0"/>
              <w:rPr>
                <w:sz w:val="20"/>
                <w:szCs w:val="20"/>
                <w:color w:val="auto"/>
              </w:rPr>
            </w:pPr>
            <w:r>
              <w:rPr>
                <w:rFonts w:ascii="Arial" w:cs="Arial" w:eastAsia="Arial" w:hAnsi="Arial"/>
                <w:sz w:val="18"/>
                <w:szCs w:val="18"/>
                <w:color w:val="auto"/>
              </w:rPr>
              <w:t>Contacts:</w:t>
            </w:r>
          </w:p>
        </w:tc>
        <w:tc>
          <w:tcPr>
            <w:tcW w:w="318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1680" w:type="dxa"/>
            <w:vAlign w:val="bottom"/>
          </w:tcPr>
          <w:p>
            <w:pPr>
              <w:spacing w:after="0"/>
              <w:rPr>
                <w:sz w:val="20"/>
                <w:szCs w:val="20"/>
                <w:color w:val="auto"/>
              </w:rPr>
            </w:pPr>
            <w:r>
              <w:rPr>
                <w:rFonts w:ascii="Arial" w:cs="Arial" w:eastAsia="Arial" w:hAnsi="Arial"/>
                <w:sz w:val="18"/>
                <w:szCs w:val="18"/>
                <w:color w:val="auto"/>
              </w:rPr>
              <w:t>Erica Pompen</w:t>
            </w:r>
          </w:p>
        </w:tc>
      </w:tr>
      <w:tr>
        <w:trPr>
          <w:trHeight w:val="270"/>
        </w:trPr>
        <w:tc>
          <w:tcPr>
            <w:tcW w:w="3340" w:type="dxa"/>
            <w:vAlign w:val="bottom"/>
          </w:tcPr>
          <w:p>
            <w:pPr>
              <w:spacing w:after="0"/>
              <w:rPr>
                <w:sz w:val="23"/>
                <w:szCs w:val="23"/>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6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230"/>
        </w:trPr>
        <w:tc>
          <w:tcPr>
            <w:tcW w:w="334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0000FF"/>
              </w:rPr>
              <w:t>farhanahmad@micron.com</w:t>
            </w:r>
          </w:p>
        </w:tc>
        <w:tc>
          <w:tcPr>
            <w:tcW w:w="1680" w:type="dxa"/>
            <w:vAlign w:val="bottom"/>
          </w:tcPr>
          <w:p>
            <w:pPr>
              <w:spacing w:after="0"/>
              <w:rPr>
                <w:sz w:val="20"/>
                <w:szCs w:val="20"/>
                <w:color w:val="auto"/>
              </w:rPr>
            </w:pPr>
            <w:r>
              <w:rPr>
                <w:rFonts w:ascii="Arial" w:cs="Arial" w:eastAsia="Arial" w:hAnsi="Arial"/>
                <w:sz w:val="18"/>
                <w:szCs w:val="18"/>
                <w:color w:val="0000FF"/>
                <w:w w:val="89"/>
              </w:rPr>
              <w:t>epompen@micron.com</w:t>
            </w:r>
          </w:p>
        </w:tc>
      </w:tr>
      <w:tr>
        <w:trPr>
          <w:trHeight w:val="291"/>
        </w:trPr>
        <w:tc>
          <w:tcPr>
            <w:tcW w:w="3340" w:type="dxa"/>
            <w:vAlign w:val="bottom"/>
          </w:tcPr>
          <w:p>
            <w:pPr>
              <w:spacing w:after="0"/>
              <w:rPr>
                <w:sz w:val="24"/>
                <w:szCs w:val="24"/>
                <w:color w:val="auto"/>
              </w:rPr>
            </w:pPr>
          </w:p>
        </w:tc>
        <w:tc>
          <w:tcPr>
            <w:tcW w:w="1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(408) 834-1927</w:t>
            </w:r>
          </w:p>
        </w:tc>
        <w:tc>
          <w:tcPr>
            <w:tcW w:w="1200" w:type="dxa"/>
            <w:vAlign w:val="bottom"/>
          </w:tcPr>
          <w:p>
            <w:pPr>
              <w:spacing w:after="0"/>
              <w:rPr>
                <w:sz w:val="24"/>
                <w:szCs w:val="24"/>
                <w:color w:val="auto"/>
              </w:rPr>
            </w:pPr>
          </w:p>
        </w:tc>
        <w:tc>
          <w:tcPr>
            <w:tcW w:w="16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(408) 834-1873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Appoints MaryAnn Wright to Its Board of Directors</w:t>
      </w:r>
    </w:p>
    <w:p>
      <w:pPr>
        <w:spacing w:after="0" w:line="200" w:lineRule="exact"/>
        <w:rPr>
          <w:sz w:val="20"/>
          <w:szCs w:val="20"/>
          <w:color w:val="auto"/>
        </w:rPr>
      </w:pPr>
    </w:p>
    <w:p>
      <w:pPr>
        <w:spacing w:after="0" w:line="23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BOISE, Idaho, July 01, 2019 </w:t>
      </w:r>
      <w:r>
        <w:rPr>
          <w:rFonts w:ascii="Arial" w:cs="Arial" w:eastAsia="Arial" w:hAnsi="Arial"/>
          <w:sz w:val="18"/>
          <w:szCs w:val="18"/>
          <w:color w:val="auto"/>
        </w:rPr>
        <w:t>– Micron Technology, Inc. (Nasdaq: MU), an industry leader in innovative memory and storage solutions, today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of automotive industry executive MaryAnn Wright to its board of directors.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recognized leader within the automotive industry, Wright has led and managed technology development and business operations for a variety of ecosystem companies during her 30-year career. At Ford Motor Company, Wright was responsible for their Sustainable Mobility Technologies business, including hybrid and fuel cell vehicles. During this time, she introduced the industry’s first hybrid-electric SUV and Ford’s first fuel cell fleet. At Johnson Controls Inc., she held responsibility for all business, commercial, technical, product launch and R&amp;D activities while she served as CEO of Johnson Controls-Saft, a global developer of advanced battery solutions, and as group vice president of global engineering and product development. In her position as executive vice president of engineering, product development and program management at Collins and Aikman Corporation, Wright drove product engineering and commercial activities to better align with customer initiatives.</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Wright currently serves on the boards of Maxim Integrated, Group 1 Automotive and Delphi Technologies. She previously held governing body memberships at various university, industry and national lab institutions to support and encourage young people to pursue career paths in science, technology, engineering and math. Wright received her Master of Science in engineering from the University of Michigan in 1996, Master of Business Administration in finance from Wayne State University in 1987, and Bachelor of Science in international studies from the University of Michigan in 1984.</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am excited to have MaryAnn join our board of directors given our strong focus on key growth market segments such as automotive,” said Micron President and CEO Sanjay Mehrotra. “MaryAnn has demonstrated technical prowess and business acumen in helping OEM and tier 1 automotive companies meet emerging market needs. She brings tremendous value to us as we reinforce our lead as a preferred provider of high-value solutions to automotive manufacturers.”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“Memory and storage are increasingly becoming central to enabling future mobility options such as autonomous vehicles,” said Micron Board Chairman Robert Switz. “I am confident MaryAnn will help steer Micron initiatives to capture these new opportunities based on her insights, proven record in building sustainable automotive industry partnerships and board experience.”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 Our common stock is traded on the Nasdaq under the MU symbol. To learn more about Micron Technology Inc., visit </w:t>
      </w:r>
      <w:r>
        <w:rPr>
          <w:rFonts w:ascii="Arial" w:cs="Arial" w:eastAsia="Arial" w:hAnsi="Arial"/>
          <w:sz w:val="16"/>
          <w:szCs w:val="16"/>
          <w:u w:val="single" w:color="auto"/>
          <w:color w:val="0094FF"/>
        </w:rPr>
        <w:t>micron.com</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Micron logo and Micron symbol are trademarks of Micron Technology, Inc. All other trademarks are the property of their respective owners.</w:t>
      </w:r>
    </w:p>
    <w:p>
      <w:pPr>
        <w:sectPr>
          <w:pgSz w:w="11900" w:h="16838" w:orient="portrait"/>
          <w:cols w:equalWidth="0" w:num="1">
            <w:col w:w="11420"/>
          </w:cols>
          <w:pgMar w:left="240" w:top="63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Micron Technology,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Bylaws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as of July 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CORPORATE OFFICES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Registered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Other Offices.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 MEETINGS OF STOCKHOLDERS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Place of Meetings.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Annual Meeting.</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Notice of Stockholder Meeting.</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17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List of Stockholders Entitled to Vote.</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ind w:right="160"/>
        <w:spacing w:after="0" w:line="312" w:lineRule="auto"/>
        <w:rPr>
          <w:sz w:val="20"/>
          <w:szCs w:val="20"/>
          <w:color w:val="auto"/>
        </w:rPr>
      </w:pPr>
      <w:r>
        <w:rPr>
          <w:rFonts w:ascii="Arial" w:cs="Arial" w:eastAsia="Arial" w:hAnsi="Arial"/>
          <w:sz w:val="16"/>
          <w:szCs w:val="16"/>
          <w:color w:val="auto"/>
        </w:rPr>
        <w:t>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4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ind w:firstLine="656"/>
        <w:spacing w:after="0" w:line="286" w:lineRule="auto"/>
        <w:tabs>
          <w:tab w:leader="none" w:pos="1028" w:val="left"/>
        </w:tabs>
        <w:numPr>
          <w:ilvl w:val="0"/>
          <w:numId w:val="2"/>
        </w:numPr>
        <w:rPr>
          <w:rFonts w:ascii="Arial" w:cs="Arial" w:eastAsia="Arial" w:hAnsi="Arial"/>
          <w:sz w:val="16"/>
          <w:szCs w:val="16"/>
          <w:color w:val="auto"/>
        </w:rPr>
      </w:pPr>
      <w:r>
        <w:rPr>
          <w:rFonts w:ascii="Arial" w:cs="Arial" w:eastAsia="Arial" w:hAnsi="Arial"/>
          <w:sz w:val="16"/>
          <w:szCs w:val="16"/>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174" w:lineRule="exact"/>
        <w:rPr>
          <w:rFonts w:ascii="Arial" w:cs="Arial" w:eastAsia="Arial" w:hAnsi="Arial"/>
          <w:sz w:val="16"/>
          <w:szCs w:val="16"/>
          <w:color w:val="auto"/>
        </w:rPr>
      </w:pPr>
    </w:p>
    <w:p>
      <w:pPr>
        <w:ind w:right="200" w:firstLine="656"/>
        <w:spacing w:after="0" w:line="264" w:lineRule="auto"/>
        <w:tabs>
          <w:tab w:leader="none" w:pos="1038"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Adjourned Meeting Notice.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17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Proxies.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ind w:right="20"/>
        <w:spacing w:after="0" w:line="277" w:lineRule="auto"/>
        <w:rPr>
          <w:sz w:val="20"/>
          <w:szCs w:val="20"/>
          <w:color w:val="auto"/>
        </w:rPr>
      </w:pPr>
      <w:r>
        <w:rPr>
          <w:rFonts w:ascii="Arial" w:cs="Arial" w:eastAsia="Arial" w:hAnsi="Arial"/>
          <w:sz w:val="18"/>
          <w:szCs w:val="18"/>
          <w:color w:val="auto"/>
        </w:rPr>
        <w:t>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Action by Written Consent.</w:t>
      </w:r>
    </w:p>
    <w:p>
      <w:pPr>
        <w:spacing w:after="0" w:line="229" w:lineRule="exact"/>
        <w:rPr>
          <w:sz w:val="20"/>
          <w:szCs w:val="20"/>
          <w:color w:val="auto"/>
        </w:rPr>
      </w:pPr>
    </w:p>
    <w:p>
      <w:pPr>
        <w:ind w:firstLine="656"/>
        <w:spacing w:after="0" w:line="288" w:lineRule="auto"/>
        <w:tabs>
          <w:tab w:leader="none" w:pos="1028"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69" w:lineRule="exact"/>
        <w:rPr>
          <w:rFonts w:ascii="Arial" w:cs="Arial" w:eastAsia="Arial" w:hAnsi="Arial"/>
          <w:sz w:val="16"/>
          <w:szCs w:val="16"/>
          <w:color w:val="auto"/>
        </w:rPr>
      </w:pPr>
    </w:p>
    <w:p>
      <w:pPr>
        <w:ind w:right="20" w:firstLine="656"/>
        <w:spacing w:after="0" w:line="268" w:lineRule="auto"/>
        <w:tabs>
          <w:tab w:leader="none" w:pos="103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Record Date. </w:t>
      </w:r>
      <w:r>
        <w:rPr>
          <w:rFonts w:ascii="Arial" w:cs="Arial" w:eastAsia="Arial" w:hAnsi="Arial"/>
          <w:sz w:val="17"/>
          <w:szCs w:val="17"/>
          <w:color w:val="auto"/>
        </w:rPr>
        <w:t>Unless otherwise restricted by the Certificate of Incorporation, in order that the corporation may determine the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83" w:lineRule="exact"/>
        <w:rPr>
          <w:rFonts w:ascii="Arial" w:cs="Arial" w:eastAsia="Arial" w:hAnsi="Arial"/>
          <w:sz w:val="17"/>
          <w:szCs w:val="17"/>
          <w:color w:val="auto"/>
        </w:rPr>
      </w:pPr>
    </w:p>
    <w:p>
      <w:pPr>
        <w:ind w:right="40" w:firstLine="656"/>
        <w:spacing w:after="0" w:line="288" w:lineRule="auto"/>
        <w:tabs>
          <w:tab w:leader="none" w:pos="1028"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Inspector of Elections. </w:t>
      </w:r>
      <w:r>
        <w:rPr>
          <w:rFonts w:ascii="Arial" w:cs="Arial" w:eastAsia="Arial" w:hAnsi="Arial"/>
          <w:sz w:val="16"/>
          <w:szCs w:val="16"/>
          <w:color w:val="auto"/>
        </w:rPr>
        <w:t>In the event of the delivery, in the manner provided by this Article II, Section 10 and applicable law, to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69" w:lineRule="exact"/>
        <w:rPr>
          <w:rFonts w:ascii="Arial" w:cs="Arial" w:eastAsia="Arial" w:hAnsi="Arial"/>
          <w:sz w:val="16"/>
          <w:szCs w:val="16"/>
          <w:color w:val="auto"/>
        </w:rPr>
      </w:pPr>
    </w:p>
    <w:p>
      <w:pPr>
        <w:ind w:right="60" w:firstLine="656"/>
        <w:spacing w:after="0" w:line="259" w:lineRule="auto"/>
        <w:tabs>
          <w:tab w:leader="none" w:pos="103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Every written consent shall bear the date of signature of each stockholder who signs the consent and no written consent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8" w:name="page9"/>
    <w:bookmarkEnd w:id="8"/>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Advance Notice of Stockholder Nominees, Proxy Access and Stockholder Business.</w:t>
      </w:r>
    </w:p>
    <w:p>
      <w:pPr>
        <w:spacing w:after="0" w:line="229" w:lineRule="exact"/>
        <w:rPr>
          <w:sz w:val="20"/>
          <w:szCs w:val="20"/>
          <w:color w:val="auto"/>
        </w:rPr>
      </w:pPr>
    </w:p>
    <w:p>
      <w:pPr>
        <w:ind w:right="180" w:firstLine="656"/>
        <w:spacing w:after="0" w:line="342" w:lineRule="auto"/>
        <w:tabs>
          <w:tab w:leader="none" w:pos="1018"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23" w:lineRule="exact"/>
        <w:rPr>
          <w:rFonts w:ascii="Arial" w:cs="Arial" w:eastAsia="Arial" w:hAnsi="Arial"/>
          <w:sz w:val="16"/>
          <w:szCs w:val="16"/>
          <w:color w:val="auto"/>
        </w:rPr>
      </w:pPr>
    </w:p>
    <w:p>
      <w:pPr>
        <w:ind w:left="1520" w:hanging="215"/>
        <w:spacing w:after="0"/>
        <w:tabs>
          <w:tab w:leader="none" w:pos="1520" w:val="left"/>
        </w:tabs>
        <w:numPr>
          <w:ilvl w:val="1"/>
          <w:numId w:val="4"/>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or any committee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1560" w:hanging="255"/>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25" w:lineRule="exact"/>
        <w:rPr>
          <w:rFonts w:ascii="Arial" w:cs="Arial" w:eastAsia="Arial" w:hAnsi="Arial"/>
          <w:sz w:val="18"/>
          <w:szCs w:val="18"/>
          <w:color w:val="auto"/>
        </w:rPr>
      </w:pPr>
    </w:p>
    <w:p>
      <w:pPr>
        <w:ind w:left="660" w:firstLine="645"/>
        <w:spacing w:after="0" w:line="286" w:lineRule="auto"/>
        <w:tabs>
          <w:tab w:leader="none" w:pos="1623" w:val="left"/>
        </w:tabs>
        <w:numPr>
          <w:ilvl w:val="1"/>
          <w:numId w:val="4"/>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this Article II, Section 11.</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Only persons who are nominated in accordance with the procedures set forth in Article II, Section 11(b) and (c) shall be eligible for election as directors.</w:t>
      </w:r>
    </w:p>
    <w:p>
      <w:pPr>
        <w:spacing w:after="0" w:line="237" w:lineRule="exact"/>
        <w:rPr>
          <w:sz w:val="20"/>
          <w:szCs w:val="20"/>
          <w:color w:val="auto"/>
        </w:rPr>
      </w:pPr>
    </w:p>
    <w:p>
      <w:pPr>
        <w:ind w:right="20" w:firstLine="656"/>
        <w:spacing w:after="0" w:line="255" w:lineRule="auto"/>
        <w:tabs>
          <w:tab w:leader="none" w:pos="103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this Article II, Section 11(b).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193" w:lineRule="exact"/>
        <w:rPr>
          <w:rFonts w:ascii="Arial" w:cs="Arial" w:eastAsia="Arial" w:hAnsi="Arial"/>
          <w:sz w:val="18"/>
          <w:szCs w:val="18"/>
          <w:color w:val="auto"/>
        </w:rPr>
      </w:pPr>
    </w:p>
    <w:p>
      <w:pPr>
        <w:ind w:left="1520" w:hanging="21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25" w:lineRule="exact"/>
        <w:rPr>
          <w:rFonts w:ascii="Arial" w:cs="Arial" w:eastAsia="Arial" w:hAnsi="Arial"/>
          <w:sz w:val="18"/>
          <w:szCs w:val="18"/>
          <w:color w:val="auto"/>
        </w:rPr>
      </w:pPr>
    </w:p>
    <w:p>
      <w:pPr>
        <w:ind w:left="660" w:right="20" w:firstLine="645"/>
        <w:spacing w:after="0" w:line="286" w:lineRule="auto"/>
        <w:tabs>
          <w:tab w:leader="none" w:pos="162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spacing w:after="0" w:line="165" w:lineRule="exact"/>
        <w:rPr>
          <w:rFonts w:ascii="Arial" w:cs="Arial" w:eastAsia="Arial" w:hAnsi="Arial"/>
          <w:sz w:val="17"/>
          <w:szCs w:val="17"/>
          <w:color w:val="auto"/>
        </w:rPr>
      </w:pPr>
    </w:p>
    <w:p>
      <w:pPr>
        <w:ind w:left="660" w:firstLine="645"/>
        <w:spacing w:after="0" w:line="272" w:lineRule="auto"/>
        <w:tabs>
          <w:tab w:leader="none" w:pos="161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96" w:right="259" w:bottom="1440" w:gutter="0" w:footer="0" w:header="0"/>
        </w:sectPr>
      </w:pPr>
    </w:p>
    <w:bookmarkStart w:id="9" w:name="page10"/>
    <w:bookmarkEnd w:id="9"/>
    <w:p>
      <w:pPr>
        <w:ind w:left="660"/>
        <w:spacing w:after="0"/>
        <w:rPr>
          <w:sz w:val="20"/>
          <w:szCs w:val="20"/>
          <w:color w:val="auto"/>
        </w:rPr>
      </w:pPr>
      <w:r>
        <w:rPr>
          <w:rFonts w:ascii="Arial" w:cs="Arial" w:eastAsia="Arial" w:hAnsi="Arial"/>
          <w:sz w:val="17"/>
          <w:szCs w:val="17"/>
          <w:color w:val="auto"/>
        </w:rPr>
        <w:t>14(a) of the Securities Exchange Act of 1934, as amended, and the rules and regulations promulgated thereunder (the “Exchange Act”),</w:t>
      </w:r>
    </w:p>
    <w:p>
      <w:pPr>
        <w:spacing w:after="0" w:line="237" w:lineRule="exact"/>
        <w:rPr>
          <w:sz w:val="20"/>
          <w:szCs w:val="20"/>
          <w:color w:val="auto"/>
        </w:rPr>
      </w:pPr>
    </w:p>
    <w:p>
      <w:pPr>
        <w:ind w:left="660" w:firstLine="645"/>
        <w:spacing w:after="0" w:line="257" w:lineRule="auto"/>
        <w:tabs>
          <w:tab w:leader="none" w:pos="156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spacing w:after="0" w:line="188" w:lineRule="exact"/>
        <w:rPr>
          <w:rFonts w:ascii="Arial" w:cs="Arial" w:eastAsia="Arial" w:hAnsi="Arial"/>
          <w:sz w:val="18"/>
          <w:szCs w:val="18"/>
          <w:color w:val="auto"/>
        </w:rPr>
      </w:pPr>
    </w:p>
    <w:p>
      <w:pPr>
        <w:ind w:left="660" w:right="20" w:firstLine="645"/>
        <w:spacing w:after="0" w:line="268" w:lineRule="auto"/>
        <w:tabs>
          <w:tab w:leader="none" w:pos="1613"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18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181" w:lineRule="exact"/>
        <w:rPr>
          <w:sz w:val="20"/>
          <w:szCs w:val="20"/>
          <w:color w:val="auto"/>
        </w:rPr>
      </w:pPr>
    </w:p>
    <w:p>
      <w:pPr>
        <w:ind w:right="40" w:firstLine="656"/>
        <w:spacing w:after="0" w:line="270" w:lineRule="auto"/>
        <w:tabs>
          <w:tab w:leader="none" w:pos="1028" w:val="left"/>
        </w:tabs>
        <w:numPr>
          <w:ilvl w:val="0"/>
          <w:numId w:val="7"/>
        </w:numPr>
        <w:rPr>
          <w:rFonts w:ascii="Arial" w:cs="Arial" w:eastAsia="Arial" w:hAnsi="Arial"/>
          <w:sz w:val="17"/>
          <w:szCs w:val="17"/>
          <w:color w:val="auto"/>
        </w:rPr>
      </w:pPr>
      <w:r>
        <w:rPr>
          <w:rFonts w:ascii="Arial" w:cs="Arial" w:eastAsia="Arial" w:hAnsi="Arial"/>
          <w:sz w:val="17"/>
          <w:szCs w:val="17"/>
          <w:color w:val="auto"/>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177" w:lineRule="exact"/>
        <w:rPr>
          <w:rFonts w:ascii="Arial" w:cs="Arial" w:eastAsia="Arial" w:hAnsi="Arial"/>
          <w:sz w:val="17"/>
          <w:szCs w:val="17"/>
          <w:color w:val="auto"/>
        </w:rPr>
      </w:pPr>
    </w:p>
    <w:p>
      <w:pPr>
        <w:ind w:right="80" w:firstLine="1305"/>
        <w:spacing w:after="0" w:line="272" w:lineRule="auto"/>
        <w:tabs>
          <w:tab w:leader="none" w:pos="1693"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0" w:name="page11"/>
    <w:bookmarkEnd w:id="10"/>
    <w:p>
      <w:pPr>
        <w:ind w:firstLine="1305"/>
        <w:spacing w:after="0" w:line="273" w:lineRule="auto"/>
        <w:tabs>
          <w:tab w:leader="none" w:pos="1746"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 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178" w:lineRule="exact"/>
        <w:rPr>
          <w:rFonts w:ascii="Arial" w:cs="Arial" w:eastAsia="Arial" w:hAnsi="Arial"/>
          <w:sz w:val="17"/>
          <w:szCs w:val="17"/>
          <w:color w:val="auto"/>
        </w:rPr>
      </w:pPr>
    </w:p>
    <w:p>
      <w:pPr>
        <w:ind w:right="80" w:firstLine="1305"/>
        <w:spacing w:after="0" w:line="302" w:lineRule="auto"/>
        <w:tabs>
          <w:tab w:leader="none" w:pos="1733"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maximum number of Stockholder Nominees nominated by all Eligible Stockholders that will be included in the corporation’s proxy materials with respect to an annual meeting of stockholders shall not exceed the greater of (A) two (2) and (B) 20 % 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spacing w:after="0" w:line="154" w:lineRule="exact"/>
        <w:rPr>
          <w:rFonts w:ascii="Arial" w:cs="Arial" w:eastAsia="Arial" w:hAnsi="Arial"/>
          <w:sz w:val="16"/>
          <w:szCs w:val="16"/>
          <w:color w:val="auto"/>
        </w:rPr>
      </w:pPr>
    </w:p>
    <w:p>
      <w:pPr>
        <w:ind w:right="40" w:firstLine="656"/>
        <w:spacing w:after="0" w:line="257" w:lineRule="auto"/>
        <w:tabs>
          <w:tab w:leader="none" w:pos="9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spacing w:after="0" w:line="188" w:lineRule="exact"/>
        <w:rPr>
          <w:rFonts w:ascii="Arial" w:cs="Arial" w:eastAsia="Arial" w:hAnsi="Arial"/>
          <w:sz w:val="18"/>
          <w:szCs w:val="18"/>
          <w:color w:val="auto"/>
        </w:rPr>
      </w:pPr>
    </w:p>
    <w:p>
      <w:pPr>
        <w:ind w:right="140" w:firstLine="656"/>
        <w:spacing w:after="0" w:line="312" w:lineRule="auto"/>
        <w:tabs>
          <w:tab w:leader="none" w:pos="93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spacing w:after="0" w:line="167" w:lineRule="exact"/>
        <w:rPr>
          <w:sz w:val="20"/>
          <w:szCs w:val="20"/>
          <w:color w:val="auto"/>
        </w:rPr>
      </w:pPr>
    </w:p>
    <w:p>
      <w:pPr>
        <w:ind w:firstLine="1305"/>
        <w:spacing w:after="0" w:line="270" w:lineRule="auto"/>
        <w:tabs>
          <w:tab w:leader="none" w:pos="16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4" w:right="279" w:bottom="1440" w:gutter="0" w:footer="0" w:header="0"/>
        </w:sectPr>
      </w:pPr>
    </w:p>
    <w:bookmarkStart w:id="11" w:name="page12"/>
    <w:bookmarkEnd w:id="11"/>
    <w:p>
      <w:pPr>
        <w:jc w:val="both"/>
        <w:ind w:right="200"/>
        <w:spacing w:after="0" w:line="286" w:lineRule="auto"/>
        <w:rPr>
          <w:sz w:val="20"/>
          <w:szCs w:val="20"/>
          <w:color w:val="auto"/>
        </w:rPr>
      </w:pPr>
      <w:r>
        <w:rPr>
          <w:rFonts w:ascii="Arial" w:cs="Arial" w:eastAsia="Arial" w:hAnsi="Arial"/>
          <w:sz w:val="17"/>
          <w:szCs w:val="17"/>
          <w:color w:val="auto"/>
        </w:rPr>
        <w:t>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16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394" w:lineRule="exact"/>
        <w:rPr>
          <w:sz w:val="20"/>
          <w:szCs w:val="20"/>
          <w:color w:val="auto"/>
        </w:rPr>
      </w:pPr>
    </w:p>
    <w:p>
      <w:pPr>
        <w:ind w:right="20" w:firstLine="1305"/>
        <w:spacing w:after="0" w:line="286" w:lineRule="auto"/>
        <w:tabs>
          <w:tab w:leader="none" w:pos="17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Within the time period specified in Article II, Section 11(c)(ii) for the Proxy Access Nomination Notice, an Eligible Stockholder must provide in writing to the Secretary, with respect to the Stockholder Nominee, in addition to the information and representations required to be provided in the stockholder’s notice pursuant to Article II, Section 11(b),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168" w:lineRule="exact"/>
        <w:rPr>
          <w:rFonts w:ascii="Arial" w:cs="Arial" w:eastAsia="Arial" w:hAnsi="Arial"/>
          <w:sz w:val="16"/>
          <w:szCs w:val="16"/>
          <w:color w:val="auto"/>
        </w:rPr>
      </w:pPr>
    </w:p>
    <w:p>
      <w:pPr>
        <w:ind w:firstLine="1305"/>
        <w:spacing w:after="0" w:line="270" w:lineRule="auto"/>
        <w:tabs>
          <w:tab w:leader="none" w:pos="17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2" w:name="page13"/>
    <w:bookmarkEnd w:id="12"/>
    <w:p>
      <w:pPr>
        <w:spacing w:after="0" w:line="283" w:lineRule="auto"/>
        <w:rPr>
          <w:sz w:val="20"/>
          <w:szCs w:val="20"/>
          <w:color w:val="auto"/>
        </w:rPr>
      </w:pPr>
      <w:r>
        <w:rPr>
          <w:rFonts w:ascii="Arial" w:cs="Arial" w:eastAsia="Arial" w:hAnsi="Arial"/>
          <w:sz w:val="16"/>
          <w:szCs w:val="16"/>
          <w:color w:val="auto"/>
        </w:rPr>
        <w:t>mail) of the record date (if such notice is provided after the record date); and (2) immediate notice if the Eligible Stockholder ceases to own any of the Required Shares prior to the date of the annual meeting of stockholders; (C) documentation satisfactory to the Company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190" w:lineRule="exact"/>
        <w:rPr>
          <w:sz w:val="20"/>
          <w:szCs w:val="20"/>
          <w:color w:val="auto"/>
        </w:rPr>
      </w:pPr>
    </w:p>
    <w:p>
      <w:pPr>
        <w:ind w:right="100" w:firstLine="1305"/>
        <w:spacing w:after="0" w:line="302" w:lineRule="auto"/>
        <w:tabs>
          <w:tab w:leader="none" w:pos="18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54" w:lineRule="exact"/>
        <w:rPr>
          <w:rFonts w:ascii="Arial" w:cs="Arial" w:eastAsia="Arial" w:hAnsi="Arial"/>
          <w:sz w:val="16"/>
          <w:szCs w:val="16"/>
          <w:color w:val="auto"/>
        </w:rPr>
      </w:pPr>
    </w:p>
    <w:p>
      <w:pPr>
        <w:ind w:firstLine="1305"/>
        <w:spacing w:after="0" w:line="257" w:lineRule="auto"/>
        <w:tabs>
          <w:tab w:leader="none" w:pos="17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spacing w:after="0" w:line="188" w:lineRule="exact"/>
        <w:rPr>
          <w:rFonts w:ascii="Arial" w:cs="Arial" w:eastAsia="Arial" w:hAnsi="Arial"/>
          <w:sz w:val="18"/>
          <w:szCs w:val="18"/>
          <w:color w:val="auto"/>
        </w:rPr>
      </w:pPr>
    </w:p>
    <w:p>
      <w:pPr>
        <w:ind w:right="80" w:firstLine="1305"/>
        <w:spacing w:after="0" w:line="273" w:lineRule="auto"/>
        <w:tabs>
          <w:tab w:leader="none" w:pos="16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3" w:name="page14"/>
    <w:bookmarkEnd w:id="13"/>
    <w:p>
      <w:pPr>
        <w:spacing w:after="0" w:line="287" w:lineRule="auto"/>
        <w:rPr>
          <w:sz w:val="20"/>
          <w:szCs w:val="20"/>
          <w:color w:val="auto"/>
        </w:rPr>
      </w:pPr>
      <w:r>
        <w:rPr>
          <w:rFonts w:ascii="Arial" w:cs="Arial" w:eastAsia="Arial" w:hAnsi="Arial"/>
          <w:sz w:val="16"/>
          <w:szCs w:val="16"/>
          <w:color w:val="auto"/>
        </w:rPr>
        <w:t>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spacing w:after="0" w:line="173" w:lineRule="exact"/>
        <w:rPr>
          <w:sz w:val="20"/>
          <w:szCs w:val="20"/>
          <w:color w:val="auto"/>
        </w:rPr>
      </w:pPr>
    </w:p>
    <w:p>
      <w:pPr>
        <w:ind w:right="60" w:firstLine="1305"/>
        <w:spacing w:after="0" w:line="272" w:lineRule="auto"/>
        <w:tabs>
          <w:tab w:leader="none" w:pos="1736"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spacing w:after="0" w:line="177" w:lineRule="exact"/>
        <w:rPr>
          <w:rFonts w:ascii="Arial" w:cs="Arial" w:eastAsia="Arial" w:hAnsi="Arial"/>
          <w:sz w:val="17"/>
          <w:szCs w:val="17"/>
          <w:color w:val="auto"/>
        </w:rPr>
      </w:pPr>
    </w:p>
    <w:p>
      <w:pPr>
        <w:ind w:right="100" w:firstLine="1305"/>
        <w:spacing w:after="0" w:line="279" w:lineRule="auto"/>
        <w:tabs>
          <w:tab w:leader="none" w:pos="177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spacing w:after="0" w:line="171" w:lineRule="exact"/>
        <w:rPr>
          <w:rFonts w:ascii="Arial" w:cs="Arial" w:eastAsia="Arial" w:hAnsi="Arial"/>
          <w:sz w:val="17"/>
          <w:szCs w:val="17"/>
          <w:color w:val="auto"/>
        </w:rPr>
      </w:pPr>
    </w:p>
    <w:p>
      <w:pPr>
        <w:ind w:right="220" w:firstLine="1305"/>
        <w:spacing w:after="0" w:line="277" w:lineRule="auto"/>
        <w:tabs>
          <w:tab w:leader="none" w:pos="1833"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Article II, Section 11(c) provides the exclusive method for stockholders to include nominees for director in the corporation’s proxy materials with respect to an annual meeting of stockholders.</w:t>
      </w:r>
    </w:p>
    <w:p>
      <w:pPr>
        <w:spacing w:after="0" w:line="170" w:lineRule="exact"/>
        <w:rPr>
          <w:rFonts w:ascii="Arial" w:cs="Arial" w:eastAsia="Arial" w:hAnsi="Arial"/>
          <w:sz w:val="18"/>
          <w:szCs w:val="18"/>
          <w:color w:val="auto"/>
        </w:rPr>
      </w:pPr>
    </w:p>
    <w:p>
      <w:pPr>
        <w:ind w:right="640" w:firstLine="656"/>
        <w:spacing w:after="0" w:line="277" w:lineRule="auto"/>
        <w:tabs>
          <w:tab w:leader="none" w:pos="10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the meeting,</w:t>
      </w:r>
    </w:p>
    <w:p>
      <w:pPr>
        <w:spacing w:after="0" w:line="248" w:lineRule="exact"/>
        <w:rPr>
          <w:rFonts w:ascii="Arial" w:cs="Arial" w:eastAsia="Arial" w:hAnsi="Arial"/>
          <w:sz w:val="16"/>
          <w:szCs w:val="16"/>
          <w:color w:val="auto"/>
        </w:rPr>
      </w:pPr>
    </w:p>
    <w:p>
      <w:pPr>
        <w:jc w:val="both"/>
        <w:ind w:left="660" w:right="320" w:firstLine="645"/>
        <w:spacing w:after="0" w:line="312" w:lineRule="auto"/>
        <w:tabs>
          <w:tab w:leader="none" w:pos="157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46" w:lineRule="exact"/>
        <w:rPr>
          <w:rFonts w:ascii="Arial" w:cs="Arial" w:eastAsia="Arial" w:hAnsi="Arial"/>
          <w:sz w:val="16"/>
          <w:szCs w:val="16"/>
          <w:color w:val="auto"/>
        </w:rPr>
      </w:pPr>
    </w:p>
    <w:p>
      <w:pPr>
        <w:ind w:left="660" w:right="40" w:firstLine="645"/>
        <w:spacing w:after="0" w:line="259" w:lineRule="auto"/>
        <w:tabs>
          <w:tab w:leader="none" w:pos="16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186" w:lineRule="exact"/>
        <w:rPr>
          <w:rFonts w:ascii="Arial" w:cs="Arial" w:eastAsia="Arial" w:hAnsi="Arial"/>
          <w:sz w:val="18"/>
          <w:szCs w:val="18"/>
          <w:color w:val="auto"/>
        </w:rPr>
      </w:pPr>
    </w:p>
    <w:p>
      <w:pPr>
        <w:ind w:left="1600" w:hanging="295"/>
        <w:spacing w:after="0"/>
        <w:tabs>
          <w:tab w:leader="none" w:pos="1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2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4" w:right="279" w:bottom="1440" w:gutter="0" w:footer="0" w:header="0"/>
        </w:sectPr>
      </w:pPr>
    </w:p>
    <w:bookmarkStart w:id="14" w:name="page15"/>
    <w:bookmarkEnd w:id="14"/>
    <w:p>
      <w:pPr>
        <w:ind w:right="340" w:firstLine="656"/>
        <w:spacing w:after="0" w:line="264" w:lineRule="auto"/>
        <w:tabs>
          <w:tab w:leader="none" w:pos="10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by or at the direction of the Board of Directors or any committee thereof (or stockholders pursuant to Article II, Section 5 above), or</w:t>
      </w:r>
    </w:p>
    <w:p>
      <w:pPr>
        <w:spacing w:after="0" w:line="236" w:lineRule="exact"/>
        <w:rPr>
          <w:rFonts w:ascii="Arial" w:cs="Arial" w:eastAsia="Arial" w:hAnsi="Arial"/>
          <w:sz w:val="17"/>
          <w:szCs w:val="17"/>
          <w:color w:val="auto"/>
        </w:rPr>
      </w:pPr>
    </w:p>
    <w:p>
      <w:pPr>
        <w:ind w:left="660" w:right="180" w:firstLine="645"/>
        <w:spacing w:after="0" w:line="259" w:lineRule="auto"/>
        <w:tabs>
          <w:tab w:leader="none" w:pos="1573"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178" w:lineRule="exact"/>
        <w:rPr>
          <w:sz w:val="20"/>
          <w:szCs w:val="20"/>
          <w:color w:val="auto"/>
        </w:rPr>
      </w:pPr>
    </w:p>
    <w:p>
      <w:pPr>
        <w:ind w:left="1020" w:hanging="36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5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70" w:lineRule="exact"/>
        <w:rPr>
          <w:rFonts w:ascii="Arial" w:cs="Arial" w:eastAsia="Arial" w:hAnsi="Arial"/>
          <w:sz w:val="18"/>
          <w:szCs w:val="18"/>
          <w:color w:val="auto"/>
        </w:rPr>
      </w:pPr>
    </w:p>
    <w:p>
      <w:pPr>
        <w:ind w:left="660" w:right="20" w:firstLine="645"/>
        <w:spacing w:after="0" w:line="290" w:lineRule="auto"/>
        <w:tabs>
          <w:tab w:leader="none" w:pos="1573" w:val="left"/>
        </w:tabs>
        <w:numPr>
          <w:ilvl w:val="1"/>
          <w:numId w:val="16"/>
        </w:numPr>
        <w:rPr>
          <w:rFonts w:ascii="Arial" w:cs="Arial" w:eastAsia="Arial" w:hAnsi="Arial"/>
          <w:sz w:val="16"/>
          <w:szCs w:val="16"/>
          <w:color w:val="auto"/>
        </w:rPr>
      </w:pPr>
      <w:r>
        <w:rPr>
          <w:rFonts w:ascii="Arial" w:cs="Arial" w:eastAsia="Arial" w:hAnsi="Arial"/>
          <w:sz w:val="16"/>
          <w:szCs w:val="16"/>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16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Conduct of Meetings.</w:t>
      </w:r>
    </w:p>
    <w:p>
      <w:pPr>
        <w:spacing w:after="0" w:line="229" w:lineRule="exact"/>
        <w:rPr>
          <w:sz w:val="20"/>
          <w:szCs w:val="20"/>
          <w:color w:val="auto"/>
        </w:rPr>
      </w:pPr>
    </w:p>
    <w:p>
      <w:pPr>
        <w:ind w:right="40" w:firstLine="656"/>
        <w:spacing w:after="0" w:line="259" w:lineRule="auto"/>
        <w:tabs>
          <w:tab w:leader="none" w:pos="10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86" w:lineRule="exact"/>
        <w:rPr>
          <w:rFonts w:ascii="Arial" w:cs="Arial" w:eastAsia="Arial" w:hAnsi="Arial"/>
          <w:sz w:val="18"/>
          <w:szCs w:val="18"/>
          <w:color w:val="auto"/>
        </w:rPr>
      </w:pPr>
    </w:p>
    <w:p>
      <w:pPr>
        <w:ind w:firstLine="656"/>
        <w:spacing w:after="0" w:line="269" w:lineRule="auto"/>
        <w:tabs>
          <w:tab w:leader="none" w:pos="10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18"/>
          <w:szCs w:val="18"/>
          <w:color w:val="auto"/>
        </w:rPr>
        <w:t>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84"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Inspector of Elections.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 - DIRECTORS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Number of Directors.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authorized number of directors of the corporation shall be eight.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Election of Directors.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Majority Voting.</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 recommendation, and publicly disclose its decision and the rationale behind it within ninety (90) days from the date of the certification of the election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6" w:name="page17"/>
    <w:bookmarkEnd w:id="16"/>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color w:val="auto"/>
        </w:rPr>
        <w:t>Resignation of Directors.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Removal of Directors.</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Vacancies.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Powers.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Place of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Notice.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6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6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80" w:right="319" w:bottom="1440" w:gutter="0" w:footer="0" w:header="0"/>
        </w:sectPr>
      </w:pPr>
    </w:p>
    <w:bookmarkStart w:id="17" w:name="page18"/>
    <w:bookmarkEnd w:id="17"/>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Written Consent.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Meeting by Telephone.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Board Committees.</w:t>
      </w:r>
    </w:p>
    <w:p>
      <w:pPr>
        <w:spacing w:after="0" w:line="229" w:lineRule="exact"/>
        <w:rPr>
          <w:sz w:val="20"/>
          <w:szCs w:val="20"/>
          <w:color w:val="auto"/>
        </w:rPr>
      </w:pPr>
    </w:p>
    <w:p>
      <w:pPr>
        <w:ind w:firstLine="656"/>
        <w:spacing w:after="0" w:line="291" w:lineRule="auto"/>
        <w:tabs>
          <w:tab w:leader="none" w:pos="102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Board of Directors may designate an executive committee consisting of one or more of the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67" w:lineRule="exact"/>
        <w:rPr>
          <w:rFonts w:ascii="Arial" w:cs="Arial" w:eastAsia="Arial" w:hAnsi="Arial"/>
          <w:sz w:val="16"/>
          <w:szCs w:val="16"/>
          <w:color w:val="auto"/>
        </w:rPr>
      </w:pPr>
    </w:p>
    <w:p>
      <w:pPr>
        <w:ind w:right="20" w:firstLine="656"/>
        <w:spacing w:after="0" w:line="270" w:lineRule="auto"/>
        <w:tabs>
          <w:tab w:leader="none" w:pos="1038"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81" w:lineRule="exact"/>
        <w:rPr>
          <w:rFonts w:ascii="Arial" w:cs="Arial" w:eastAsia="Arial" w:hAnsi="Arial"/>
          <w:sz w:val="17"/>
          <w:szCs w:val="17"/>
          <w:color w:val="auto"/>
        </w:rPr>
      </w:pPr>
    </w:p>
    <w:p>
      <w:pPr>
        <w:jc w:val="both"/>
        <w:ind w:right="40" w:firstLine="656"/>
        <w:spacing w:after="0" w:line="259" w:lineRule="auto"/>
        <w:tabs>
          <w:tab w:leader="none" w:pos="102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 may</w:t>
      </w:r>
      <w:r>
        <w:rPr>
          <w:rFonts w:ascii="Arial" w:cs="Arial" w:eastAsia="Arial" w:hAnsi="Arial"/>
          <w:sz w:val="18"/>
          <w:szCs w:val="18"/>
          <w:i w:val="1"/>
          <w:iCs w:val="1"/>
          <w:color w:val="auto"/>
        </w:rPr>
        <w:t xml:space="preserve"> </w:t>
      </w:r>
      <w:r>
        <w:rPr>
          <w:rFonts w:ascii="Arial" w:cs="Arial" w:eastAsia="Arial" w:hAnsi="Arial"/>
          <w:sz w:val="18"/>
          <w:szCs w:val="18"/>
          <w:color w:val="auto"/>
        </w:rPr>
        <w:t>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Compensation of Directors.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796" w:right="2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ARTICLE IV - NOTICES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Notice to Directors and Stockholders.</w:t>
      </w:r>
    </w:p>
    <w:p>
      <w:pPr>
        <w:spacing w:after="0" w:line="229"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Waiver of Notice.</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 - OFFICERS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Officers.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Appointment of Officers.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Subordinate Officers.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Removal and Resignation of Officers.</w:t>
      </w:r>
    </w:p>
    <w:p>
      <w:pPr>
        <w:spacing w:after="0" w:line="229" w:lineRule="exact"/>
        <w:rPr>
          <w:sz w:val="20"/>
          <w:szCs w:val="20"/>
          <w:color w:val="auto"/>
        </w:rPr>
      </w:pPr>
    </w:p>
    <w:p>
      <w:pPr>
        <w:ind w:right="20" w:firstLine="656"/>
        <w:spacing w:after="0" w:line="279" w:lineRule="auto"/>
        <w:tabs>
          <w:tab w:leader="none" w:pos="102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Removal</w:t>
      </w:r>
      <w:r>
        <w:rPr>
          <w:rFonts w:ascii="Arial" w:cs="Arial" w:eastAsia="Arial" w:hAnsi="Arial"/>
          <w:sz w:val="17"/>
          <w:szCs w:val="17"/>
          <w:color w:val="auto"/>
        </w:rPr>
        <w:t>. Subject to the rights, if any, of an officer under any contract of employment, any officer may be removed, either with or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71" w:lineRule="exact"/>
        <w:rPr>
          <w:rFonts w:ascii="Arial" w:cs="Arial" w:eastAsia="Arial" w:hAnsi="Arial"/>
          <w:sz w:val="17"/>
          <w:szCs w:val="17"/>
          <w:color w:val="auto"/>
        </w:rPr>
      </w:pPr>
    </w:p>
    <w:p>
      <w:pPr>
        <w:ind w:firstLine="656"/>
        <w:spacing w:after="0" w:line="259" w:lineRule="auto"/>
        <w:tabs>
          <w:tab w:leader="none" w:pos="103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5" w:right="259" w:bottom="1440" w:gutter="0" w:footer="0" w:header="0"/>
        </w:sectPr>
      </w:pPr>
    </w:p>
    <w:bookmarkStart w:id="19" w:name="page20"/>
    <w:bookmarkEnd w:id="19"/>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Vacancies in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Representation of Shares of Other Corporations.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Authority and Duties of Officers.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 - CERTIFICATES OF STOCK</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Certificates.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Signatures on Certificates.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Lost Certificates.</w:t>
      </w:r>
    </w:p>
    <w:p>
      <w:pPr>
        <w:spacing w:after="0" w:line="229"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against any claim that may be made against the corporation with respect to the certificate alleged to have been lost, stolen or destroyed.</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Transfer of Stock.</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ind w:firstLine="656"/>
        <w:spacing w:after="0" w:line="269" w:lineRule="auto"/>
        <w:tabs>
          <w:tab w:leader="none" w:pos="10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179" w:lineRule="exact"/>
        <w:rPr>
          <w:rFonts w:ascii="Arial" w:cs="Arial" w:eastAsia="Arial" w:hAnsi="Arial"/>
          <w:sz w:val="17"/>
          <w:szCs w:val="17"/>
          <w:color w:val="auto"/>
        </w:rPr>
      </w:pPr>
    </w:p>
    <w:p>
      <w:pPr>
        <w:ind w:right="20" w:firstLine="656"/>
        <w:spacing w:after="0" w:line="276" w:lineRule="auto"/>
        <w:tabs>
          <w:tab w:leader="none" w:pos="103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Registered Stockholders.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 FORUM FOR DISPUTES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Forum for Disputes.</w:t>
      </w:r>
    </w:p>
    <w:p>
      <w:pPr>
        <w:spacing w:after="0" w:line="229" w:lineRule="exact"/>
        <w:rPr>
          <w:sz w:val="20"/>
          <w:szCs w:val="20"/>
          <w:color w:val="auto"/>
        </w:rPr>
      </w:pPr>
    </w:p>
    <w:p>
      <w:pPr>
        <w:ind w:right="20" w:firstLine="656"/>
        <w:spacing w:after="0" w:line="257" w:lineRule="auto"/>
        <w:tabs>
          <w:tab w:leader="none" w:pos="10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188" w:lineRule="exact"/>
        <w:rPr>
          <w:rFonts w:ascii="Arial" w:cs="Arial" w:eastAsia="Arial" w:hAnsi="Arial"/>
          <w:sz w:val="18"/>
          <w:szCs w:val="18"/>
          <w:color w:val="auto"/>
        </w:rPr>
      </w:pPr>
    </w:p>
    <w:p>
      <w:pPr>
        <w:ind w:right="380" w:firstLine="656"/>
        <w:spacing w:after="0" w:line="264" w:lineRule="auto"/>
        <w:tabs>
          <w:tab w:leader="none" w:pos="10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1" w:name="page22"/>
    <w:bookmarkEnd w:id="21"/>
    <w:p>
      <w:pPr>
        <w:ind w:right="60"/>
        <w:spacing w:after="0" w:line="264" w:lineRule="auto"/>
        <w:rPr>
          <w:sz w:val="20"/>
          <w:szCs w:val="20"/>
          <w:color w:val="auto"/>
        </w:rPr>
      </w:pPr>
      <w:r>
        <w:rPr>
          <w:rFonts w:ascii="Arial" w:cs="Arial" w:eastAsia="Arial" w:hAnsi="Arial"/>
          <w:sz w:val="18"/>
          <w:szCs w:val="18"/>
          <w:color w:val="auto"/>
        </w:rPr>
        <w:t>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181" w:lineRule="exact"/>
        <w:rPr>
          <w:sz w:val="20"/>
          <w:szCs w:val="20"/>
          <w:color w:val="auto"/>
        </w:rPr>
      </w:pPr>
    </w:p>
    <w:p>
      <w:pPr>
        <w:ind w:right="440" w:firstLine="656"/>
        <w:spacing w:after="0" w:line="277" w:lineRule="auto"/>
        <w:tabs>
          <w:tab w:leader="none" w:pos="10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70" w:lineRule="exact"/>
        <w:rPr>
          <w:rFonts w:ascii="Arial" w:cs="Arial" w:eastAsia="Arial" w:hAnsi="Arial"/>
          <w:sz w:val="18"/>
          <w:szCs w:val="18"/>
          <w:color w:val="auto"/>
        </w:rPr>
      </w:pPr>
    </w:p>
    <w:p>
      <w:pPr>
        <w:ind w:right="80" w:firstLine="656"/>
        <w:spacing w:after="0" w:line="277" w:lineRule="auto"/>
        <w:tabs>
          <w:tab w:leader="none" w:pos="10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 - GENERAL PROVISIONS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Dividends.</w:t>
      </w:r>
    </w:p>
    <w:p>
      <w:pPr>
        <w:spacing w:after="0" w:line="229" w:lineRule="exact"/>
        <w:rPr>
          <w:sz w:val="20"/>
          <w:szCs w:val="20"/>
          <w:color w:val="auto"/>
        </w:rPr>
      </w:pPr>
    </w:p>
    <w:p>
      <w:pPr>
        <w:ind w:right="120" w:firstLine="656"/>
        <w:spacing w:after="0" w:line="264" w:lineRule="auto"/>
        <w:tabs>
          <w:tab w:leader="none" w:pos="102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 if</w:t>
      </w:r>
      <w:r>
        <w:rPr>
          <w:rFonts w:ascii="Arial" w:cs="Arial" w:eastAsia="Arial" w:hAnsi="Arial"/>
          <w:sz w:val="18"/>
          <w:szCs w:val="18"/>
          <w:i w:val="1"/>
          <w:iCs w:val="1"/>
          <w:color w:val="auto"/>
        </w:rPr>
        <w:t xml:space="preserve"> </w:t>
      </w:r>
      <w:r>
        <w:rPr>
          <w:rFonts w:ascii="Arial" w:cs="Arial" w:eastAsia="Arial" w:hAnsi="Arial"/>
          <w:sz w:val="18"/>
          <w:szCs w:val="18"/>
          <w:color w:val="auto"/>
        </w:rPr>
        <w:t>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038"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 sum</w:t>
      </w:r>
      <w:r>
        <w:rPr>
          <w:rFonts w:ascii="Arial" w:cs="Arial" w:eastAsia="Arial" w:hAnsi="Arial"/>
          <w:sz w:val="17"/>
          <w:szCs w:val="17"/>
          <w:i w:val="1"/>
          <w:iCs w:val="1"/>
          <w:color w:val="auto"/>
        </w:rPr>
        <w:t xml:space="preserve"> </w:t>
      </w:r>
      <w:r>
        <w:rPr>
          <w:rFonts w:ascii="Arial" w:cs="Arial" w:eastAsia="Arial" w:hAnsi="Arial"/>
          <w:sz w:val="17"/>
          <w:szCs w:val="17"/>
          <w:color w:val="auto"/>
        </w:rPr>
        <w:t>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3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Checks.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Corporate Seal</w:t>
      </w:r>
      <w:r>
        <w:rPr>
          <w:rFonts w:ascii="Arial" w:cs="Arial" w:eastAsia="Arial" w:hAnsi="Arial"/>
          <w:sz w:val="16"/>
          <w:szCs w:val="16"/>
          <w:color w:val="auto"/>
        </w:rPr>
        <w: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Advancement of Expenses.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22" w:name="page23"/>
    <w:bookmarkEnd w:id="22"/>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Amendment.</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1"/>
    </w:lvl>
    <w:lvl w:ilvl="1">
      <w:lvlJc w:val="left"/>
      <w:lvlText w:val="(%2)"/>
      <w:numFmt w:val="lowerRoman"/>
      <w:start w:val="1"/>
    </w:lvl>
  </w:abstractNum>
  <w:abstractNum w:abstractNumId="4">
    <w:nsid w:val="DED7263"/>
    <w:multiLevelType w:val="hybridMultilevel"/>
    <w:lvl w:ilvl="0">
      <w:lvlJc w:val="left"/>
      <w:lvlText w:val="(%1)"/>
      <w:numFmt w:val="lowerLetter"/>
      <w:start w:val="2"/>
    </w:lvl>
    <w:lvl w:ilvl="1">
      <w:lvlJc w:val="left"/>
      <w:lvlText w:val="(%2)"/>
      <w:numFmt w:val="lowerRoman"/>
      <w:start w:val="1"/>
    </w:lvl>
  </w:abstractNum>
  <w:abstractNum w:abstractNumId="5">
    <w:nsid w:val="7FDCC233"/>
    <w:multiLevelType w:val="hybridMultilevel"/>
    <w:lvl w:ilvl="0">
      <w:lvlJc w:val="left"/>
      <w:lvlText w:val="(%1)"/>
      <w:numFmt w:val="lowerRoman"/>
      <w:start w:val="5"/>
    </w:lvl>
  </w:abstractNum>
  <w:abstractNum w:abstractNumId="6">
    <w:nsid w:val="1BEFD79F"/>
    <w:multiLevelType w:val="hybridMultilevel"/>
    <w:lvl w:ilvl="0">
      <w:lvlJc w:val="left"/>
      <w:lvlText w:val="(%1)"/>
      <w:numFmt w:val="lowerLetter"/>
      <w:start w:val="3"/>
    </w:lvl>
    <w:lvl w:ilvl="1">
      <w:lvlJc w:val="left"/>
      <w:lvlText w:val="(%2)"/>
      <w:numFmt w:val="lowerLetter"/>
      <w:start w:val="35"/>
    </w:lvl>
  </w:abstractNum>
  <w:abstractNum w:abstractNumId="7">
    <w:nsid w:val="41A7C4C9"/>
    <w:multiLevelType w:val="hybridMultilevel"/>
    <w:lvl w:ilvl="0">
      <w:lvlJc w:val="left"/>
      <w:lvlText w:val="%1"/>
      <w:numFmt w:val="upperLetter"/>
      <w:start w:val="1"/>
    </w:lvl>
    <w:lvl w:ilvl="1">
      <w:lvlJc w:val="left"/>
      <w:lvlText w:val="(%2)"/>
      <w:numFmt w:val="lowerRoman"/>
      <w:start w:val="3"/>
    </w:lvl>
  </w:abstractNum>
  <w:abstractNum w:abstractNumId="8">
    <w:nsid w:val="6B68079A"/>
    <w:multiLevelType w:val="hybridMultilevel"/>
    <w:lvl w:ilvl="0">
      <w:lvlJc w:val="left"/>
      <w:lvlText w:val="(%1)"/>
      <w:numFmt w:val="upperLetter"/>
      <w:start w:val="1"/>
    </w:lvl>
    <w:lvl w:ilvl="1">
      <w:lvlJc w:val="left"/>
      <w:lvlText w:val="%2"/>
      <w:numFmt w:val="lowerRoman"/>
      <w:start w:val="1"/>
    </w:lvl>
  </w:abstractNum>
  <w:abstractNum w:abstractNumId="9">
    <w:nsid w:val="4E6AFB66"/>
    <w:multiLevelType w:val="hybridMultilevel"/>
    <w:lvl w:ilvl="0">
      <w:lvlJc w:val="left"/>
      <w:lvlText w:val="(%1)"/>
      <w:numFmt w:val="lowerRoman"/>
      <w:start w:val="5"/>
    </w:lvl>
  </w:abstractNum>
  <w:abstractNum w:abstractNumId="10">
    <w:nsid w:val="25E45D32"/>
    <w:multiLevelType w:val="hybridMultilevel"/>
    <w:lvl w:ilvl="0">
      <w:lvlJc w:val="left"/>
      <w:lvlText w:val="(%1)"/>
      <w:numFmt w:val="lowerRoman"/>
      <w:start w:val="6"/>
    </w:lvl>
  </w:abstractNum>
  <w:abstractNum w:abstractNumId="11">
    <w:nsid w:val="519B500D"/>
    <w:multiLevelType w:val="hybridMultilevel"/>
    <w:lvl w:ilvl="0">
      <w:lvlJc w:val="left"/>
      <w:lvlText w:val="(%1)"/>
      <w:numFmt w:val="lowerRoman"/>
      <w:start w:val="8"/>
    </w:lvl>
  </w:abstractNum>
  <w:abstractNum w:abstractNumId="12">
    <w:nsid w:val="431BD7B7"/>
    <w:multiLevelType w:val="hybridMultilevel"/>
    <w:lvl w:ilvl="0">
      <w:lvlJc w:val="left"/>
      <w:lvlText w:val="%1"/>
      <w:numFmt w:val="lowerLetter"/>
      <w:start w:val="1"/>
    </w:lvl>
    <w:lvl w:ilvl="1">
      <w:lvlJc w:val="left"/>
      <w:lvlText w:val="(%2)"/>
      <w:numFmt w:val="lowerRoman"/>
      <w:start w:val="11"/>
    </w:lvl>
  </w:abstractNum>
  <w:abstractNum w:abstractNumId="13">
    <w:nsid w:val="3F2DBA31"/>
    <w:multiLevelType w:val="hybridMultilevel"/>
    <w:lvl w:ilvl="0">
      <w:lvlJc w:val="left"/>
      <w:lvlText w:val="(%1)"/>
      <w:numFmt w:val="lowerLetter"/>
      <w:start w:val="4"/>
    </w:lvl>
    <w:lvl w:ilvl="1">
      <w:lvlJc w:val="left"/>
      <w:lvlText w:val="(%2)"/>
      <w:numFmt w:val="lowerRoman"/>
      <w:start w:val="1"/>
    </w:lvl>
  </w:abstractNum>
  <w:abstractNum w:abstractNumId="14">
    <w:nsid w:val="7C83E458"/>
    <w:multiLevelType w:val="hybridMultilevel"/>
    <w:lvl w:ilvl="0">
      <w:lvlJc w:val="left"/>
      <w:lvlText w:val="(%1)"/>
      <w:numFmt w:val="lowerLetter"/>
      <w:start w:val="5"/>
    </w:lvl>
    <w:lvl w:ilvl="1">
      <w:lvlJc w:val="left"/>
      <w:lvlText w:val="(%2)"/>
      <w:numFmt w:val="lowerRoman"/>
      <w:start w:val="1"/>
    </w:lvl>
  </w:abstractNum>
  <w:abstractNum w:abstractNumId="15">
    <w:nsid w:val="257130A3"/>
    <w:multiLevelType w:val="hybridMultilevel"/>
    <w:lvl w:ilvl="0">
      <w:lvlJc w:val="left"/>
      <w:lvlText w:val="(%1)"/>
      <w:numFmt w:val="lowerLetter"/>
      <w:start w:val="6"/>
    </w:lvl>
    <w:lvl w:ilvl="1">
      <w:lvlJc w:val="left"/>
      <w:lvlText w:val="(%2)"/>
      <w:numFmt w:val="lowerRoman"/>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3"/>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2019-12-28T10:42:57Z</dcterms:created>
  <dcterms:modified xsi:type="dcterms:W3CDTF">2019-12-28T10:42:57Z</dcterms:modified>
</cp:coreProperties>
</file>