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26, 2024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June 26, 2024, Micron Technology, Inc. (the "Company", "we" or "our") announced the financial results for our third quarter of fiscal 2024 ended May 30, 2024. The full text of the Company's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June 26, 2024</w:t>
            </w:r>
          </w:p>
        </w:tc>
        <w:tc>
          <w:tcPr>
            <w:tcW w:w="6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80" w:type="dxa"/>
            <w:vAlign w:val="bottom"/>
          </w:tcPr>
          <w:p>
            <w:pPr>
              <w:spacing w:after="0"/>
              <w:rPr>
                <w:sz w:val="21"/>
                <w:szCs w:val="21"/>
                <w:color w:val="auto"/>
              </w:rPr>
            </w:pPr>
          </w:p>
        </w:tc>
        <w:tc>
          <w:tcPr>
            <w:tcW w:w="754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80" w:type="dxa"/>
            <w:vAlign w:val="bottom"/>
          </w:tcPr>
          <w:p>
            <w:pPr>
              <w:spacing w:after="0"/>
              <w:rPr>
                <w:sz w:val="20"/>
                <w:szCs w:val="20"/>
                <w:color w:val="auto"/>
              </w:rPr>
            </w:pPr>
            <w:r>
              <w:rPr>
                <w:rFonts w:ascii="Arial" w:cs="Arial" w:eastAsia="Arial" w:hAnsi="Arial"/>
                <w:sz w:val="18"/>
                <w:szCs w:val="18"/>
                <w:color w:val="auto"/>
              </w:rPr>
              <w:t>Date:   June 26, 2024</w:t>
            </w:r>
          </w:p>
        </w:tc>
        <w:tc>
          <w:tcPr>
            <w:tcW w:w="2680" w:type="dxa"/>
            <w:vAlign w:val="bottom"/>
          </w:tcPr>
          <w:p>
            <w:pPr>
              <w:ind w:left="17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680" w:type="dxa"/>
            <w:vAlign w:val="bottom"/>
          </w:tcPr>
          <w:p>
            <w:pPr>
              <w:spacing w:after="0"/>
              <w:rPr>
                <w:sz w:val="18"/>
                <w:szCs w:val="18"/>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680" w:type="dxa"/>
            <w:vAlign w:val="bottom"/>
          </w:tcPr>
          <w:p>
            <w:pPr>
              <w:spacing w:after="0"/>
              <w:rPr>
                <w:sz w:val="20"/>
                <w:szCs w:val="20"/>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29"/>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BD03F7"/>
              </w:rPr>
              <w:t>epompen@micron.com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86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OF FISCAL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 demand drives 50% sequential data center revenue growth and record high data center revenue mix</w:t>
      </w:r>
    </w:p>
    <w:p>
      <w:pPr>
        <w:spacing w:after="0" w:line="25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26, 2024 – Micron Technology, Inc. (Nasdaq: MU) today announced results for its third quarter of fiscal 2024,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May 30, 2024.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Q3 2024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$6.81 billion versus $5.82 billion for the prior quarter and $3.75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$332 million, or $0.30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$702 million, or $0.62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$2.48 billion versus $1.22 billion for the prior quarter and $24 million for the same period last year</w:t>
      </w:r>
    </w:p>
    <w:p>
      <w:pPr>
        <w:spacing w:after="0" w:line="221"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“Robust AI demand and strong execution enabled Micron to drive 17% sequential revenue growth, exceeding our guidance range in fiscal Q3,” said Sanjay Mehrotra, President and CEO of Micron Technology. “We are gaining share in high-margin products like High Bandwidth</w:t>
      </w:r>
    </w:p>
    <w:p>
      <w:pPr>
        <w:spacing w:after="0" w:line="1"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Memory (HBM), and our data center SSD revenue hit a record high, demonstrating the strength of our AI product portfolio across DRAM and NAND. We are excited about the expanding AI-driven opportunities ahead, and are well positioned to deliver a substantial revenue record in fiscal 2025.”</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FQ3-24</w:t>
            </w:r>
          </w:p>
        </w:tc>
        <w:tc>
          <w:tcPr>
            <w:tcW w:w="20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FQ2-24</w:t>
            </w:r>
          </w:p>
        </w:tc>
        <w:tc>
          <w:tcPr>
            <w:tcW w:w="2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FQ3-23</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FQ3-24</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FQ2-24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FQ3-23</w:t>
            </w:r>
          </w:p>
        </w:tc>
      </w:tr>
      <w:tr>
        <w:trPr>
          <w:trHeight w:val="34"/>
        </w:trPr>
        <w:tc>
          <w:tcPr>
            <w:tcW w:w="4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230"/>
        </w:trPr>
        <w:tc>
          <w:tcPr>
            <w:tcW w:w="4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6,811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5,824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D1D2D4"/>
          </w:tcPr>
          <w:p>
            <w:pPr>
              <w:spacing w:after="0"/>
              <w:rPr>
                <w:sz w:val="19"/>
                <w:szCs w:val="19"/>
                <w:color w:val="auto"/>
              </w:rPr>
            </w:pP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6,811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5,824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3,752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(603)</w:t>
            </w:r>
          </w:p>
        </w:tc>
      </w:tr>
      <w:tr>
        <w:trPr>
          <w:trHeight w:val="230"/>
        </w:trPr>
        <w:tc>
          <w:tcPr>
            <w:tcW w:w="4160" w:type="dxa"/>
            <w:vAlign w:val="bottom"/>
            <w:shd w:val="clear" w:color="auto" w:fill="D1D2D4"/>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26.9 %</w:t>
            </w: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18.5 %</w:t>
            </w:r>
          </w:p>
        </w:tc>
        <w:tc>
          <w:tcPr>
            <w:tcW w:w="22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28.1 %</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20.0 %</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i w:val="1"/>
                <w:iCs w:val="1"/>
                <w:color w:val="auto"/>
              </w:rPr>
              <w:t>(16.1 %)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866</w:t>
            </w:r>
          </w:p>
        </w:tc>
      </w:tr>
      <w:tr>
        <w:trPr>
          <w:trHeight w:val="230"/>
        </w:trPr>
        <w:tc>
          <w:tcPr>
            <w:tcW w:w="4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(1,469)</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(46.9 %)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13.8 %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(39.2 %)</w:t>
            </w:r>
          </w:p>
        </w:tc>
      </w:tr>
      <w:tr>
        <w:trPr>
          <w:trHeight w:val="230"/>
        </w:trPr>
        <w:tc>
          <w:tcPr>
            <w:tcW w:w="4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9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D1D2D4"/>
          </w:tcPr>
          <w:p>
            <w:pPr>
              <w:spacing w:after="0"/>
              <w:rPr>
                <w:sz w:val="19"/>
                <w:szCs w:val="19"/>
                <w:color w:val="auto"/>
              </w:rPr>
            </w:pP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D1D2D4"/>
          </w:tcPr>
          <w:p>
            <w:pPr>
              <w:spacing w:after="0"/>
              <w:rPr>
                <w:sz w:val="19"/>
                <w:szCs w:val="19"/>
                <w:color w:val="auto"/>
              </w:rPr>
            </w:pPr>
          </w:p>
        </w:tc>
        <w:tc>
          <w:tcPr>
            <w:tcW w:w="10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(1,565)</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(1.43)</w:t>
            </w:r>
          </w:p>
        </w:tc>
      </w:tr>
    </w:tbl>
    <w:p>
      <w:pPr>
        <w:spacing w:after="0" w:line="30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$2.06 billion for the third quarter of 2024,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$425 million. Micron ended the third quarter of 2024 with cash, marketable investments, and restricted cash of $ 9.22 billion. On June 26, 2024, Micron’s Board of Directors declared a quarterly dividend of $0.115 per share, payable in cash on July 23, 2024, to shareholders of record as of the close of business on July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4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5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46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fourth quarter of 2024:</w:t>
            </w:r>
          </w:p>
        </w:tc>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FQ4-24</w:t>
            </w:r>
          </w:p>
        </w:tc>
        <w:tc>
          <w:tcPr>
            <w:tcW w:w="254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$7.60 billion ± $200 million</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$7.60 billion ± $200 million</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tcPr>
          <w:p>
            <w:pPr>
              <w:jc w:val="right"/>
              <w:spacing w:after="0"/>
              <w:rPr>
                <w:sz w:val="20"/>
                <w:szCs w:val="20"/>
                <w:color w:val="auto"/>
              </w:rPr>
            </w:pPr>
            <w:r>
              <w:rPr>
                <w:rFonts w:ascii="Arial" w:cs="Arial" w:eastAsia="Arial" w:hAnsi="Arial"/>
                <w:sz w:val="18"/>
                <w:szCs w:val="18"/>
                <w:color w:val="auto"/>
              </w:rPr>
              <w:t>33.5% ± 1.0%</w:t>
            </w:r>
          </w:p>
        </w:tc>
        <w:tc>
          <w:tcPr>
            <w:tcW w:w="2240" w:type="dxa"/>
            <w:vAlign w:val="bottom"/>
          </w:tcPr>
          <w:p>
            <w:pPr>
              <w:jc w:val="right"/>
              <w:spacing w:after="0"/>
              <w:rPr>
                <w:sz w:val="20"/>
                <w:szCs w:val="20"/>
                <w:color w:val="auto"/>
              </w:rPr>
            </w:pPr>
            <w:r>
              <w:rPr>
                <w:rFonts w:ascii="Arial" w:cs="Arial" w:eastAsia="Arial" w:hAnsi="Arial"/>
                <w:sz w:val="18"/>
                <w:szCs w:val="18"/>
                <w:color w:val="auto"/>
              </w:rPr>
              <w:t>34.5% ± 1.0%</w:t>
            </w:r>
          </w:p>
        </w:tc>
      </w:tr>
      <w:tr>
        <w:trPr>
          <w:trHeight w:val="229"/>
        </w:trPr>
        <w:tc>
          <w:tcPr>
            <w:tcW w:w="6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 billion ± $15 million</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 billion ± $15 million</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540" w:type="dxa"/>
            <w:vAlign w:val="bottom"/>
          </w:tcPr>
          <w:p>
            <w:pPr>
              <w:jc w:val="right"/>
              <w:spacing w:after="0"/>
              <w:rPr>
                <w:sz w:val="20"/>
                <w:szCs w:val="20"/>
                <w:color w:val="auto"/>
              </w:rPr>
            </w:pPr>
            <w:r>
              <w:rPr>
                <w:rFonts w:ascii="Arial" w:cs="Arial" w:eastAsia="Arial" w:hAnsi="Arial"/>
                <w:sz w:val="18"/>
                <w:szCs w:val="18"/>
                <w:color w:val="auto"/>
              </w:rPr>
              <w:t>$0.61 ± $0.08</w:t>
            </w:r>
          </w:p>
        </w:tc>
        <w:tc>
          <w:tcPr>
            <w:tcW w:w="2240" w:type="dxa"/>
            <w:vAlign w:val="bottom"/>
          </w:tcPr>
          <w:p>
            <w:pPr>
              <w:jc w:val="right"/>
              <w:spacing w:after="0"/>
              <w:rPr>
                <w:sz w:val="20"/>
                <w:szCs w:val="20"/>
                <w:color w:val="auto"/>
              </w:rPr>
            </w:pPr>
            <w:r>
              <w:rPr>
                <w:rFonts w:ascii="Arial" w:cs="Arial" w:eastAsia="Arial" w:hAnsi="Arial"/>
                <w:sz w:val="18"/>
                <w:szCs w:val="18"/>
                <w:color w:val="auto"/>
              </w:rPr>
              <w:t>$1.08 ± $0.08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 xml:space="preserve">Micron will host a conference call on Wednesday, June 26, 2024 at 2:30 p.m. Mountain Time to discuss its third quarter financial results and provide forward-looking guidance for its fourth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3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We are an industry leader in innovative memory and storage solutions transforming how the world uses information to enrich life </w:t>
      </w:r>
      <w:r>
        <w:rPr>
          <w:rFonts w:ascii="Arial" w:cs="Arial" w:eastAsia="Arial" w:hAnsi="Arial"/>
          <w:sz w:val="17"/>
          <w:szCs w:val="17"/>
          <w:i w:val="1"/>
          <w:iCs w:val="1"/>
          <w:color w:val="auto"/>
        </w:rPr>
        <w:t>for all</w:t>
      </w:r>
      <w:r>
        <w:rPr>
          <w:rFonts w:ascii="Arial" w:cs="Arial" w:eastAsia="Arial" w:hAnsi="Arial"/>
          <w:sz w:val="17"/>
          <w:szCs w:val="17"/>
          <w:color w:val="auto"/>
        </w:rPr>
        <w:t>. With a relentless focus on our customers, technology leadership, and manufacturing and operational excellence, Micron delivers a rich portfolio of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high-performance DRAM, NAND, and NOR memory and storage products through our Micron® and Crucial® brands. Every day, the innovations that our people create fuel the data economy, enabling advances in artificial intelligence (AI) and compute-intensive applications</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 xml:space="preserve">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4"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2024 Micron Technology, Inc. All rights reserved. Micron, the Micron logo, and all other Micron trademarks are the property of Micron Technology, Inc. All other trademarks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technology trends and developments including artificial intelligence, market demand, and our financial and operating results, including our guidance for the fourth quarter of 2024.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May 30,</w:t>
            </w:r>
          </w:p>
        </w:tc>
        <w:tc>
          <w:tcPr>
            <w:tcW w:w="14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February 29,</w:t>
            </w:r>
          </w:p>
        </w:tc>
        <w:tc>
          <w:tcPr>
            <w:tcW w:w="240" w:type="dxa"/>
            <w:vAlign w:val="bottom"/>
          </w:tcPr>
          <w:p>
            <w:pPr>
              <w:spacing w:after="0"/>
              <w:rPr>
                <w:sz w:val="14"/>
                <w:szCs w:val="14"/>
                <w:color w:val="auto"/>
              </w:rPr>
            </w:pPr>
          </w:p>
        </w:tc>
        <w:tc>
          <w:tcPr>
            <w:tcW w:w="108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June 1,</w:t>
            </w: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May 30,</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1,</w:t>
            </w:r>
          </w:p>
        </w:tc>
      </w:tr>
      <w:tr>
        <w:trPr>
          <w:trHeight w:val="243"/>
        </w:trPr>
        <w:tc>
          <w:tcPr>
            <w:tcW w:w="4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4"/>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11,530</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(4,273)</w:t>
            </w:r>
          </w:p>
        </w:tc>
      </w:tr>
      <w:tr>
        <w:trPr>
          <w:trHeight w:val="257"/>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56"/>
        </w:trPr>
        <w:tc>
          <w:tcPr>
            <w:tcW w:w="45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57"/>
        </w:trPr>
        <w:tc>
          <w:tcPr>
            <w:tcW w:w="45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r>
      <w:tr>
        <w:trPr>
          <w:trHeight w:val="23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30,</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29,</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8,512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8,443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23,435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37,587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66,255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65,718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6,840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11,564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40,169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39,997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66,255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65,718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Provision to write-down inventories to net realizable value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shd w:val="clear" w:color="auto" w:fill="D1D2D4"/>
          </w:tcPr>
          <w:p>
            <w:pPr>
              <w:spacing w:after="0"/>
              <w:rPr>
                <w:sz w:val="21"/>
                <w:szCs w:val="21"/>
                <w:color w:val="auto"/>
              </w:rPr>
            </w:pPr>
          </w:p>
        </w:tc>
        <w:tc>
          <w:tcPr>
            <w:tcW w:w="12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7,664</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 (“NRV”).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102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3rd Qtr.</w:t>
            </w:r>
          </w:p>
        </w:tc>
        <w:tc>
          <w:tcPr>
            <w:tcW w:w="4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020" w:type="dxa"/>
            <w:vAlign w:val="bottom"/>
          </w:tcPr>
          <w:p>
            <w:pPr>
              <w:jc w:val="center"/>
              <w:ind w:left="210"/>
              <w:spacing w:after="0" w:line="169" w:lineRule="exact"/>
              <w:rPr>
                <w:sz w:val="20"/>
                <w:szCs w:val="20"/>
                <w:color w:val="auto"/>
              </w:rPr>
            </w:pPr>
            <w:r>
              <w:rPr>
                <w:rFonts w:ascii="Arial" w:cs="Arial" w:eastAsia="Arial" w:hAnsi="Arial"/>
                <w:sz w:val="18"/>
                <w:szCs w:val="18"/>
                <w:b w:val="1"/>
                <w:bCs w:val="1"/>
                <w:color w:val="auto"/>
                <w:w w:val="98"/>
              </w:rPr>
              <w:t>May 30,</w:t>
            </w:r>
          </w:p>
        </w:tc>
        <w:tc>
          <w:tcPr>
            <w:tcW w:w="42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February 29,</w:t>
            </w:r>
          </w:p>
        </w:tc>
        <w:tc>
          <w:tcPr>
            <w:tcW w:w="26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June 1,</w:t>
            </w:r>
          </w:p>
        </w:tc>
        <w:tc>
          <w:tcPr>
            <w:tcW w:w="220" w:type="dxa"/>
            <w:vAlign w:val="bottom"/>
          </w:tcPr>
          <w:p>
            <w:pPr>
              <w:spacing w:after="0"/>
              <w:rPr>
                <w:sz w:val="14"/>
                <w:szCs w:val="14"/>
                <w:color w:val="auto"/>
              </w:rPr>
            </w:pPr>
          </w:p>
        </w:tc>
        <w:tc>
          <w:tcPr>
            <w:tcW w:w="10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June 1,</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2024</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020" w:type="dxa"/>
            <w:vAlign w:val="bottom"/>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1D2D4"/>
          </w:tcPr>
          <w:p>
            <w:pPr>
              <w:ind w:left="4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1D2D4"/>
          </w:tcPr>
          <w:p>
            <w:pPr>
              <w:jc w:val="center"/>
              <w:ind w:left="550"/>
              <w:spacing w:after="0"/>
              <w:rPr>
                <w:sz w:val="20"/>
                <w:szCs w:val="20"/>
                <w:color w:val="auto"/>
              </w:rPr>
            </w:pPr>
            <w:r>
              <w:rPr>
                <w:rFonts w:ascii="Arial" w:cs="Arial" w:eastAsia="Arial" w:hAnsi="Arial"/>
                <w:sz w:val="18"/>
                <w:szCs w:val="18"/>
                <w:color w:val="auto"/>
                <w:w w:val="99"/>
              </w:rPr>
              <w:t>(401)</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Lower costs from sale of inventory written down in prior</w:t>
            </w:r>
          </w:p>
        </w:tc>
        <w:tc>
          <w:tcPr>
            <w:tcW w:w="1020" w:type="dxa"/>
            <w:vAlign w:val="bottom"/>
          </w:tcPr>
          <w:p>
            <w:pPr>
              <w:spacing w:after="0"/>
              <w:rPr>
                <w:sz w:val="15"/>
                <w:szCs w:val="15"/>
                <w:color w:val="auto"/>
              </w:rPr>
            </w:pPr>
          </w:p>
        </w:tc>
        <w:tc>
          <w:tcPr>
            <w:tcW w:w="4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5"/>
                <w:szCs w:val="15"/>
                <w:color w:val="auto"/>
              </w:rPr>
            </w:pPr>
          </w:p>
        </w:tc>
        <w:tc>
          <w:tcPr>
            <w:tcW w:w="1100" w:type="dxa"/>
            <w:vAlign w:val="bottom"/>
            <w:vMerge w:val="restart"/>
          </w:tcPr>
          <w:p>
            <w:pPr>
              <w:jc w:val="center"/>
              <w:ind w:left="550"/>
              <w:spacing w:after="0"/>
              <w:rPr>
                <w:sz w:val="20"/>
                <w:szCs w:val="20"/>
                <w:color w:val="auto"/>
              </w:rPr>
            </w:pPr>
            <w:r>
              <w:rPr>
                <w:rFonts w:ascii="Arial" w:cs="Arial" w:eastAsia="Arial" w:hAnsi="Arial"/>
                <w:sz w:val="18"/>
                <w:szCs w:val="18"/>
                <w:color w:val="auto"/>
                <w:w w:val="99"/>
              </w:rPr>
              <w:t>281</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periods</w:t>
            </w: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D1D2D4"/>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1D2D4"/>
          </w:tcPr>
          <w:p>
            <w:pPr>
              <w:ind w:left="4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center"/>
              <w:ind w:left="550"/>
              <w:spacing w:after="0"/>
              <w:rPr>
                <w:sz w:val="20"/>
                <w:szCs w:val="20"/>
                <w:color w:val="auto"/>
              </w:rPr>
            </w:pPr>
            <w:r>
              <w:rPr>
                <w:rFonts w:ascii="Arial" w:cs="Arial" w:eastAsia="Arial" w:hAnsi="Arial"/>
                <w:sz w:val="18"/>
                <w:szCs w:val="18"/>
                <w:color w:val="auto"/>
                <w:w w:val="99"/>
              </w:rPr>
              <w:t>(120)</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460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3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the first quarter of 2024, our tax expense was based on actual results for jurisdictions where small changes in our projected pre -tax income would have caused significant changes in the estimated annual effective tax rate. With our improved fiscal 2024 outlook, we were able to estimate a more reliable annual effective tax rate and have reverted to a global annual effective tax rate method for all jurisdictions beginning in the second quarter of 2024.</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3rd Qtr.</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6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rPr>
              <w:t>May 30,</w:t>
            </w:r>
          </w:p>
        </w:tc>
        <w:tc>
          <w:tcPr>
            <w:tcW w:w="14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February 29,</w:t>
            </w:r>
          </w:p>
        </w:tc>
        <w:tc>
          <w:tcPr>
            <w:tcW w:w="26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June 1,</w:t>
            </w:r>
          </w:p>
        </w:tc>
      </w:tr>
      <w:tr>
        <w:trPr>
          <w:trHeight w:val="243"/>
        </w:trPr>
        <w:tc>
          <w:tcPr>
            <w:tcW w:w="7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r>
      <w:tr>
        <w:trPr>
          <w:trHeight w:val="34"/>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7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GAAP operating expenses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Restructure and asset impairments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Patent cross-license agreement gain</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Litigation settlement</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-770890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-479425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-187960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890" w:right="339" w:bottom="1440" w:gutter="0" w:footer="0" w:header="0"/>
          <w:type w:val="continuous"/>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income (loss)</w:t>
            </w:r>
          </w:p>
        </w:tc>
        <w:tc>
          <w:tcPr>
            <w:tcW w:w="44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48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Litigation settlement</w:t>
            </w: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2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income (loss)</w:t>
            </w:r>
          </w:p>
        </w:tc>
        <w:tc>
          <w:tcPr>
            <w:tcW w:w="440" w:type="dxa"/>
            <w:vAlign w:val="bottom"/>
            <w:tcBorders>
              <w:bottom w:val="single" w:sz="8" w:color="auto"/>
            </w:tcBorders>
            <w:shd w:val="clear" w:color="auto" w:fill="D1D2D4"/>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941</w:t>
            </w:r>
          </w:p>
        </w:tc>
        <w:tc>
          <w:tcPr>
            <w:tcW w:w="48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(1,469)</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48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88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7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44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Litigation settlement</w:t>
            </w: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80" w:type="dxa"/>
            <w:vAlign w:val="bottom"/>
            <w:shd w:val="clear" w:color="auto" w:fill="D1D2D4"/>
          </w:tcPr>
          <w:p>
            <w:pPr>
              <w:ind w:left="140"/>
              <w:spacing w:after="0" w:line="230" w:lineRule="exact"/>
              <w:rPr>
                <w:sz w:val="20"/>
                <w:szCs w:val="20"/>
                <w:color w:val="auto"/>
              </w:rPr>
            </w:pPr>
            <w:r>
              <w:rPr>
                <w:rFonts w:ascii="Arial" w:cs="Arial" w:eastAsia="Arial" w:hAnsi="Arial"/>
                <w:sz w:val="18"/>
                <w:szCs w:val="18"/>
                <w:color w:val="auto"/>
              </w:rPr>
              <w:t>Estimated tax effects of above and other tax adjustments</w:t>
            </w:r>
            <w:r>
              <w:rPr>
                <w:rFonts w:ascii="Arial" w:cs="Arial" w:eastAsia="Arial" w:hAnsi="Arial"/>
                <w:sz w:val="23"/>
                <w:szCs w:val="23"/>
                <w:color w:val="auto"/>
                <w:vertAlign w:val="superscript"/>
              </w:rPr>
              <w:t>(1)</w:t>
            </w:r>
          </w:p>
        </w:tc>
        <w:tc>
          <w:tcPr>
            <w:tcW w:w="4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4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2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4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72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(loss) per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4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0.32</w:t>
            </w:r>
          </w:p>
        </w:tc>
        <w:tc>
          <w:tcPr>
            <w:tcW w:w="48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(0.29)</w:t>
            </w:r>
          </w:p>
        </w:tc>
        <w:tc>
          <w:tcPr>
            <w:tcW w:w="4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0.30</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(loss)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right="160" w:hanging="332"/>
        <w:spacing w:after="0"/>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second fiscal quarter tax benefit arose from applying our estimated annual effective tax rate to our year-to-date results. A portion of this benefit is included in our non-GAAP net income, with a larger benefit in our GAAP net income. The divergence between the GAAP and non-GAAP tax relates to the difference in our GAAP and non-GAAP estimated annual effective tax rates, which are computed separately.</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47"/>
        </w:trPr>
        <w:tc>
          <w:tcPr>
            <w:tcW w:w="8700" w:type="dxa"/>
            <w:vAlign w:val="bottom"/>
            <w:gridSpan w:val="4"/>
          </w:tcPr>
          <w:p>
            <w:pPr>
              <w:ind w:left="288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82"/>
        </w:trPr>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2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r>
      <w:tr>
        <w:trPr>
          <w:trHeight w:val="181"/>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30,</w:t>
            </w:r>
          </w:p>
        </w:tc>
        <w:tc>
          <w:tcPr>
            <w:tcW w:w="120" w:type="dxa"/>
            <w:vAlign w:val="bottom"/>
          </w:tcPr>
          <w:p>
            <w:pPr>
              <w:spacing w:after="0"/>
              <w:rPr>
                <w:sz w:val="15"/>
                <w:szCs w:val="15"/>
                <w:color w:val="auto"/>
              </w:rPr>
            </w:pPr>
          </w:p>
        </w:tc>
        <w:tc>
          <w:tcPr>
            <w:tcW w:w="12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February 29,</w:t>
            </w: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June 1,</w:t>
            </w:r>
          </w:p>
        </w:tc>
      </w:tr>
      <w:tr>
        <w:trPr>
          <w:trHeight w:val="243"/>
        </w:trPr>
        <w:tc>
          <w:tcPr>
            <w:tcW w:w="7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r>
      <w:tr>
        <w:trPr>
          <w:trHeight w:val="34"/>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7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(1,384)</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(1,561)</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3200" w:type="dxa"/>
            <w:vAlign w:val="bottom"/>
          </w:tcPr>
          <w:p>
            <w:pPr>
              <w:spacing w:after="0"/>
              <w:rPr>
                <w:sz w:val="20"/>
                <w:szCs w:val="20"/>
                <w:color w:val="auto"/>
              </w:rPr>
            </w:pPr>
            <w:r>
              <w:rPr>
                <w:rFonts w:ascii="Arial" w:cs="Arial" w:eastAsia="Arial" w:hAnsi="Arial"/>
                <w:sz w:val="18"/>
                <w:szCs w:val="18"/>
                <w:b w:val="1"/>
                <w:bCs w:val="1"/>
                <w:color w:val="auto"/>
              </w:rPr>
              <w:t>FQ4-24</w:t>
            </w:r>
          </w:p>
        </w:tc>
        <w:tc>
          <w:tcPr>
            <w:tcW w:w="3200" w:type="dxa"/>
            <w:vAlign w:val="bottom"/>
            <w:gridSpan w:val="2"/>
          </w:tcPr>
          <w:p>
            <w:pPr>
              <w:ind w:left="134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20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20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$7.60 billion ± $200 million</w:t>
            </w:r>
          </w:p>
        </w:tc>
        <w:tc>
          <w:tcPr>
            <w:tcW w:w="2380" w:type="dxa"/>
            <w:vAlign w:val="bottom"/>
            <w:gridSpan w:val="2"/>
            <w:shd w:val="clear" w:color="auto" w:fill="D1D2D4"/>
          </w:tcPr>
          <w:p>
            <w:pPr>
              <w:jc w:val="center"/>
              <w:ind w:right="16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$7.60 billion ± $200 million</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3080" w:type="dxa"/>
            <w:vAlign w:val="bottom"/>
          </w:tcPr>
          <w:p>
            <w:pPr>
              <w:jc w:val="right"/>
              <w:spacing w:after="0"/>
              <w:rPr>
                <w:sz w:val="20"/>
                <w:szCs w:val="20"/>
                <w:color w:val="auto"/>
              </w:rPr>
            </w:pPr>
            <w:r>
              <w:rPr>
                <w:rFonts w:ascii="Arial" w:cs="Arial" w:eastAsia="Arial" w:hAnsi="Arial"/>
                <w:sz w:val="18"/>
                <w:szCs w:val="18"/>
                <w:color w:val="auto"/>
              </w:rPr>
              <w:t>33.5% ± 1.0%</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34.5% ± 1.0%</w:t>
            </w:r>
          </w:p>
        </w:tc>
      </w:tr>
      <w:tr>
        <w:trPr>
          <w:trHeight w:val="230"/>
        </w:trPr>
        <w:tc>
          <w:tcPr>
            <w:tcW w:w="320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320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$1.19 billion ± $15 million</w:t>
            </w:r>
          </w:p>
        </w:tc>
        <w:tc>
          <w:tcPr>
            <w:tcW w:w="2380" w:type="dxa"/>
            <w:vAlign w:val="bottom"/>
            <w:gridSpan w:val="2"/>
            <w:shd w:val="clear" w:color="auto" w:fill="D1D2D4"/>
          </w:tcPr>
          <w:p>
            <w:pPr>
              <w:ind w:left="300"/>
              <w:spacing w:after="0"/>
              <w:rPr>
                <w:sz w:val="20"/>
                <w:szCs w:val="20"/>
                <w:color w:val="auto"/>
              </w:rPr>
            </w:pPr>
            <w:r>
              <w:rPr>
                <w:rFonts w:ascii="Arial" w:cs="Arial" w:eastAsia="Arial" w:hAnsi="Arial"/>
                <w:sz w:val="18"/>
                <w:szCs w:val="18"/>
                <w:color w:val="auto"/>
              </w:rPr>
              <w:t>$125 million B</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 billion ± $15 million</w:t>
            </w:r>
          </w:p>
        </w:tc>
      </w:tr>
      <w:tr>
        <w:trPr>
          <w:trHeight w:val="311"/>
        </w:trPr>
        <w:tc>
          <w:tcPr>
            <w:tcW w:w="320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080" w:type="dxa"/>
            <w:vAlign w:val="bottom"/>
          </w:tcPr>
          <w:p>
            <w:pPr>
              <w:jc w:val="right"/>
              <w:spacing w:after="0"/>
              <w:rPr>
                <w:sz w:val="20"/>
                <w:szCs w:val="20"/>
                <w:color w:val="auto"/>
              </w:rPr>
            </w:pPr>
            <w:r>
              <w:rPr>
                <w:rFonts w:ascii="Arial" w:cs="Arial" w:eastAsia="Arial" w:hAnsi="Arial"/>
                <w:sz w:val="18"/>
                <w:szCs w:val="18"/>
                <w:color w:val="auto"/>
              </w:rPr>
              <w:t>$0.61 ± $0.08</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$0.47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$1.08 ± $0.08</w:t>
            </w:r>
          </w:p>
        </w:tc>
      </w:tr>
    </w:tbl>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003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7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1"/>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1.12 billion diluted shares and non-GAAP earnings per share based on approximately 1.14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2024-06-26T15:13:49Z</dcterms:created>
  <dcterms:modified xsi:type="dcterms:W3CDTF">2024-06-26T15:13:49Z</dcterms:modified>
</cp:coreProperties>
</file>